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Supplementary material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Multi-route human health risk assessment of metals and metalloids: a systematic review, meta-analysis of edible aquatic tissue, and an integrated aggregate-exposure equation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S1.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PICOS framework of the review question.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110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Population</w:t>
            </w:r>
          </w:p>
        </w:tc>
        <w:tc>
          <w:tcPr>
            <w:tcW w:type="dxa" w:w="11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General human populations (adults and children) exposed in their residential setting; occupational cohorts excluded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Exposure</w:t>
            </w:r>
          </w:p>
        </w:tc>
        <w:tc>
          <w:tcPr>
            <w:tcW w:type="dxa" w:w="11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Measured concentrations of Al, As, Cd, Cr, Hg, Pb or Ni (and co-reported elements) in drinking or domestic water, food as consumed, or ambient air, converted to human intake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Comparator</w:t>
            </w:r>
          </w:p>
        </w:tc>
        <w:tc>
          <w:tcPr>
            <w:tcW w:type="dxa" w:w="11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Health-based reference values (RfD, RfC, TDI/TWI, BMDL, CSF, IUR) and, where available, between-route or between-population comparison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Outcomes</w:t>
            </w:r>
          </w:p>
        </w:tc>
        <w:tc>
          <w:tcPr>
            <w:tcW w:type="dxa" w:w="11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Quantitative risk metrics: HQ, HI, THQ/TTHQ, EDI/EWI relative to tolerable intakes, margin of exposure, incremental lifetime cancer risk; concentrations as secondary outcome for meta-analysis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Study design</w:t>
            </w:r>
          </w:p>
        </w:tc>
        <w:tc>
          <w:tcPr>
            <w:tcW w:type="dxa" w:w="11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Observational environmental monitoring studies with a human exposure scenario (cross-sectional, with or without probabilistic modelling), published 2000 onwards, peer reviewed</w:t>
            </w:r>
          </w:p>
        </w:tc>
      </w:tr>
    </w:tbl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S5.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Risk-of-bias assessment by study and domain (first-reviewer assessment from the published reports; to be confirmed independently by a second reviewer).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750"/>
        <w:gridCol w:w="1550"/>
        <w:gridCol w:w="1450"/>
        <w:gridCol w:w="2250"/>
        <w:gridCol w:w="1350"/>
        <w:gridCol w:w="1900"/>
        <w:gridCol w:w="1100"/>
      </w:tblGrid>
      <w:tr>
        <w:trPr>
          <w:tblHeader/>
        </w:trPr>
        <w:tc>
          <w:tcPr>
            <w:tcW w:type="dxa" w:w="14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Study</w:t>
            </w:r>
          </w:p>
        </w:tc>
        <w:tc>
          <w:tcPr>
            <w:tcW w:type="dxa" w:w="17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D1 Sampling &amp; representativeness</w:t>
            </w:r>
          </w:p>
        </w:tc>
        <w:tc>
          <w:tcPr>
            <w:tcW w:type="dxa" w:w="15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D2 Analytical suitability</w:t>
            </w:r>
          </w:p>
        </w:tc>
        <w:tc>
          <w:tcPr>
            <w:tcW w:type="dxa" w:w="14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D3 QA/QC</w:t>
            </w:r>
          </w:p>
        </w:tc>
        <w:tc>
          <w:tcPr>
            <w:tcW w:type="dxa" w:w="22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D4 Exposure parameters &amp; toxicity values</w:t>
            </w:r>
          </w:p>
        </w:tc>
        <w:tc>
          <w:tcPr>
            <w:tcW w:type="dxa" w:w="13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D5 Non-detects</w:t>
            </w:r>
          </w:p>
        </w:tc>
        <w:tc>
          <w:tcPr>
            <w:tcW w:type="dxa" w:w="1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D6 Speciation &amp; internal consistency</w:t>
            </w:r>
          </w:p>
        </w:tc>
        <w:tc>
          <w:tcPr>
            <w:tcW w:type="dxa" w:w="11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Overall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S01 Wang 2024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6 food groups, 8 markets, local dietary survey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ICP-MS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CRM, recovery 94.8–111.4%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children’s own intake; MC; bioaccessibility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not reported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 and Cr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S02 Zhang 2023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38 sites, 1,140 crayfish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AAS, HG-AFS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CRMs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Pb RfD 20 µg/kg/d (no agency basis)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As; Hg SD 138× mean in hepatopancreas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S03 Torabi 2023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3 species, single area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ICP-OES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 recovery or LOD reported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not reported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means outside ranges; SD = 0; impossible units (preprint)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S04 Semerjian 2024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68 sites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ICP-OES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recovery, LOD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oral RfDs used for inhalation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Cr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S07 Hoque 2024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117 wells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flame AAS for As at µg/L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 CRM or recovery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Pb RfD 1.4; Mn RfD 20 (agency 140)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As, Cr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S09 Rahman 2022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5 farms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flame and HG-AAS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 recovery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wet/dry basis stated inconsistently between equations; Cr(III) RfD with Cr(VI)-type CSF; Pb RfD 4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not reported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As, Cr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S10 Kosker 2023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34 products, national retail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ICP-MS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CRM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default parameters; Pb RfD 4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NA entries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 in canned fish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S11 Kim 2023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1,186 samples, national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ICP-MS, DMA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LOD/LOQ, accuracy, precision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inorganic-Hg RfD for total Hg; Pb RfD 3.5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LOD reported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MeHg measured; CR on inorganic As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S12 Senoro 2022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100 points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portable XRF and electrochemical analyser for water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calibration only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S13 Zhang 2019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secondary data from heterogeneous studies, 2000–2018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methods vary by source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not reported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dermal HQ 42 for Cr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S14 Senoro 2023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71 DW, 33 GW samples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portable XRF and electrochemical analyser for water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Pb RfD 3.5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LOD readings re-run on second device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DW means Pb 1.152, As 0.792 mg/L implausible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S15 Zhang 2017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6 species, 72 fish, 20 water sites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Low: AAS, AFS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recovery only, no CRM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Cr(III) RfD; withdrawn PTWIs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High: As non-detects recorded as 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concerns: total As, Cr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Some concerns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Times New Roman" w:hAnsi="Times New Roman"/>
          <w:color w:val="404040"/>
          <w:sz w:val="16"/>
          <w:szCs w:val="16"/>
        </w:rPr>
        <w:t xml:space="preserve">CRM, certified reference material; DMA, direct mercury analyser; DW/GW, drinking water/groundwater; HG-AFS/AAS, hydride-generation atomic fluorescence/absorption spectrometry; LOD/LOQ, limit of detection/quantification; MC, Monte Carlo.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S9.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Oral reference doses (µg/kg bw/day) applied by each study compared with current agency values.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050"/>
        <w:gridCol w:w="900"/>
        <w:gridCol w:w="1300"/>
        <w:gridCol w:w="1100"/>
        <w:gridCol w:w="650"/>
        <w:gridCol w:w="2450"/>
        <w:gridCol w:w="27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Study</w:t>
            </w:r>
          </w:p>
        </w:tc>
        <w:tc>
          <w:tcPr>
            <w:tcW w:type="dxa" w:w="11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As</w:t>
            </w:r>
          </w:p>
        </w:tc>
        <w:tc>
          <w:tcPr>
            <w:tcW w:type="dxa" w:w="10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Cd</w:t>
            </w:r>
          </w:p>
        </w:tc>
        <w:tc>
          <w:tcPr>
            <w:tcW w:type="dxa" w:w="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Pb</w:t>
            </w:r>
          </w:p>
        </w:tc>
        <w:tc>
          <w:tcPr>
            <w:tcW w:type="dxa" w:w="13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Cr</w:t>
            </w:r>
          </w:p>
        </w:tc>
        <w:tc>
          <w:tcPr>
            <w:tcW w:type="dxa" w:w="11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Hg</w:t>
            </w:r>
          </w:p>
        </w:tc>
        <w:tc>
          <w:tcPr>
            <w:tcW w:type="dxa" w:w="6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Cu</w:t>
            </w:r>
          </w:p>
        </w:tc>
        <w:tc>
          <w:tcPr>
            <w:tcW w:type="dxa" w:w="24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Other</w:t>
            </w:r>
          </w:p>
        </w:tc>
        <w:tc>
          <w:tcPr>
            <w:tcW w:type="dxa" w:w="27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Problem identified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Current value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0.06 (IRIS 2025)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 water / 1.0 food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none (MOE)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0.9 Cr(VI) / 1,500 Cr(III)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0.1 MeHg / 0.3 HgCl₂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Ni 20; Mn 140; Zn 300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S02 Zhang 2023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 RfD without agency basis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S04 Semerjian 2024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Ni 20; Mn 140; Zn 300; Fe 700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Oral values used as “inhalation RfD”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S07 Hoque 2024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Mn 20; Fe 300; Zn 300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 RfD; Mn sevenfold below agency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S09 Rahman 2022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1,500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CSF Pb 0.0085, Cr 0.41, As 1.5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Cr(III) RfD with Cr(VI)-type CSF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S10 Kosker 2023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Fe 700; Zn 300; Se 5; Al 1,000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 RfD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S11 Kim 2023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Inorganic-Hg RfD for fish; Pb RfD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S14 Senoro 2023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Ba 200; Ni 20; Mn 140; Zn 300; Fe 700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 RfD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S15 Zhang 2017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1,500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–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Zn 300; PTWI Pb 25, Cd 7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Withdrawn PTWIs; Cr(III) RfD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Times New Roman" w:hAnsi="Times New Roman"/>
          <w:color w:val="404040"/>
          <w:sz w:val="16"/>
          <w:szCs w:val="16"/>
        </w:rPr>
        <w:t xml:space="preserve">S01 lists its values in an additional file not supplied; S03, S12 and S13 to be completed from the full texts. All As values of 0.3 and slope factors of 1.5 predate the January 2025 IRIS revision; all Cr(VI) values of 3 predate the August 2024 revision. Cd 1.0 is the correct IRIS value for food; 0.5 applies to water.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S12.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Meta-analysis input data: edible aquatic animal tissue, µg/kg wet weight.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650"/>
        <w:gridCol w:w="900"/>
        <w:gridCol w:w="900"/>
        <w:gridCol w:w="900"/>
        <w:gridCol w:w="1300"/>
        <w:gridCol w:w="850"/>
        <w:gridCol w:w="59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Metal</w:t>
            </w:r>
          </w:p>
        </w:tc>
        <w:tc>
          <w:tcPr>
            <w:tcW w:type="dxa" w:w="7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Study</w:t>
            </w:r>
          </w:p>
        </w:tc>
        <w:tc>
          <w:tcPr>
            <w:tcW w:type="dxa" w:w="6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</w:t>
            </w:r>
          </w:p>
        </w:tc>
        <w:tc>
          <w:tcPr>
            <w:tcW w:type="dxa" w:w="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Mean</w:t>
            </w:r>
          </w:p>
        </w:tc>
        <w:tc>
          <w:tcPr>
            <w:tcW w:type="dxa" w:w="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SD</w:t>
            </w:r>
          </w:p>
        </w:tc>
        <w:tc>
          <w:tcPr>
            <w:tcW w:type="dxa" w:w="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GM</w:t>
            </w:r>
          </w:p>
        </w:tc>
        <w:tc>
          <w:tcPr>
            <w:tcW w:type="dxa" w:w="13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95% CI</w:t>
            </w:r>
          </w:p>
        </w:tc>
        <w:tc>
          <w:tcPr>
            <w:tcW w:type="dxa" w:w="85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Weight %</w:t>
            </w:r>
          </w:p>
        </w:tc>
        <w:tc>
          <w:tcPr>
            <w:tcW w:type="dxa" w:w="59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Derivation and source in paper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27.3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163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146–183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aquatic products (carp), fresh weight after removal of inedible parts; n = 8 markets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23.2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10.4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18.5–24.3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 abdominal muscle (dry weight) ÷ 5.75 (authors’ wet/dry factor, Section 3.1); n = 38 sites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72.3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237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215–261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3, mean and SD across 34 products computed from per-product means; NA dropped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1081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32.0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78.7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11.1–13.1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4, six animal categories combined (Cochrane Table 6.5.a); sea algae excluded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135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63.1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50.1–79.4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19.9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six species combined; n per species from Table 6; As non-detects recorded as 0 by authors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35.7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11.1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34.1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27.6–42.1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aquatic products (carp), fresh weight after removal of inedible parts; n = 8 markets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0.27–0.58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19.9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 abdominal muscle (dry weight) ÷ 5.75 (authors’ wet/dry factor, Section 3.1); n = 38 sites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23.5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34.9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13.1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9.03–19.1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19.9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3, mean and SD across 34 products computed from per-product means; NA dropped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1081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78.4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238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22.4–26.9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20.1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4, six animal categories combined (Cochrane Table 6.5.a); sea algae excluded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6.62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4.47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5.49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4.76–6.32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20.1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six species combined; n per species from Table 6; As non-detects recorded as 0 by authors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413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797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585–1086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aquatic products (carp), fresh weight after removal of inedible parts; n = 8 markets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S02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121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34.8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116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106–127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 abdominal muscle (dry weight) ÷ 5.75 (authors’ wet/dry factor, Section 3.1); n = 38 sites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53.2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29.5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46.5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38.8–55.8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3, mean and SD across 34 products computed from per-product means; NA dropped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1081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2101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4875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767–902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4, six animal categories combined (Cochrane Table 6.5.a); sea algae excluded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S15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0.39–0.73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20.0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Table 1, six species combined; n per species from Table 6; As non-detects recorded as 0 by authors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Times New Roman" w:hAnsi="Times New Roman"/>
          <w:color w:val="404040"/>
          <w:sz w:val="16"/>
          <w:szCs w:val="16"/>
        </w:rPr>
        <w:t xml:space="preserve">GM and CI from log-normal moments (Higgins et al. 2008); pooled with REML and HKSJ. Python code: ma_engine.py, ma_data.py, run_ma.py, forest.py (File S3).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2026-10-09T20:23:56.217Z</dcterms:created>
  <dcterms:modified xsi:type="dcterms:W3CDTF">2026-10-09T20:23:56.217Z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