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Courier New" w:cs="Courier New" w:eastAsia="Courier New" w:hAnsi="Courier New"/>
          <w:b/>
          <w:bCs/>
          <w:color w:val="E8A020"/>
          <w:sz w:val="80"/>
          <w:szCs w:val="80"/>
        </w:rPr>
        <w:t xml:space="preserve">THREATPEDIA</w:t>
      </w:r>
    </w:p>
    <w:p>
      <w:pPr>
        <w:spacing w:after="120" w:before="0"/>
      </w:pPr>
      <w:r>
        <w:rPr>
          <w:rFonts w:ascii="Arial" w:cs="Arial" w:eastAsia="Arial" w:hAnsi="Arial"/>
          <w:color w:val="2C3E50"/>
          <w:sz w:val="36"/>
          <w:szCs w:val="36"/>
        </w:rPr>
        <w:t xml:space="preserve">Data Collection &amp; Quality Standards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5A6A7E"/>
          <w:spacing w:val="40"/>
          <w:sz w:val="17"/>
          <w:szCs w:val="17"/>
        </w:rPr>
        <w:t xml:space="preserve">SCHEMA · CONTROLLED VOCABULARIES · VALIDATION RULES · STIX 2.1 ALIGNMENT</w:t>
      </w:r>
    </w:p>
    <w:p>
      <w:pPr>
        <w:spacing w:after="480" w:before="0"/>
      </w:pPr>
      <w:r>
        <w:rPr>
          <w:rFonts w:ascii="Courier New" w:cs="Courier New" w:eastAsia="Courier New" w:hAnsi="Courier New"/>
          <w:color w:val="5A6A7E"/>
          <w:sz w:val="17"/>
          <w:szCs w:val="17"/>
        </w:rPr>
        <w:t xml:space="preserve">Version 0.1  ·  March 2026  ·  Confidential Draft — For Founding Board Review</w:t>
      </w:r>
    </w:p>
    <w:p>
      <w:pPr>
        <w:pBdr>
          <w:bottom w:val="single" w:color="E8A020" w:sz="6" w:space="1"/>
        </w:pBdr>
        <w:spacing w:after="240" w:before="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2430"/>
        <w:gridCol w:w="2430"/>
        <w:gridCol w:w="243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A6A7E"/>
                <w:sz w:val="16"/>
                <w:szCs w:val="16"/>
              </w:rPr>
              <w:t xml:space="preserve">STATUS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A6A7E"/>
                <w:sz w:val="16"/>
                <w:szCs w:val="16"/>
              </w:rPr>
              <w:t xml:space="preserve">PHASE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A6A7E"/>
                <w:sz w:val="16"/>
                <w:szCs w:val="16"/>
              </w:rPr>
              <w:t xml:space="preserve">BOARD REVIEW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A6A7E"/>
                <w:sz w:val="16"/>
                <w:szCs w:val="16"/>
              </w:rPr>
              <w:t xml:space="preserve">DOC TYPE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8A020"/>
                <w:sz w:val="17"/>
                <w:szCs w:val="17"/>
              </w:rPr>
              <w:t xml:space="preserve">DRAFT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8A020"/>
                <w:sz w:val="17"/>
                <w:szCs w:val="17"/>
              </w:rPr>
              <w:t xml:space="preserve">0 — PRE-LAUNCH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8A020"/>
                <w:sz w:val="17"/>
                <w:szCs w:val="17"/>
              </w:rPr>
              <w:t xml:space="preserve">OPEN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8A020"/>
                <w:sz w:val="17"/>
                <w:szCs w:val="17"/>
              </w:rPr>
              <w:t xml:space="preserve">STANDARDS / SCHEMA</w:t>
            </w:r>
          </w:p>
        </w:tc>
      </w:tr>
    </w:tbl>
    <w:p>
      <w:pPr>
        <w:spacing w:after="0" w:before="3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252F"/>
          <w:spacing w:val="80"/>
          <w:sz w:val="22"/>
          <w:szCs w:val="22"/>
        </w:rPr>
        <w:t xml:space="preserve">OVERVIEW</w:t>
      </w:r>
    </w:p>
    <w:p>
      <w:pPr>
        <w:pBdr>
          <w:bottom w:val="single" w:color="E8A020" w:sz="6" w:space="1"/>
        </w:pBdr>
        <w:spacing w:after="240" w:before="0"/>
      </w:pP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This document defines the data standards governing how Threatpedia collects, structures, and validates all content. Adherence to these standards is mandatory for any article to achieve Threatpedia Certified status.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schema is designed from the ground up for analytical use — every field is typed, constrained, and aligned to STIX 2.1 and MITRE ATT&amp;CK to ensure the corpus is machine-readable and queryable from day one. Retrofitting a data model onto articles after the fact is not an option; these standards are established before the first article is written.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All items marked with an open checkbox are subject to Founding Board review and ratification.</w:t>
      </w:r>
    </w:p>
    <w:p>
      <w:pPr>
        <w:spacing w:after="0" w:before="3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252F"/>
          <w:spacing w:val="80"/>
          <w:sz w:val="22"/>
          <w:szCs w:val="22"/>
        </w:rPr>
        <w:t xml:space="preserve">ENTITY TYPES &amp; RELATIONSHIPS</w:t>
      </w:r>
    </w:p>
    <w:p>
      <w:pPr>
        <w:pBdr>
          <w:bottom w:val="single" w:color="E8A020" w:sz="6" w:space="1"/>
        </w:pBdr>
        <w:spacing w:after="240" w:before="0"/>
      </w:pP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Threatpedia has five core entity types. All entities are linked — articles are not standalone documents but nodes in a structured knowledge graph.</w:t>
      </w:r>
    </w:p>
    <w:p>
      <w:pPr>
        <w:spacing w:after="0" w:before="120"/>
      </w:pPr>
    </w:p>
    <w:p>
      <w:pPr>
        <w:shd w:fill="F5F7FA" w:val="clear"/>
        <w:spacing w:after="40" w:before="40"/>
        <w:ind w:left="480"/>
      </w:pPr>
      <w:r>
        <w:rPr>
          <w:rFonts w:ascii="Courier New" w:cs="Courier New" w:eastAsia="Courier New" w:hAnsi="Courier New"/>
          <w:color w:val="2C5F2E"/>
          <w:sz w:val="18"/>
          <w:szCs w:val="18"/>
        </w:rPr>
        <w:t xml:space="preserve">INCIDENT ──&lt; USES &gt;──────────── MALWARE</w:t>
      </w:r>
    </w:p>
    <w:p>
      <w:pPr>
        <w:shd w:fill="F5F7FA" w:val="clear"/>
        <w:spacing w:after="40" w:before="40"/>
        <w:ind w:left="480"/>
      </w:pPr>
      <w:r>
        <w:rPr>
          <w:rFonts w:ascii="Courier New" w:cs="Courier New" w:eastAsia="Courier New" w:hAnsi="Courier New"/>
          <w:color w:val="2C5F2E"/>
          <w:sz w:val="18"/>
          <w:szCs w:val="18"/>
        </w:rPr>
        <w:t xml:space="preserve">INCIDENT ──&lt; ATTRIBUTED_TO &gt;── APT</w:t>
      </w:r>
    </w:p>
    <w:p>
      <w:pPr>
        <w:shd w:fill="F5F7FA" w:val="clear"/>
        <w:spacing w:after="40" w:before="40"/>
        <w:ind w:left="480"/>
      </w:pPr>
      <w:r>
        <w:rPr>
          <w:rFonts w:ascii="Courier New" w:cs="Courier New" w:eastAsia="Courier New" w:hAnsi="Courier New"/>
          <w:color w:val="2C5F2E"/>
          <w:sz w:val="18"/>
          <w:szCs w:val="18"/>
        </w:rPr>
        <w:t xml:space="preserve">INCIDENT ──&lt; EXPLOITS &gt;──────── CVE</w:t>
      </w:r>
    </w:p>
    <w:p>
      <w:pPr>
        <w:shd w:fill="F5F7FA" w:val="clear"/>
        <w:spacing w:after="40" w:before="40"/>
        <w:ind w:left="480"/>
      </w:pPr>
      <w:r>
        <w:rPr>
          <w:rFonts w:ascii="Courier New" w:cs="Courier New" w:eastAsia="Courier New" w:hAnsi="Courier New"/>
          <w:color w:val="2C5F2E"/>
          <w:sz w:val="18"/>
          <w:szCs w:val="18"/>
        </w:rPr>
        <w:t xml:space="preserve">INCIDENT ──&lt; MAPS_TO &gt;───────── TTP (MITRE ATT&amp;CK)</w:t>
      </w:r>
    </w:p>
    <w:p>
      <w:pPr>
        <w:shd w:fill="F5F7FA" w:val="clear"/>
        <w:spacing w:after="40" w:before="40"/>
        <w:ind w:left="480"/>
      </w:pPr>
      <w:r>
        <w:rPr>
          <w:rFonts w:ascii="Courier New" w:cs="Courier New" w:eastAsia="Courier New" w:hAnsi="Courier New"/>
          <w:color w:val="2C5F2E"/>
          <w:sz w:val="18"/>
          <w:szCs w:val="18"/>
        </w:rPr>
        <w:t xml:space="preserve">APT      ──&lt; USES &gt;──────────── MALWARE</w:t>
      </w:r>
    </w:p>
    <w:p>
      <w:pPr>
        <w:shd w:fill="F5F7FA" w:val="clear"/>
        <w:spacing w:after="40" w:before="40"/>
        <w:ind w:left="480"/>
      </w:pPr>
      <w:r>
        <w:rPr>
          <w:rFonts w:ascii="Courier New" w:cs="Courier New" w:eastAsia="Courier New" w:hAnsi="Courier New"/>
          <w:color w:val="2C5F2E"/>
          <w:sz w:val="18"/>
          <w:szCs w:val="18"/>
        </w:rPr>
        <w:t xml:space="preserve">APT      ──&lt; AFFILIATED_WITH &gt;─ NATION_STATE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This means, for example, that an article about WannaCry should pull in its APT record (Lazarus Group), its CVE (CVE-2017-0144), its malware record, and its ATT&amp;CK technique mappings — all as structured foreign-key relationships, not inline prose.</w:t>
      </w:r>
    </w:p>
    <w:p>
      <w:pPr>
        <w:spacing w:after="0" w:before="3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252F"/>
          <w:spacing w:val="80"/>
          <w:sz w:val="22"/>
          <w:szCs w:val="22"/>
        </w:rPr>
        <w:t xml:space="preserve">CONTROLLED VOCABULARIES</w:t>
      </w:r>
    </w:p>
    <w:p>
      <w:pPr>
        <w:pBdr>
          <w:bottom w:val="single" w:color="E8A020" w:sz="6" w:space="1"/>
        </w:pBdr>
        <w:spacing w:after="240" w:before="0"/>
      </w:pP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All categorical fields use locked controlled vocabularies. Free-text classification fields are prohibited — they prevent filtering, correlation, and trend analysis across the corpus.</w:t>
      </w:r>
    </w:p>
    <w:p>
      <w:pPr>
        <w:spacing w:after="0" w:before="2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Incident Classification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Two-tier classification. Both tiers are required for every incident record.</w:t>
      </w:r>
    </w:p>
    <w:p>
      <w:pPr>
        <w:spacing w:after="0" w:before="8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20"/>
      </w:tblGrid>
      <w:tr>
        <w:tc>
          <w:tcPr>
            <w:tcW w:type="dxa" w:w="2800"/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 1</w:t>
            </w:r>
          </w:p>
        </w:tc>
        <w:tc>
          <w:tcPr>
            <w:tcW w:type="dxa" w:w="6920"/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 2 OPTIONS</w:t>
            </w:r>
          </w:p>
        </w:tc>
      </w:tr>
      <w:tr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Data Breach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Exfiltration, Exposure, Insider</w:t>
            </w:r>
          </w:p>
        </w:tc>
      </w:tr>
      <w:tr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Ransomware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Encryption-only, Double Extortion, Triple Extortion</w:t>
            </w:r>
          </w:p>
        </w:tc>
      </w:tr>
      <w:tr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Espionage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Nation-State, Corporate, Political</w:t>
            </w:r>
          </w:p>
        </w:tc>
      </w:tr>
      <w:tr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Sabotage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Destructive Malware, Physical-Cyber, ICS/OT</w:t>
            </w:r>
          </w:p>
        </w:tc>
      </w:tr>
      <w:tr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Supply Chain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Software, Hardware, Managed Service Provider</w:t>
            </w:r>
          </w:p>
        </w:tc>
      </w:tr>
      <w:tr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DDoS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Volumetric, Protocol, Application Layer</w:t>
            </w:r>
          </w:p>
        </w:tc>
      </w:tr>
      <w:tr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Financial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BEC, Fraud, Crypto Theft, SWIFT</w:t>
            </w:r>
          </w:p>
        </w:tc>
      </w:tr>
      <w:tr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Disinformation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Influence Op, Deepfake, Account Takeover</w:t>
            </w:r>
          </w:p>
        </w:tc>
      </w:tr>
      <w:tr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Vulnerability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Zero-Day Exploit, N-Day Exploit, Misconfiguration</w:t>
            </w:r>
          </w:p>
        </w:tc>
      </w:tr>
      <w:tr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Access Brokerage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Initial Access Sold, Credential Theft</w:t>
            </w:r>
          </w:p>
        </w:tc>
      </w:tr>
    </w:tbl>
    <w:p>
      <w:pPr>
        <w:spacing w:after="0" w:before="2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Attribution Confidence — Admiralty Scale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Attribution confidence uses the Admiralty Credibility Scale. This is a structured, tiered framework used by intelligence agencies and is recognizable to the security research community.</w:t>
      </w:r>
    </w:p>
    <w:p>
      <w:pPr>
        <w:spacing w:after="0" w:before="8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520"/>
      </w:tblGrid>
      <w:tr>
        <w:tc>
          <w:tcPr>
            <w:tcW w:type="dxa" w:w="1200"/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2000"/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LABEL</w:t>
            </w:r>
          </w:p>
        </w:tc>
        <w:tc>
          <w:tcPr>
            <w:tcW w:type="dxa" w:w="6520"/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A020"/>
                <w:sz w:val="18"/>
                <w:szCs w:val="18"/>
              </w:rPr>
              <w:t xml:space="preserve">A1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Confirmed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Official government attribution or perpetrator admission</w:t>
            </w:r>
          </w:p>
        </w:tc>
      </w:tr>
      <w:tr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A2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Multiple independent vendors agree, strong technical evidence</w:t>
            </w:r>
          </w:p>
        </w:tc>
      </w:tr>
      <w:tr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A3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Credible single-vendor attribution with supporting indicators</w:t>
            </w:r>
          </w:p>
        </w:tc>
      </w:tr>
      <w:tr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A4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Low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Circumstantial evidence, TTPs loosely consistent</w:t>
            </w:r>
          </w:p>
        </w:tc>
      </w:tr>
      <w:tr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A5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Disputed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Active disagreement between credible sources</w:t>
            </w:r>
          </w:p>
        </w:tc>
      </w:tr>
      <w:tr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A6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Unknown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Insufficient evidence to attribute</w:t>
            </w:r>
          </w:p>
        </w:tc>
      </w:tr>
    </w:tbl>
    <w:p>
      <w:pPr>
        <w:spacing w:after="0" w:before="2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Impact Severity</w:t>
      </w:r>
    </w:p>
    <w:p>
      <w:pPr>
        <w:spacing w:after="0" w:before="8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6720"/>
      </w:tblGrid>
      <w:tr>
        <w:tc>
          <w:tcPr>
            <w:tcW w:type="dxa" w:w="1000"/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2000"/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LABEL</w:t>
            </w:r>
          </w:p>
        </w:tc>
        <w:tc>
          <w:tcPr>
            <w:tcW w:type="dxa" w:w="6720"/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CRITERIA</w:t>
            </w:r>
          </w:p>
        </w:tc>
      </w:tr>
      <w:tr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A02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Critical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National infrastructure, &gt;$1B impact, or mass casualty potential</w:t>
            </w:r>
          </w:p>
        </w:tc>
      </w:tr>
      <w:tr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Major sector disruption, $100M–$1B impact, or 10M+ records</w:t>
            </w:r>
          </w:p>
        </w:tc>
      </w:tr>
      <w:tr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Significant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Notable disruption, $10M–$100M impact, or 1M–10M records</w:t>
            </w:r>
          </w:p>
        </w:tc>
      </w:tr>
      <w:tr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Moderate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Limited disruption, $1M–$10M impact, or &lt;1M records</w:t>
            </w:r>
          </w:p>
        </w:tc>
      </w:tr>
      <w:tr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Low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Contained, minimal financial or operational impact</w:t>
            </w:r>
          </w:p>
        </w:tc>
      </w:tr>
    </w:tbl>
    <w:p>
      <w:pPr>
        <w:spacing w:after="0" w:before="2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Initial Access Vector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Aligned directly to MITRE ATT&amp;CK Initial Access tactic (TA0001). Selecting a vector automatically pre-populates the ATT&amp;CK technique field.</w:t>
      </w:r>
    </w:p>
    <w:p>
      <w:pPr>
        <w:spacing w:after="0" w:before="8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20"/>
        <w:gridCol w:w="4000"/>
      </w:tblGrid>
      <w:tr>
        <w:tc>
          <w:tcPr>
            <w:tcW w:type="dxa" w:w="5720"/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VECTOR</w:t>
            </w:r>
          </w:p>
        </w:tc>
        <w:tc>
          <w:tcPr>
            <w:tcW w:type="dxa" w:w="4000"/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ATT&amp;CK TECHNIQUE ID</w:t>
            </w:r>
          </w:p>
        </w:tc>
      </w:tr>
      <w:tr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Phishing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T1566</w:t>
            </w:r>
          </w:p>
        </w:tc>
      </w:tr>
      <w:tr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Valid Accounts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T1078</w:t>
            </w:r>
          </w:p>
        </w:tc>
      </w:tr>
      <w:tr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Exploit Public-Facing Application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T1190</w:t>
            </w:r>
          </w:p>
        </w:tc>
      </w:tr>
      <w:tr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Supply Chain Compromise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T1195</w:t>
            </w:r>
          </w:p>
        </w:tc>
      </w:tr>
      <w:tr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Trusted Relationship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T1199</w:t>
            </w:r>
          </w:p>
        </w:tc>
      </w:tr>
      <w:tr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Drive-by Compromise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T1189</w:t>
            </w:r>
          </w:p>
        </w:tc>
      </w:tr>
      <w:tr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Hardware Additions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T1200</w:t>
            </w:r>
          </w:p>
        </w:tc>
      </w:tr>
      <w:tr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External Remote Services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T1133</w:t>
            </w:r>
          </w:p>
        </w:tc>
      </w:tr>
      <w:tr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Replication Through Removable Media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T1091</w:t>
            </w:r>
          </w:p>
        </w:tc>
      </w:tr>
    </w:tbl>
    <w:p>
      <w:pPr>
        <w:spacing w:after="0" w:before="2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Sector Taxonomy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Aligned to NAICS but simplified for cyber context. Used on both incident records (target_sectors) and APT profiles (known_sectors_targeted).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2"/>
          <w:szCs w:val="22"/>
        </w:rPr>
        <w:t xml:space="preserve">Energy &amp; Utilities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2"/>
          <w:szCs w:val="22"/>
        </w:rPr>
        <w:t xml:space="preserve">Financial Services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2"/>
          <w:szCs w:val="22"/>
        </w:rPr>
        <w:t xml:space="preserve">Government — Federal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2"/>
          <w:szCs w:val="22"/>
        </w:rPr>
        <w:t xml:space="preserve">Government — State/Local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2"/>
          <w:szCs w:val="22"/>
        </w:rPr>
        <w:t xml:space="preserve">Government — Military/Defense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2"/>
          <w:szCs w:val="22"/>
        </w:rPr>
        <w:t xml:space="preserve">Healthcare &amp; Life Sciences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2"/>
          <w:szCs w:val="22"/>
        </w:rPr>
        <w:t xml:space="preserve">Critical Infrastructure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2"/>
          <w:szCs w:val="22"/>
        </w:rPr>
        <w:t xml:space="preserve">Technology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2"/>
          <w:szCs w:val="22"/>
        </w:rPr>
        <w:t xml:space="preserve">Telecommunications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2"/>
          <w:szCs w:val="22"/>
        </w:rPr>
        <w:t xml:space="preserve">Transportation &amp; Logistics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2"/>
          <w:szCs w:val="22"/>
        </w:rPr>
        <w:t xml:space="preserve">Education &amp; Research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2"/>
          <w:szCs w:val="22"/>
        </w:rPr>
        <w:t xml:space="preserve">Media &amp; Entertainment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Retail &amp; Consumer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2"/>
          <w:szCs w:val="22"/>
        </w:rPr>
        <w:t xml:space="preserve">Manufacturing &amp; Industrial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2"/>
          <w:szCs w:val="22"/>
        </w:rPr>
        <w:t xml:space="preserve">Legal &amp; Professional Services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Non-Profit &amp; NGO</w:t>
      </w:r>
    </w:p>
    <w:p>
      <w:pPr>
        <w:spacing w:after="0" w:before="3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252F"/>
          <w:spacing w:val="80"/>
          <w:sz w:val="22"/>
          <w:szCs w:val="22"/>
        </w:rPr>
        <w:t xml:space="preserve">INCIDENT RECORD SCHEMA</w:t>
      </w:r>
    </w:p>
    <w:p>
      <w:pPr>
        <w:pBdr>
          <w:bottom w:val="single" w:color="E8A020" w:sz="6" w:space="1"/>
        </w:pBdr>
        <w:spacing w:after="24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Required Fields</w:t>
      </w:r>
    </w:p>
    <w:p>
      <w:pPr>
        <w:spacing w:after="0" w:before="8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2320"/>
        <w:gridCol w:w="3400"/>
      </w:tblGrid>
      <w:tr>
        <w:tc>
          <w:tcPr>
            <w:tcW w:type="dxa" w:w="2600"/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320"/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3400"/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VALIDATION</w:t>
            </w:r>
          </w:p>
        </w:tc>
      </w:tr>
      <w:tr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event_id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TP-YYYY-NNNN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Auto-assigned, immutable</w:t>
            </w:r>
          </w:p>
        </w:tc>
      </w:tr>
      <w:tr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common_name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Title case, 80 chars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Required, unique</w:t>
            </w:r>
          </w:p>
        </w:tc>
      </w:tr>
      <w:tr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classification_l1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Enum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Controlled vocab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classification_l2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Enum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Child of L1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date_start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ISO 8601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Required; YYYY-MM or YYYY if exact unknown</w:t>
            </w:r>
          </w:p>
        </w:tc>
      </w:tr>
      <w:tr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date_discovered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ISO 8601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date_disclosed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ISO 8601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date_end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ISO 8601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Optional; null if ongoing</w:t>
            </w:r>
          </w:p>
        </w:tc>
      </w:tr>
      <w:tr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attribution_actor_ids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Array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APT_ID FK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attribution_confidence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Enum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Admiralty A1–A6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attribution_rationale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Max 500 chars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Required if A1–A4</w:t>
            </w:r>
          </w:p>
        </w:tc>
      </w:tr>
      <w:tr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target_sectors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Array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Sector taxonomy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Required, min 1</w:t>
            </w:r>
          </w:p>
        </w:tc>
      </w:tr>
      <w:tr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target_countries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Array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ISO 3166-1 α-2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Required, min 1</w:t>
            </w:r>
          </w:p>
        </w:tc>
      </w:tr>
      <w:tr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target_named_orgs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Array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Free text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Only if publicly disclosed</w:t>
            </w:r>
          </w:p>
        </w:tc>
      </w:tr>
      <w:tr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impact_severity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Enum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1–5 scale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impact_records_exposed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Integer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Count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impact_financial_usd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Integer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USD estimate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impact_description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Max 1000 chars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initial_access_vector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Enum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ATT&amp;CK aligned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cves_exploited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Array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CVE-YYYY-NNNNN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malware_ids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Array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Malware_ID FK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Enum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Controlled vocab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sources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Array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Source schema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Required, min 3</w:t>
            </w:r>
          </w:p>
        </w:tc>
      </w:tr>
      <w:tr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version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Integer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Auto-increment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Auto-assigned</w:t>
            </w:r>
          </w:p>
        </w:tc>
      </w:tr>
    </w:tbl>
    <w:p>
      <w:pPr>
        <w:spacing w:after="0" w:before="2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Source Schema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Each source is a structured object. URL strings alone are not acceptable citation format.</w:t>
      </w:r>
    </w:p>
    <w:p>
      <w:pPr>
        <w:spacing w:after="0" w:before="100"/>
      </w:pPr>
    </w:p>
    <w:p>
      <w:pPr>
        <w:shd w:fill="F5F7FA" w:val="clear"/>
        <w:spacing w:after="40" w:before="40"/>
        <w:ind w:left="480"/>
      </w:pPr>
      <w:r>
        <w:rPr>
          <w:rFonts w:ascii="Courier New" w:cs="Courier New" w:eastAsia="Courier New" w:hAnsi="Courier New"/>
          <w:color w:val="2C5F2E"/>
          <w:sz w:val="18"/>
          <w:szCs w:val="18"/>
        </w:rPr>
        <w:t xml:space="preserve">{</w:t>
      </w:r>
    </w:p>
    <w:p>
      <w:pPr>
        <w:shd w:fill="F5F7FA" w:val="clear"/>
        <w:spacing w:after="40" w:before="40"/>
        <w:ind w:left="480"/>
      </w:pPr>
      <w:r>
        <w:rPr>
          <w:rFonts w:ascii="Courier New" w:cs="Courier New" w:eastAsia="Courier New" w:hAnsi="Courier New"/>
          <w:color w:val="2C5F2E"/>
          <w:sz w:val="18"/>
          <w:szCs w:val="18"/>
        </w:rPr>
        <w:t xml:space="preserve">  "source_id":      "SRC-0001",</w:t>
      </w:r>
    </w:p>
    <w:p>
      <w:pPr>
        <w:shd w:fill="F5F7FA" w:val="clear"/>
        <w:spacing w:after="40" w:before="40"/>
        <w:ind w:left="480"/>
      </w:pPr>
      <w:r>
        <w:rPr>
          <w:rFonts w:ascii="Courier New" w:cs="Courier New" w:eastAsia="Courier New" w:hAnsi="Courier New"/>
          <w:color w:val="2C5F2E"/>
          <w:sz w:val="18"/>
          <w:szCs w:val="18"/>
        </w:rPr>
        <w:t xml:space="preserve">  "url":            "https://...",</w:t>
      </w:r>
    </w:p>
    <w:p>
      <w:pPr>
        <w:shd w:fill="F5F7FA" w:val="clear"/>
        <w:spacing w:after="40" w:before="40"/>
        <w:ind w:left="480"/>
      </w:pPr>
      <w:r>
        <w:rPr>
          <w:rFonts w:ascii="Courier New" w:cs="Courier New" w:eastAsia="Courier New" w:hAnsi="Courier New"/>
          <w:color w:val="2C5F2E"/>
          <w:sz w:val="18"/>
          <w:szCs w:val="18"/>
        </w:rPr>
        <w:t xml:space="preserve">  "title":          "Report or article title",</w:t>
      </w:r>
    </w:p>
    <w:p>
      <w:pPr>
        <w:shd w:fill="F5F7FA" w:val="clear"/>
        <w:spacing w:after="40" w:before="40"/>
        <w:ind w:left="480"/>
      </w:pPr>
      <w:r>
        <w:rPr>
          <w:rFonts w:ascii="Courier New" w:cs="Courier New" w:eastAsia="Courier New" w:hAnsi="Courier New"/>
          <w:color w:val="2C5F2E"/>
          <w:sz w:val="18"/>
          <w:szCs w:val="18"/>
        </w:rPr>
        <w:t xml:space="preserve">  "publisher":      "Mandiant / Reuters / CISA / etc.",</w:t>
      </w:r>
    </w:p>
    <w:p>
      <w:pPr>
        <w:shd w:fill="F5F7FA" w:val="clear"/>
        <w:spacing w:after="40" w:before="40"/>
        <w:ind w:left="480"/>
      </w:pPr>
      <w:r>
        <w:rPr>
          <w:rFonts w:ascii="Courier New" w:cs="Courier New" w:eastAsia="Courier New" w:hAnsi="Courier New"/>
          <w:color w:val="2C5F2E"/>
          <w:sz w:val="18"/>
          <w:szCs w:val="18"/>
        </w:rPr>
        <w:t xml:space="preserve">  "publisher_type": "vendor | government | media | academic | legal",</w:t>
      </w:r>
    </w:p>
    <w:p>
      <w:pPr>
        <w:shd w:fill="F5F7FA" w:val="clear"/>
        <w:spacing w:after="40" w:before="40"/>
        <w:ind w:left="480"/>
      </w:pPr>
      <w:r>
        <w:rPr>
          <w:rFonts w:ascii="Courier New" w:cs="Courier New" w:eastAsia="Courier New" w:hAnsi="Courier New"/>
          <w:color w:val="2C5F2E"/>
          <w:sz w:val="18"/>
          <w:szCs w:val="18"/>
        </w:rPr>
        <w:t xml:space="preserve">  "published_date": "YYYY-MM-DD",</w:t>
      </w:r>
    </w:p>
    <w:p>
      <w:pPr>
        <w:shd w:fill="F5F7FA" w:val="clear"/>
        <w:spacing w:after="40" w:before="40"/>
        <w:ind w:left="480"/>
      </w:pPr>
      <w:r>
        <w:rPr>
          <w:rFonts w:ascii="Courier New" w:cs="Courier New" w:eastAsia="Courier New" w:hAnsi="Courier New"/>
          <w:color w:val="2C5F2E"/>
          <w:sz w:val="18"/>
          <w:szCs w:val="18"/>
        </w:rPr>
        <w:t xml:space="preserve">  "archived_url":   "https://web.archive.org/...",</w:t>
      </w:r>
    </w:p>
    <w:p>
      <w:pPr>
        <w:shd w:fill="F5F7FA" w:val="clear"/>
        <w:spacing w:after="40" w:before="40"/>
        <w:ind w:left="480"/>
      </w:pPr>
      <w:r>
        <w:rPr>
          <w:rFonts w:ascii="Courier New" w:cs="Courier New" w:eastAsia="Courier New" w:hAnsi="Courier New"/>
          <w:color w:val="2C5F2E"/>
          <w:sz w:val="18"/>
          <w:szCs w:val="18"/>
        </w:rPr>
        <w:t xml:space="preserve">  "credibility":    "primary | secondary | corroborating",</w:t>
      </w:r>
    </w:p>
    <w:p>
      <w:pPr>
        <w:shd w:fill="F5F7FA" w:val="clear"/>
        <w:spacing w:after="40" w:before="40"/>
        <w:ind w:left="480"/>
      </w:pPr>
      <w:r>
        <w:rPr>
          <w:rFonts w:ascii="Courier New" w:cs="Courier New" w:eastAsia="Courier New" w:hAnsi="Courier New"/>
          <w:color w:val="2C5F2E"/>
          <w:sz w:val="18"/>
          <w:szCs w:val="18"/>
        </w:rPr>
        <w:t xml:space="preserve">  "notes":          "Optional reviewer notes"</w:t>
      </w:r>
    </w:p>
    <w:p>
      <w:pPr>
        <w:shd w:fill="F5F7FA" w:val="clear"/>
        <w:spacing w:after="40" w:before="40"/>
        <w:ind w:left="480"/>
      </w:pPr>
      <w:r>
        <w:rPr>
          <w:rFonts w:ascii="Courier New" w:cs="Courier New" w:eastAsia="Courier New" w:hAnsi="Courier New"/>
          <w:color w:val="2C5F2E"/>
          <w:sz w:val="18"/>
          <w:szCs w:val="18"/>
        </w:rPr>
        <w:t xml:space="preserve">}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Archiving requirement: All sources must be archived via the Wayback Machine at time of publication. URLs rot — archived copies are mandatory for certification, not submission.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2"/>
          <w:szCs w:val="22"/>
        </w:rPr>
        <w:t xml:space="preserve">At least 3 independent corroborating sources required for certification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2"/>
          <w:szCs w:val="22"/>
        </w:rPr>
        <w:t xml:space="preserve">At least 1 source must be publisher_type: government OR media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2"/>
          <w:szCs w:val="22"/>
        </w:rPr>
        <w:t xml:space="preserve">Sources from the same parent organization count as a single independent source</w:t>
      </w:r>
    </w:p>
    <w:p>
      <w:pPr>
        <w:spacing w:after="0" w:before="3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252F"/>
          <w:spacing w:val="80"/>
          <w:sz w:val="22"/>
          <w:szCs w:val="22"/>
        </w:rPr>
        <w:t xml:space="preserve">MITRE ATT&amp;CK MAPPING STANDARDS</w:t>
      </w:r>
    </w:p>
    <w:p>
      <w:pPr>
        <w:pBdr>
          <w:bottom w:val="single" w:color="E8A020" w:sz="6" w:space="1"/>
        </w:pBdr>
        <w:spacing w:after="24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Technique Schema</w:t>
      </w:r>
    </w:p>
    <w:p>
      <w:pPr>
        <w:spacing w:after="0" w:before="80"/>
      </w:pPr>
    </w:p>
    <w:p>
      <w:pPr>
        <w:shd w:fill="F5F7FA" w:val="clear"/>
        <w:spacing w:after="40" w:before="40"/>
        <w:ind w:left="480"/>
      </w:pPr>
      <w:r>
        <w:rPr>
          <w:rFonts w:ascii="Courier New" w:cs="Courier New" w:eastAsia="Courier New" w:hAnsi="Courier New"/>
          <w:color w:val="2C5F2E"/>
          <w:sz w:val="18"/>
          <w:szCs w:val="18"/>
        </w:rPr>
        <w:t xml:space="preserve">{</w:t>
      </w:r>
    </w:p>
    <w:p>
      <w:pPr>
        <w:shd w:fill="F5F7FA" w:val="clear"/>
        <w:spacing w:after="40" w:before="40"/>
        <w:ind w:left="480"/>
      </w:pPr>
      <w:r>
        <w:rPr>
          <w:rFonts w:ascii="Courier New" w:cs="Courier New" w:eastAsia="Courier New" w:hAnsi="Courier New"/>
          <w:color w:val="2C5F2E"/>
          <w:sz w:val="18"/>
          <w:szCs w:val="18"/>
        </w:rPr>
        <w:t xml:space="preserve">  "technique_id":   "T1566.001",</w:t>
      </w:r>
    </w:p>
    <w:p>
      <w:pPr>
        <w:shd w:fill="F5F7FA" w:val="clear"/>
        <w:spacing w:after="40" w:before="40"/>
        <w:ind w:left="480"/>
      </w:pPr>
      <w:r>
        <w:rPr>
          <w:rFonts w:ascii="Courier New" w:cs="Courier New" w:eastAsia="Courier New" w:hAnsi="Courier New"/>
          <w:color w:val="2C5F2E"/>
          <w:sz w:val="18"/>
          <w:szCs w:val="18"/>
        </w:rPr>
        <w:t xml:space="preserve">  "technique_name": "Spearphishing Attachment",</w:t>
      </w:r>
    </w:p>
    <w:p>
      <w:pPr>
        <w:shd w:fill="F5F7FA" w:val="clear"/>
        <w:spacing w:after="40" w:before="40"/>
        <w:ind w:left="480"/>
      </w:pPr>
      <w:r>
        <w:rPr>
          <w:rFonts w:ascii="Courier New" w:cs="Courier New" w:eastAsia="Courier New" w:hAnsi="Courier New"/>
          <w:color w:val="2C5F2E"/>
          <w:sz w:val="18"/>
          <w:szCs w:val="18"/>
        </w:rPr>
        <w:t xml:space="preserve">  "tactic":         "Initial Access",</w:t>
      </w:r>
    </w:p>
    <w:p>
      <w:pPr>
        <w:shd w:fill="F5F7FA" w:val="clear"/>
        <w:spacing w:after="40" w:before="40"/>
        <w:ind w:left="480"/>
      </w:pPr>
      <w:r>
        <w:rPr>
          <w:rFonts w:ascii="Courier New" w:cs="Courier New" w:eastAsia="Courier New" w:hAnsi="Courier New"/>
          <w:color w:val="2C5F2E"/>
          <w:sz w:val="18"/>
          <w:szCs w:val="18"/>
        </w:rPr>
        <w:t xml:space="preserve">  "confidence":     "confirmed | probable | possible",</w:t>
      </w:r>
    </w:p>
    <w:p>
      <w:pPr>
        <w:shd w:fill="F5F7FA" w:val="clear"/>
        <w:spacing w:after="40" w:before="40"/>
        <w:ind w:left="480"/>
      </w:pPr>
      <w:r>
        <w:rPr>
          <w:rFonts w:ascii="Courier New" w:cs="Courier New" w:eastAsia="Courier New" w:hAnsi="Courier New"/>
          <w:color w:val="2C5F2E"/>
          <w:sz w:val="18"/>
          <w:szCs w:val="18"/>
        </w:rPr>
        <w:t xml:space="preserve">  "evidence":       "Free text describing evidence for this mapping",</w:t>
      </w:r>
    </w:p>
    <w:p>
      <w:pPr>
        <w:shd w:fill="F5F7FA" w:val="clear"/>
        <w:spacing w:after="40" w:before="40"/>
        <w:ind w:left="480"/>
      </w:pPr>
      <w:r>
        <w:rPr>
          <w:rFonts w:ascii="Courier New" w:cs="Courier New" w:eastAsia="Courier New" w:hAnsi="Courier New"/>
          <w:color w:val="2C5F2E"/>
          <w:sz w:val="18"/>
          <w:szCs w:val="18"/>
        </w:rPr>
        <w:t xml:space="preserve">  "attack_version": "v15",</w:t>
      </w:r>
    </w:p>
    <w:p>
      <w:pPr>
        <w:shd w:fill="F5F7FA" w:val="clear"/>
        <w:spacing w:after="40" w:before="40"/>
        <w:ind w:left="480"/>
      </w:pPr>
      <w:r>
        <w:rPr>
          <w:rFonts w:ascii="Courier New" w:cs="Courier New" w:eastAsia="Courier New" w:hAnsi="Courier New"/>
          <w:color w:val="2C5F2E"/>
          <w:sz w:val="18"/>
          <w:szCs w:val="18"/>
        </w:rPr>
        <w:t xml:space="preserve">  "mapped_by":      "reviewer_id",</w:t>
      </w:r>
    </w:p>
    <w:p>
      <w:pPr>
        <w:shd w:fill="F5F7FA" w:val="clear"/>
        <w:spacing w:after="40" w:before="40"/>
        <w:ind w:left="480"/>
      </w:pPr>
      <w:r>
        <w:rPr>
          <w:rFonts w:ascii="Courier New" w:cs="Courier New" w:eastAsia="Courier New" w:hAnsi="Courier New"/>
          <w:color w:val="2C5F2E"/>
          <w:sz w:val="18"/>
          <w:szCs w:val="18"/>
        </w:rPr>
        <w:t xml:space="preserve">  "mapped_date":    "YYYY-MM-DD",</w:t>
      </w:r>
    </w:p>
    <w:p>
      <w:pPr>
        <w:shd w:fill="F5F7FA" w:val="clear"/>
        <w:spacing w:after="40" w:before="40"/>
        <w:ind w:left="480"/>
      </w:pPr>
      <w:r>
        <w:rPr>
          <w:rFonts w:ascii="Courier New" w:cs="Courier New" w:eastAsia="Courier New" w:hAnsi="Courier New"/>
          <w:color w:val="2C5F2E"/>
          <w:sz w:val="18"/>
          <w:szCs w:val="18"/>
        </w:rPr>
        <w:t xml:space="preserve">  "source_refs":    ["SRC-0001", "SRC-0002"]</w:t>
      </w:r>
    </w:p>
    <w:p>
      <w:pPr>
        <w:shd w:fill="F5F7FA" w:val="clear"/>
        <w:spacing w:after="40" w:before="40"/>
        <w:ind w:left="480"/>
      </w:pPr>
      <w:r>
        <w:rPr>
          <w:rFonts w:ascii="Courier New" w:cs="Courier New" w:eastAsia="Courier New" w:hAnsi="Courier New"/>
          <w:color w:val="2C5F2E"/>
          <w:sz w:val="18"/>
          <w:szCs w:val="18"/>
        </w:rPr>
        <w:t xml:space="preserve">}</w:t>
      </w:r>
    </w:p>
    <w:p>
      <w:pPr>
        <w:spacing w:after="0" w:before="2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Confidence Tiers</w:t>
      </w:r>
    </w:p>
    <w:p>
      <w:pPr>
        <w:spacing w:after="0" w:before="8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720"/>
      </w:tblGrid>
      <w:tr>
        <w:tc>
          <w:tcPr>
            <w:tcW w:type="dxa" w:w="2000"/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LABEL</w:t>
            </w:r>
          </w:p>
        </w:tc>
        <w:tc>
          <w:tcPr>
            <w:tcW w:type="dxa" w:w="5720"/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confirmed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Confirmed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Direct technical evidence: malware sample, IR report, network capture</w:t>
            </w:r>
          </w:p>
        </w:tc>
      </w:tr>
      <w:tr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probable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Probable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Strong circumstantial evidence from credible source</w:t>
            </w:r>
          </w:p>
        </w:tc>
      </w:tr>
      <w:tr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possible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Possible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Inferred from known actor TTPs or partial evidence</w:t>
            </w:r>
          </w:p>
        </w:tc>
      </w:tr>
    </w:tbl>
    <w:p>
      <w:pPr>
        <w:spacing w:after="0" w:before="2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Mapping Rules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2"/>
          <w:szCs w:val="22"/>
        </w:rPr>
        <w:t xml:space="preserve">Every technique mapping must include an evidence field — speculative mappings without evidence are rejected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attack_version field is required — ATT&amp;CK evolves and mappings must be versioned to remain accurate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2"/>
          <w:szCs w:val="22"/>
        </w:rPr>
        <w:t xml:space="preserve">Kill Chain stage is derived automatically from ATT&amp;CK tactic — reviewers do not enter both manually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2"/>
          <w:szCs w:val="22"/>
        </w:rPr>
        <w:t xml:space="preserve">Sub-techniques (e.g., T1566.001) are preferred over parent techniques where evidence supports specificity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2"/>
          <w:szCs w:val="22"/>
        </w:rPr>
        <w:t xml:space="preserve">Never map a technique based solely on 'this actor usually does X' — that poisons the corpus for analytics</w:t>
      </w:r>
    </w:p>
    <w:p>
      <w:pPr>
        <w:spacing w:after="0" w:before="3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252F"/>
          <w:spacing w:val="80"/>
          <w:sz w:val="22"/>
          <w:szCs w:val="22"/>
        </w:rPr>
        <w:t xml:space="preserve">APT REGISTRY SCHEMA</w:t>
      </w:r>
    </w:p>
    <w:p>
      <w:pPr>
        <w:pBdr>
          <w:bottom w:val="single" w:color="E8A020" w:sz="6" w:space="1"/>
        </w:pBdr>
        <w:spacing w:after="240" w:before="0"/>
      </w:pPr>
    </w:p>
    <w:p>
      <w:pPr>
        <w:spacing w:after="0" w:before="6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2000"/>
        <w:gridCol w:w="3320"/>
      </w:tblGrid>
      <w:tr>
        <w:tc>
          <w:tcPr>
            <w:tcW w:type="dxa" w:w="2800"/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3320"/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apt_id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TP-APT-NNNN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Auto-assigned, immutable</w:t>
            </w:r>
          </w:p>
        </w:tc>
      </w:tr>
      <w:tr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canonical_name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Title case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Threatpedia's primary name</w:t>
            </w:r>
          </w:p>
        </w:tc>
      </w:tr>
      <w:tr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naming_rationale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Free text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Why this canonical name was chosen</w:t>
            </w:r>
          </w:p>
        </w:tc>
      </w:tr>
      <w:tr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vendor_names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Object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See schema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CrowdStrike, Mandiant, Microsoft, RF</w:t>
            </w:r>
          </w:p>
        </w:tc>
      </w:tr>
      <w:tr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nation_state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ISO 3166-1 α-2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Suspected/confirmed sponsor</w:t>
            </w:r>
          </w:p>
        </w:tc>
      </w:tr>
      <w:tr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sub_org_affiliation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Free text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e.g. GRU Unit 74455, MSS</w:t>
            </w:r>
          </w:p>
        </w:tc>
      </w:tr>
      <w:tr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attribution_confidence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Enum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Admiralty A1–A6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active_status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Enum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Controlled vocab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Active/Dormant/Disbanded/Unknown</w:t>
            </w:r>
          </w:p>
        </w:tc>
      </w:tr>
      <w:tr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active_since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Integer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Year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First observed activity</w:t>
            </w:r>
          </w:p>
        </w:tc>
      </w:tr>
      <w:tr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last_observed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Year or Ongoing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primary_motivation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Enum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Controlled vocab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Espionage/Financial/Sabotage/etc.</w:t>
            </w:r>
          </w:p>
        </w:tc>
      </w:tr>
      <w:tr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known_campaigns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Array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TP_ID FK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Required, min 1 for certification</w:t>
            </w:r>
          </w:p>
        </w:tc>
      </w:tr>
      <w:tr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known_sectors_targeted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Array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Sector taxonomy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Required, min 1</w:t>
            </w:r>
          </w:p>
        </w:tc>
      </w:tr>
      <w:tr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diamond_model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Object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4-component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Adversary/Infrastructure/Capability/Victim</w:t>
            </w:r>
          </w:p>
        </w:tc>
      </w:tr>
      <w:tr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known_malware_families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Array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Malware_ID FK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Optional</w:t>
            </w:r>
          </w:p>
        </w:tc>
      </w:tr>
    </w:tbl>
    <w:p>
      <w:pPr>
        <w:spacing w:after="0" w:before="3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252F"/>
          <w:spacing w:val="80"/>
          <w:sz w:val="22"/>
          <w:szCs w:val="22"/>
        </w:rPr>
        <w:t xml:space="preserve">DATA QUALITY RULES</w:t>
      </w:r>
    </w:p>
    <w:p>
      <w:pPr>
        <w:pBdr>
          <w:bottom w:val="single" w:color="E8A020" w:sz="6" w:space="1"/>
        </w:pBdr>
        <w:spacing w:after="240" w:before="0"/>
      </w:pP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following rules are enforced automatically before any article enters the human review queue. Submissions that fail validation are returned to the author with specific error messages.</w:t>
      </w:r>
    </w:p>
    <w:p>
      <w:pPr>
        <w:spacing w:after="0" w:before="12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120"/>
      </w:tblGrid>
      <w:tr>
        <w:tc>
          <w:tcPr>
            <w:tcW w:type="dxa" w:w="1600"/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 ID</w:t>
            </w:r>
          </w:p>
        </w:tc>
        <w:tc>
          <w:tcPr>
            <w:tcW w:type="dxa" w:w="8120"/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</w:t>
            </w:r>
          </w:p>
        </w:tc>
      </w:tr>
      <w:tr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RULE-001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event_id must match pattern TP-YYYY-NNNN</w:t>
            </w:r>
          </w:p>
        </w:tc>
      </w:tr>
      <w:tr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RULE-002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date_start cannot be in the future</w:t>
            </w:r>
          </w:p>
        </w:tc>
      </w:tr>
      <w:tr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RULE-003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date_end must be after date_start if both present</w:t>
            </w:r>
          </w:p>
        </w:tc>
      </w:tr>
      <w:tr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RULE-004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sources array must contain minimum 3 entries</w:t>
            </w:r>
          </w:p>
        </w:tc>
      </w:tr>
      <w:tr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RULE-005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At least 1 source must be publisher_type: government or media</w:t>
            </w:r>
          </w:p>
        </w:tc>
      </w:tr>
      <w:tr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RULE-006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attribution_rationale required if confidence is A1–A4</w:t>
            </w:r>
          </w:p>
        </w:tc>
      </w:tr>
      <w:tr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RULE-007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target_countries must be valid ISO 3166-1 alpha-2 codes</w:t>
            </w:r>
          </w:p>
        </w:tc>
      </w:tr>
      <w:tr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RULE-008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cves_exploited entries must match CVE-YYYY-NNNNN format</w:t>
            </w:r>
          </w:p>
        </w:tc>
      </w:tr>
      <w:tr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RULE-009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All ATT&amp;CK technique_ids must exist in the declared attack_version</w:t>
            </w:r>
          </w:p>
        </w:tc>
      </w:tr>
      <w:tr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RULE-010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impact_severity required before article enters review queue</w:t>
            </w:r>
          </w:p>
        </w:tc>
      </w:tr>
      <w:tr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RULE-011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archived_url required for all sources at certification (not submission)</w:t>
            </w:r>
          </w:p>
        </w:tc>
      </w:tr>
      <w:tr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RULE-012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attack_version required on all ATT&amp;CK technique mappings</w:t>
            </w:r>
          </w:p>
        </w:tc>
      </w:tr>
    </w:tbl>
    <w:p>
      <w:pPr>
        <w:spacing w:after="0" w:before="3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252F"/>
          <w:spacing w:val="80"/>
          <w:sz w:val="22"/>
          <w:szCs w:val="22"/>
        </w:rPr>
        <w:t xml:space="preserve">STIX 2.1 FIELD ALIGNMENT</w:t>
      </w:r>
    </w:p>
    <w:p>
      <w:pPr>
        <w:pBdr>
          <w:bottom w:val="single" w:color="E8A020" w:sz="6" w:space="1"/>
        </w:pBdr>
        <w:spacing w:after="240" w:before="0"/>
      </w:pP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All Threatpedia fields are designed for clean export to STIX 2.1, enabling direct ingestion by MISP, OpenCTI, Anomali, and other threat intelligence platforms via TAXII feeds.</w:t>
      </w:r>
    </w:p>
    <w:p>
      <w:pPr>
        <w:spacing w:after="0" w:before="12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3240"/>
        <w:gridCol w:w="3240"/>
      </w:tblGrid>
      <w:tr>
        <w:tc>
          <w:tcPr>
            <w:tcW w:type="dxa" w:w="3240"/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THREATPEDIA FIELD</w:t>
            </w:r>
          </w:p>
        </w:tc>
        <w:tc>
          <w:tcPr>
            <w:tcW w:type="dxa" w:w="3240"/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STIX 2.1 OBJECT</w:t>
            </w:r>
          </w:p>
        </w:tc>
        <w:tc>
          <w:tcPr>
            <w:tcW w:type="dxa" w:w="3240"/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STIX FIELD</w:t>
            </w:r>
          </w:p>
        </w:tc>
      </w:tr>
      <w:tr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Incident record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x-oca-incident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OCA extension</w:t>
            </w:r>
          </w:p>
        </w:tc>
      </w:tr>
      <w:tr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APT record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intrusion-set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name, aliases, goals</w:t>
            </w:r>
          </w:p>
        </w:tc>
      </w:tr>
      <w:tr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Malware record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malware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name, malware_types</w:t>
            </w:r>
          </w:p>
        </w:tc>
      </w:tr>
      <w:tr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CVE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vulnerability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name, external_references</w:t>
            </w:r>
          </w:p>
        </w:tc>
      </w:tr>
      <w:tr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ATT&amp;CK technique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attack-pattern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name, external_references</w:t>
            </w:r>
          </w:p>
        </w:tc>
      </w:tr>
      <w:tr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Source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external-reference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url, source_name</w:t>
            </w:r>
          </w:p>
        </w:tc>
      </w:tr>
      <w:tr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Attribution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attributed-to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Relationship object</w:t>
            </w:r>
          </w:p>
        </w:tc>
      </w:tr>
      <w:tr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Target sectors/countries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identity</w:t>
            </w:r>
          </w:p>
        </w:tc>
        <w:tc>
          <w:tcPr>
            <w:tcBorders>
              <w:top w:val="single" w:color="E0E4E8" w:sz="4"/>
              <w:left w:val="single" w:color="E0E4E8" w:sz="4"/>
              <w:bottom w:val="single" w:color="E0E4E8" w:sz="4"/>
              <w:right w:val="single" w:color="E0E4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sectors, country</w:t>
            </w:r>
          </w:p>
        </w:tc>
      </w:tr>
    </w:tbl>
    <w:p>
      <w:pPr>
        <w:spacing w:after="0" w:before="3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252F"/>
          <w:spacing w:val="80"/>
          <w:sz w:val="22"/>
          <w:szCs w:val="22"/>
        </w:rPr>
        <w:t xml:space="preserve">OPEN ITEMS FOR FOUNDING BOARD</w:t>
      </w:r>
    </w:p>
    <w:p>
      <w:pPr>
        <w:pBdr>
          <w:bottom w:val="single" w:color="E8A020" w:sz="6" w:space="1"/>
        </w:pBdr>
        <w:spacing w:after="240" w:before="0"/>
      </w:pP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following questions are open for board resolution. These decisions will shape the schema's final form before Alpha phase begins.</w:t>
      </w:r>
    </w:p>
    <w:p>
      <w:pPr>
        <w:spacing w:after="0" w:before="120"/>
      </w:pP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Additional required or optional fields beyond this spec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C3E50"/>
          <w:sz w:val="22"/>
          <w:szCs w:val="22"/>
        </w:rPr>
        <w:t xml:space="preserve">Naming convention for handling common name collisions (e.g., two events both known as 'Operation Aurora')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C3E50"/>
          <w:sz w:val="22"/>
          <w:szCs w:val="22"/>
        </w:rPr>
        <w:t xml:space="preserve">Source citation standards — hybrid of journalistic, academic, and government, or tiered by article type?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C3E50"/>
          <w:sz w:val="22"/>
          <w:szCs w:val="22"/>
        </w:rPr>
        <w:t xml:space="preserve">Policy for handling classified or sensitive details in article content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C3E50"/>
          <w:sz w:val="22"/>
          <w:szCs w:val="22"/>
        </w:rPr>
        <w:t xml:space="preserve">ATT&amp;CK version pinning policy — lock to a version per article, or update mappings on each ATT&amp;CK release?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Sector taxonomy additions for emerging verticals (AI systems, space infrastructure)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C3E50"/>
          <w:sz w:val="22"/>
          <w:szCs w:val="22"/>
        </w:rPr>
        <w:t xml:space="preserve">License finalization — CC BY-SA 4.0 currently proposed, open for board ratification</w:t>
      </w:r>
    </w:p>
    <w:p>
      <w:pPr>
        <w:spacing w:after="0" w:before="300"/>
      </w:pPr>
    </w:p>
    <w:p>
      <w:pPr>
        <w:pBdr>
          <w:bottom w:val="single" w:color="E8A020" w:sz="6" w:space="1"/>
        </w:pBdr>
        <w:spacing w:after="240" w:before="0"/>
      </w:pPr>
    </w:p>
    <w:p>
      <w:pPr>
        <w:spacing w:before="120"/>
      </w:pPr>
      <w:r>
        <w:rPr>
          <w:rFonts w:ascii="Courier New" w:cs="Courier New" w:eastAsia="Courier New" w:hAnsi="Courier New"/>
          <w:b/>
          <w:bCs/>
          <w:color w:val="E8A020"/>
          <w:sz w:val="18"/>
          <w:szCs w:val="18"/>
        </w:rPr>
        <w:t xml:space="preserve">threatpedia.wiki</w:t>
      </w:r>
      <w:r>
        <w:rPr>
          <w:rFonts w:ascii="Courier New" w:cs="Courier New" w:eastAsia="Courier New" w:hAnsi="Courier New"/>
          <w:color w:val="5A6A7E"/>
          <w:sz w:val="17"/>
          <w:szCs w:val="17"/>
        </w:rPr>
        <w:t xml:space="preserve">  ·  DATA-STANDARDS.md  ·  Version 0.1  ·  March 2026  ·  Confidential — For Founding Board Review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4E8" w:sz="4" w:space="1"/>
      </w:pBdr>
      <w:tabs>
        <w:tab w:val="right" w:pos="9026"/>
      </w:tabs>
    </w:pPr>
    <w:r>
      <w:rPr>
        <w:rFonts w:ascii="Courier New" w:cs="Courier New" w:eastAsia="Courier New" w:hAnsi="Courier New"/>
        <w:color w:val="5A6A7E"/>
        <w:sz w:val="16"/>
        <w:szCs w:val="16"/>
      </w:rPr>
      <w:t xml:space="preserve">threatpedia.wiki  ·  DATA-STANDARDS.md</w:t>
    </w:r>
    <w:r>
      <w:rPr>
        <w:rFonts w:ascii="Courier New" w:cs="Courier New" w:eastAsia="Courier New" w:hAnsi="Courier New"/>
        <w:color w:val="5A6A7E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4E8" w:sz="4" w:space="1"/>
      </w:pBdr>
      <w:tabs>
        <w:tab w:val="right" w:pos="9026"/>
      </w:tabs>
    </w:pPr>
    <w:r>
      <w:rPr>
        <w:rFonts w:ascii="Courier New" w:cs="Courier New" w:eastAsia="Courier New" w:hAnsi="Courier New"/>
        <w:b/>
        <w:bCs/>
        <w:color w:val="E8A020"/>
        <w:sz w:val="16"/>
        <w:szCs w:val="16"/>
      </w:rPr>
      <w:t xml:space="preserve">THREATPEDIA</w:t>
    </w:r>
    <w:r>
      <w:rPr>
        <w:rFonts w:ascii="Courier New" w:cs="Courier New" w:eastAsia="Courier New" w:hAnsi="Courier New"/>
        <w:color w:val="5A6A7E"/>
        <w:sz w:val="16"/>
        <w:szCs w:val="16"/>
      </w:rPr>
      <w:t xml:space="preserve">  —  Data Collection &amp; Quality Standards</w:t>
    </w:r>
    <w:r>
      <w:rPr>
        <w:rFonts w:ascii="Courier New" w:cs="Courier New" w:eastAsia="Courier New" w:hAnsi="Courier New"/>
        <w:color w:val="5A6A7E"/>
        <w:sz w:val="16"/>
        <w:szCs w:val="16"/>
      </w:rPr>
      <w:t xml:space="preserve">	CONFIDENTIAL DRAFT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60"/>
      <w:outlineLvl w:val="0"/>
    </w:pPr>
    <w:rPr>
      <w:rFonts w:ascii="Arial" w:cs="Arial" w:eastAsia="Arial" w:hAnsi="Arial"/>
      <w:b/>
      <w:bCs/>
      <w:color w:val="1A252F"/>
      <w:sz w:val="22"/>
      <w:szCs w:val="2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C3E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2026-04-07T20:17:20.222Z</dcterms:created>
  <dcterms:modified xsi:type="dcterms:W3CDTF">2026-04-07T20:17:20.223Z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