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راهنمای ساختار فرانت اند سامانه بازرگانی</w:t>
      </w:r>
    </w:p>
    <w:p>
      <w:pPr>
        <w:pStyle w:val="Subtitle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شرکت توسعه نرم افزار رویش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راهنمای </w:t>
      </w:r>
      <w:r>
        <w:rPr>
          <w:rFonts w:ascii="Tahoma" w:hAnsi="Tahoma" w:cs="Tahoma" w:eastAsia="Tahoma"/>
          <w:lang w:val="en-US" w:bidi="fa-IR"/>
          <w:color w:val="000000"/>
          <w:sz w:val="18"/>
          <w:rtl w:val="0"/>
          <w:szCs w:val="18"/>
        </w:rPr>
        <w:t>4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۵   ویژه سامانه بازرگانی   نسخه ۱   ۱ آبان ۱۴۰۵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این راهنما ساختار رابط بازرگانی را برای دانشجوی فرانت‌اند توضیح می‌دهد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یک کد مشترک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Next.js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React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سه نمونه مستقل اجرا می‌شود؛ برای بازرگانی سامانه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commerce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پورت ۳۰۰۳ انتخاب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صفحه‌ها فارسی و راست‌به‌چپ‌اند؛ ورود تاریخ میلادی و نمایش تاریخ فارسی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رابط فقط از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استفاده می‌کند و دسترسی مستقیم به دیتابیس یا اتصال خودکار به پرسنلی ندارد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راه‌اندازی و انتخاب سامانه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frontend/src/app/page.tsx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مقدار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ROYESH_SYSTEM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آدرس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در اجرای سرور می‌خواند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App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با سامانه انتخاب‌شده می‌سازد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توسعه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npm run dev:commerce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برای نسخه ساخته‌شده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npm run start:commerce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اجرا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ساخت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production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مشترک است، اما اجرا، نشانی و نشست هر سامانه مستقل می‌ماند و به روشن‌بودن رابط‌های دیگر نیاز ندارد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api.ts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ابتدا آدرس تنظیم‌شده در اجرا را به کار می‌گیرد و در نبود آن از پورت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سامانه استفاده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نشانی باید به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/api/v1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ختم 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دامنه عمومی،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API_URL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آدرس نمونه‌های دیگر را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CORS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بک‌اند هماهنگ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متغیر عمومی مرورگر محل گذرواژه دیتابیس یا توکن مدیر نیست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npm run dev:commerce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npm run build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npm run start:commerce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پوسته نشست و ناوبری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App.tsx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پوسته، فهرست کناری، نمای کلی، حساب و خروج را مدیریت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انتخاب بخش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hash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آدرس مانند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#quotations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session.ts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توکن را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sessionStorage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با کلید مخصوص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commerce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نگه می‌دارد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بازیابی نشست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/auth/me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انجام می‌شود؛ خطای ۴۰۱ کاربر را به ورود برمی‌گرداند و خطای شبکه پیام تلاش مجدد 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منوی سامانه‌های مستقل فقط پیوند به رابط‌های دیگر است و نشست مشترک ایجاد نمی‌کند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کاربران برای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admin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رویدادها برای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manager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admin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دیده 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روی نمایشگر کوچک، فهرست به پنل قابل بستن تبدیل می‌شود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Drawer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فرم یا جزئیات را با کنترل فوکوس و بستن با صفحه‌کلید نمایش می‌دهد؛ وضعیت ذخیره باید جلوی خروج ناخواسته را بگیرد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تعریف صفحه و آماده‌سازی ورودی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resources.ts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هفت صفحه تجاری مشتری، خدمات، پیشنهاد، قرارداد، صورتحساب، دریافت و مطالبات را با ستون، فیلد و دسترسی تعریف می‌کند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ResourceTable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جست‌وجو، فیلتر وضعیت در بخش‌های دارای وضعیت، صفحه‌بندی، جزئیات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CSV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اجرا می‌کند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CSV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داده‌ها را صفحه‌به‌صفحه از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می‌گیرد و ستون‌های همان صفحه را با عنوان فارسی خروجی می‌سازد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forms.ts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فیلد قابل ویرایش و مقدار اولیه را می‌سازد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payload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آماده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مبلغ به عدد صحیح امن، شناسه اختیاری خالی به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null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PATCH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به مقدارهای تغییرکرده تبدیل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مرجع جدید به مشتری فعال یا قرارداد و صورتحساب واجد شرایط محدود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مرجع فعلی غیرفعال برای اصلاح سابقه حفظ می‌شود تا توضیح غیرمالی قابل تغییر بماند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فرم پیشنهاد و قرارداد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پیشنهاد ویرایشگر چندردیفی 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انتخاب خدمت، نام و قیمت پایه را پر می‌کند، اما کاربر شرح و قیمت توافقی را تغییر می‌دهد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تعداد و قیمت باید صحیح مثبت باشند؛ جمع نمایش‌داده‌شده کمک کاربر است و محاسبه نهایی در بک‌اند تکرار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هنگام اصلاح، ردیف‌ها بارگذاری و فقط در صورت تغییر ارسال 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دکمه ویرایش فقط برای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draft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انتخاب پیشنهاد پذیرفته‌شده در قرارداد، مشتری و مبلغ را پر می‌کند؛ تغییر مشتری، انتخاب پیشنهاد را پاک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اطلاعات مالی قرارداد فعال و مشتری یا مبلغ قرارداد پیشنهادی قابل تغییر نیستند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قرارداد نهایی دکمه ویرایش ندارد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شناسه و نام مسئول پروژه دستی وارد می‌شوند و هنوز از پرسنلی برخط انتخاب نمی‌شوند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محدودیت در متن فرم توضیح داده شده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گردش کار خطا و آزمون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workflows.ts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عمل مجاز وضعیت را تعریف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: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ارسال و نتیجه پیشنهاد، فعال‌سازی و تکمیل یا لغو قرارداد، و ابطال صورتحساب پرداخت‌نشده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WorkflowForm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مورد و اثر عملیات را پیش از ثبت توضیح می‌دهد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دریافت از فرم جدا ثبت می‌شود؛ هیچ دکمه‌ای پرداخت بانکی انجام نمی‌دهد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تاریخ صدور و دریافت آینده در فرم محدود می‌شود، ولی سرور نیز کنترل مستقل 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ResourceForm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هنگام ذخیره جلوی ارسال تکراری را می‌گیرد و خطا را کنار فرم نگه می‌دارد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api.ts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خطاهای اعتبارسنجی را فارسی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خطای شبکه الزاماً یعنی ثبت‌نشدن نیست؛ فهرست و شماره پیگیری را بررسی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تغییر فرم را با آزمون‌های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frontend/tests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بررسی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TypeScript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بسنجید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پس از تغییر برای نمایش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production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دوباره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build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بگیرید؛ توسعه از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build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جدا استفاده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npm test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npm run typecheck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نقشه صفحه ها و اتصال به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این رابط یک صفحه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Next.js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چند بخش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hash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نمونه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/#dashboard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نمای کلی را باز می‌کند؛ بخش‌ها فایل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route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جدا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App Router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ندارند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جدول زیر فقط تنظیمات همین سامانه را از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resources.ts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نشان می‌دهد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مشخصات منو و محدودیت نقش در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App.tsx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کنترل واقعی مجوز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اعمال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984"/>
        <w:gridCol w:w="2154"/>
        <w:gridCol w:w="2381"/>
        <w:gridCol w:w="3118"/>
      </w:tblGrid>
      <w:tr>
        <w:trPr>
          <w:tblHeader w:val="1"/>
        </w:trPr>
        <w:tc>
          <w:tcPr>
            <w:tcW w:type="dxa" w:w="198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صفحه</w:t>
            </w:r>
          </w:p>
        </w:tc>
        <w:tc>
          <w:tcPr>
            <w:tcW w:type="dxa" w:w="215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نشانی بخش</w:t>
            </w:r>
          </w:p>
        </w:tc>
        <w:tc>
          <w:tcPr>
            <w:tcW w:type="dxa" w:w="238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en-US" w:bidi="fa-IR"/>
                <w:b/>
                <w:color w:val="000000"/>
                <w:sz w:val="19"/>
                <w:rtl w:val="0"/>
                <w:bCs w:val="1"/>
                <w:szCs w:val="19"/>
              </w:rPr>
              <w:t>API</w:t>
            </w: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 xml:space="preserve"> پایه</w:t>
            </w:r>
          </w:p>
        </w:tc>
        <w:tc>
          <w:tcPr>
            <w:tcW w:type="dxa" w:w="311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دسترسی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مشتریان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/#customers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/customers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نقش و مالکیت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خدمات نرم‌افزاری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/#offerings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/offerings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نقش و مالکیت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پیشنهادهای قیمت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/#quotations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/quotations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نقش و مالکیت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قراردادهای پروژه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/#contracts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/contracts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نقش و مالکیت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صورتحساب‌ها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/#invoices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/invoices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نقش و مالکیت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دریافت‌ها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/#payments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/payments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نقش و مالکیت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گزارش مطالبات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/#receivables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/reports/receivables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نقش و مالکیت؛ فقط خواندنی</w:t>
            </w:r>
          </w:p>
        </w:tc>
      </w:tr>
    </w:tbl>
    <w:p>
      <w:pPr>
        <w:spacing w:after="40"/>
      </w:pP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تعریف فیلدهای هر بخش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مشتریان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شرکت‌ها و اشخاصی که خدمات نرم‌افزاری دریافت می‌کنند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38"/>
        <w:gridCol w:w="1417"/>
        <w:gridCol w:w="391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</w:t>
            </w:r>
          </w:p>
        </w:tc>
        <w:tc>
          <w:tcPr>
            <w:tcW w:type="dxa" w:w="243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برچسب رابط</w:t>
            </w:r>
          </w:p>
        </w:tc>
        <w:tc>
          <w:tcPr>
            <w:tcW w:type="dxa" w:w="1417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کنترل</w:t>
            </w:r>
          </w:p>
        </w:tc>
        <w:tc>
          <w:tcPr>
            <w:tcW w:type="dxa" w:w="391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رفتار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name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 مشتری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company_name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 شرکت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contact_name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 رابط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email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ایمیل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email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phone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تلفن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tel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address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نشانی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textarea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status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وضعیت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select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</w:tbl>
    <w:p>
      <w:pPr>
        <w:spacing w:after="40"/>
      </w:pP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ستون‌های فهرست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مشتری، شرکت، رابط، تلفن، وضعیت؛ وضعیت‌ها و اقدام‌های نهایی، از تعریف همین بخش و </w:t>
      </w:r>
      <w:r>
        <w:rPr>
          <w:rFonts w:ascii="Consolas" w:hAnsi="Consolas" w:cs="Tahoma" w:eastAsia="Consolas"/>
          <w:lang w:val="en-US" w:bidi="fa-IR"/>
          <w:color w:val="000000"/>
          <w:sz w:val="20"/>
          <w:rtl w:val="0"/>
          <w:szCs w:val="20"/>
        </w:rPr>
        <w:t>workflows.ts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گرفته می‌شوند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خدمات نرم‌افزاری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خدمات قابل ارائه و مبالغ پایه برای پیشنهاد قیمت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38"/>
        <w:gridCol w:w="1417"/>
        <w:gridCol w:w="391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</w:t>
            </w:r>
          </w:p>
        </w:tc>
        <w:tc>
          <w:tcPr>
            <w:tcW w:type="dxa" w:w="243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برچسب رابط</w:t>
            </w:r>
          </w:p>
        </w:tc>
        <w:tc>
          <w:tcPr>
            <w:tcW w:type="dxa" w:w="1417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کنترل</w:t>
            </w:r>
          </w:p>
        </w:tc>
        <w:tc>
          <w:tcPr>
            <w:tcW w:type="dxa" w:w="391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رفتار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name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 خدمت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description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شرح خدمت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textarea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unit_price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قیمت واحد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number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unit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واحد خدمت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select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is_active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خدمت فعال است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checkbox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</w:tbl>
    <w:p>
      <w:pPr>
        <w:spacing w:after="40"/>
      </w:pP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ستون‌های فهرست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خدمت، شرح، واحد، قیمت واحد، فعال؛ وضعیت‌ها و اقدام‌های نهایی، از تعریف همین بخش و </w:t>
      </w:r>
      <w:r>
        <w:rPr>
          <w:rFonts w:ascii="Consolas" w:hAnsi="Consolas" w:cs="Tahoma" w:eastAsia="Consolas"/>
          <w:lang w:val="en-US" w:bidi="fa-IR"/>
          <w:color w:val="000000"/>
          <w:sz w:val="20"/>
          <w:rtl w:val="0"/>
          <w:szCs w:val="20"/>
        </w:rPr>
        <w:t>workflows.ts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گرفته می‌شوند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پیشنهادهای قیمت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تهیه پیشنهاد خدمات، ارسال به مشتری و ثبت نتیجه مذاکره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38"/>
        <w:gridCol w:w="1417"/>
        <w:gridCol w:w="391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</w:t>
            </w:r>
          </w:p>
        </w:tc>
        <w:tc>
          <w:tcPr>
            <w:tcW w:type="dxa" w:w="243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برچسب رابط</w:t>
            </w:r>
          </w:p>
        </w:tc>
        <w:tc>
          <w:tcPr>
            <w:tcW w:type="dxa" w:w="1417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کنترل</w:t>
            </w:r>
          </w:p>
        </w:tc>
        <w:tc>
          <w:tcPr>
            <w:tcW w:type="dxa" w:w="391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رفتار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customer_id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مشتری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select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مطابق گردش؛ مرجع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/customers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title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عنوان پیشنهاد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valid_until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اعتبار تا تاریخ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notes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توضیحات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textarea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</w:tbl>
    <w:p>
      <w:pPr>
        <w:spacing w:after="40"/>
      </w:pP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ستون‌های فهرست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عنوان پیشنهاد، مشتری، مبلغ کل، اعتبار، وضعیت؛ وضعیت‌ها و اقدام‌های نهایی، از تعریف همین بخش و </w:t>
      </w:r>
      <w:r>
        <w:rPr>
          <w:rFonts w:ascii="Consolas" w:hAnsi="Consolas" w:cs="Tahoma" w:eastAsia="Consolas"/>
          <w:lang w:val="en-US" w:bidi="fa-IR"/>
          <w:color w:val="000000"/>
          <w:sz w:val="20"/>
          <w:rtl w:val="0"/>
          <w:szCs w:val="20"/>
        </w:rPr>
        <w:t>workflows.ts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گرفته می‌شوند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قراردادهای پروژه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قرارداد ارائه خدمات و مسئول پیگیری پروژه نرم‌افزاری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38"/>
        <w:gridCol w:w="1417"/>
        <w:gridCol w:w="391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</w:t>
            </w:r>
          </w:p>
        </w:tc>
        <w:tc>
          <w:tcPr>
            <w:tcW w:type="dxa" w:w="243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برچسب رابط</w:t>
            </w:r>
          </w:p>
        </w:tc>
        <w:tc>
          <w:tcPr>
            <w:tcW w:type="dxa" w:w="1417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کنترل</w:t>
            </w:r>
          </w:p>
        </w:tc>
        <w:tc>
          <w:tcPr>
            <w:tcW w:type="dxa" w:w="391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رفتار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customer_id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مشتری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select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مطابق گردش؛ مرجع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/customers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quotation_id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پیشنهاد قیمت پذیرفته‌شده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select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فقط ایجاد؛ مرجع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/quotations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title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عنوان قرارداد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employee_id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شناسه مسئول در سامانه پرسنلی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employee_name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 مسئول پیگیری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start_date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تاریخ شروع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end_date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تاریخ پایان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amount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مبلغ قرارداد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number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notes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توضیحات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textarea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</w:tbl>
    <w:p>
      <w:pPr>
        <w:spacing w:after="40"/>
      </w:pP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ستون‌های فهرست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قرارداد، مشتری، مسئول، مبلغ، شروع، وضعیت؛ وضعیت‌ها و اقدام‌های نهایی، از تعریف همین بخش و </w:t>
      </w:r>
      <w:r>
        <w:rPr>
          <w:rFonts w:ascii="Consolas" w:hAnsi="Consolas" w:cs="Tahoma" w:eastAsia="Consolas"/>
          <w:lang w:val="en-US" w:bidi="fa-IR"/>
          <w:color w:val="000000"/>
          <w:sz w:val="20"/>
          <w:rtl w:val="0"/>
          <w:szCs w:val="20"/>
        </w:rPr>
        <w:t>workflows.ts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گرفته می‌شوند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صورتحساب‌ها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صورتحساب‌های قرارداد و مانده قابل دریافت از مشتری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38"/>
        <w:gridCol w:w="1417"/>
        <w:gridCol w:w="391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</w:t>
            </w:r>
          </w:p>
        </w:tc>
        <w:tc>
          <w:tcPr>
            <w:tcW w:type="dxa" w:w="243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برچسب رابط</w:t>
            </w:r>
          </w:p>
        </w:tc>
        <w:tc>
          <w:tcPr>
            <w:tcW w:type="dxa" w:w="1417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کنترل</w:t>
            </w:r>
          </w:p>
        </w:tc>
        <w:tc>
          <w:tcPr>
            <w:tcW w:type="dxa" w:w="391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رفتار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contract_id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قرارداد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select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مطابق گردش؛ مرجع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/contracts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issue_date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تاریخ صدور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due_date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سررسید پرداخت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amount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مبلغ صورتحساب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number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description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شرح صورتحساب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textarea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</w:tbl>
    <w:p>
      <w:pPr>
        <w:spacing w:after="40"/>
      </w:pP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ستون‌های فهرست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قرارداد، مشتری، مبلغ، مانده، سررسید، وضعیت؛ وضعیت‌ها و اقدام‌های نهایی، از تعریف همین بخش و </w:t>
      </w:r>
      <w:r>
        <w:rPr>
          <w:rFonts w:ascii="Consolas" w:hAnsi="Consolas" w:cs="Tahoma" w:eastAsia="Consolas"/>
          <w:lang w:val="en-US" w:bidi="fa-IR"/>
          <w:color w:val="000000"/>
          <w:sz w:val="20"/>
          <w:rtl w:val="0"/>
          <w:szCs w:val="20"/>
        </w:rPr>
        <w:t>workflows.ts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گرفته می‌شوند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دریافت‌ها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ثبت دریافت واقعی، شماره پیگیری و تسویه صورتحساب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38"/>
        <w:gridCol w:w="1417"/>
        <w:gridCol w:w="391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</w:t>
            </w:r>
          </w:p>
        </w:tc>
        <w:tc>
          <w:tcPr>
            <w:tcW w:type="dxa" w:w="243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برچسب رابط</w:t>
            </w:r>
          </w:p>
        </w:tc>
        <w:tc>
          <w:tcPr>
            <w:tcW w:type="dxa" w:w="1417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کنترل</w:t>
            </w:r>
          </w:p>
        </w:tc>
        <w:tc>
          <w:tcPr>
            <w:tcW w:type="dxa" w:w="391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رفتار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invoice_id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صورتحساب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select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مطابق گردش؛ مرجع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/invoices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amount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مبلغ دریافت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number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paid_date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تاریخ دریافت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method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روش پرداخت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select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reference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شماره پیگیری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notes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توضیحات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textarea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</w:tbl>
    <w:p>
      <w:pPr>
        <w:spacing w:after="40"/>
      </w:pP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ستون‌های فهرست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مشتری، قرارداد، مبلغ دریافت، تاریخ، روش، شماره پیگیری؛ وضعیت‌ها و اقدام‌های نهایی، از تعریف همین بخش و </w:t>
      </w:r>
      <w:r>
        <w:rPr>
          <w:rFonts w:ascii="Consolas" w:hAnsi="Consolas" w:cs="Tahoma" w:eastAsia="Consolas"/>
          <w:lang w:val="en-US" w:bidi="fa-IR"/>
          <w:color w:val="000000"/>
          <w:sz w:val="20"/>
          <w:rtl w:val="0"/>
          <w:szCs w:val="20"/>
        </w:rPr>
        <w:t>workflows.ts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گرفته می‌شوند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گزارش مطالبات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صورتحساب‌های دارای مانده و موعد پیگیری دریافت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ستون‌های فهرست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مشتری، قرارداد، سررسید، مبلغ، دریافت شده، مانده، وضعیت؛ وضعیت‌ها و اقدام‌های نهایی، از تعریف همین بخش و </w:t>
      </w:r>
      <w:r>
        <w:rPr>
          <w:rFonts w:ascii="Consolas" w:hAnsi="Consolas" w:cs="Tahoma" w:eastAsia="Consolas"/>
          <w:lang w:val="en-US" w:bidi="fa-IR"/>
          <w:color w:val="000000"/>
          <w:sz w:val="20"/>
          <w:rtl w:val="0"/>
          <w:szCs w:val="20"/>
        </w:rPr>
        <w:t>workflows.ts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گرفته می‌شوند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مرجع مطالعه و کنترل نسخه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مسیرهای زیر نسبت به ریشه پروژه هستند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بررسی رفتار تازه، کد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OpenAPI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همان نسخه اجراشده را بخوانید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پس از تغییر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، فایل قرارداد و این راهنما نیز باید به روز 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مجموعه به همین سامانه اختصاص دارد؛ حساب‌ها و پایگاه داده دو سامانه دیگر مستقل‌اند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frontend/src/app/page.tsx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frontend/src/components/App.tsx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frontend/src/lib/resources.ts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frontend/src/lib/workflows.ts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frontend/tests/frontend.test.mjs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left"/>
    </w:pP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 xml:space="preserve">سامانه بازرگانی   راهنمای </w:t>
    </w:r>
    <w:r>
      <w:rPr>
        <w:rFonts w:ascii="Tahoma" w:hAnsi="Tahoma" w:cs="Tahoma" w:eastAsia="Tahoma"/>
        <w:lang w:val="en-US" w:bidi="fa-IR"/>
        <w:color w:val="000000"/>
        <w:sz w:val="16"/>
        <w:rtl w:val="0"/>
        <w:szCs w:val="16"/>
      </w:rPr>
      <w:t>4</w:t>
    </w: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 xml:space="preserve"> از ۵   صفحه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left"/>
    </w:pP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>رویش   سامانه بازرگانی   راهنمای ساختار فرانت اند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40"/>
    </w:pPr>
    <w:rPr>
      <w:rFonts w:ascii="Tahoma" w:hAnsi="Tahoma"/>
      <w:color w:val="000000"/>
      <w:rFonts w:ascii="Tahoma" w:hAnsi="Tahoma" w:cs="Tahoma" w:eastAsia="Tahoma"/>
      <w:sz w:val="22"/>
      <w:rtl w:val="1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 w:before="60"/>
    </w:pPr>
    <w:rPr>
      <w:rFonts w:ascii="Tahoma" w:hAnsi="Tahoma"/>
      <w:color w:val="000000"/>
      <w:rFonts w:ascii="Tahoma" w:hAnsi="Tahoma" w:cs="Tahoma" w:eastAsia="Tahoma"/>
      <w:sz w:val="16"/>
      <w:rtl w:val="1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 w:before="60"/>
    </w:pPr>
    <w:rPr>
      <w:rFonts w:ascii="Tahoma" w:hAnsi="Tahoma"/>
      <w:color w:val="000000"/>
      <w:rFonts w:ascii="Tahoma" w:hAnsi="Tahoma" w:cs="Tahoma" w:eastAsia="Tahoma"/>
      <w:sz w:val="16"/>
      <w:rtl w:val="1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30"/>
      <w:szCs w:val="28"/>
      <w:rFonts w:ascii="Tahoma" w:hAnsi="Tahoma" w:cs="Tahoma" w:eastAsia="Tahoma"/>
      <w:rtl w:val="1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4"/>
      <w:szCs w:val="26"/>
      <w:rFonts w:ascii="Tahoma" w:hAnsi="Tahoma" w:cs="Tahoma" w:eastAsia="Tahoma"/>
      <w:rtl w:val="1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60"/>
      <w:contextualSpacing/>
    </w:pPr>
    <w:rPr>
      <w:rFonts w:asciiTheme="majorHAnsi" w:eastAsiaTheme="majorEastAsia" w:hAnsiTheme="majorHAnsi" w:cstheme="majorBidi" w:ascii="Tahoma" w:hAnsi="Tahoma"/>
      <w:color w:val="000000"/>
      <w:spacing w:val="5"/>
      <w:kern w:val="28"/>
      <w:sz w:val="44"/>
      <w:szCs w:val="52"/>
      <w:rFonts w:ascii="Tahoma" w:hAnsi="Tahoma" w:cs="Tahoma" w:eastAsia="Tahoma"/>
      <w:rtl w:val="1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60" w:after="140"/>
    </w:pPr>
    <w:rPr>
      <w:rFonts w:asciiTheme="majorHAnsi" w:eastAsiaTheme="majorEastAsia" w:hAnsiTheme="majorHAnsi" w:cstheme="majorBidi" w:ascii="Tahoma" w:hAnsi="Tahoma"/>
      <w:i/>
      <w:iCs/>
      <w:color w:val="000000"/>
      <w:spacing w:val="15"/>
      <w:sz w:val="24"/>
      <w:szCs w:val="24"/>
      <w:rFonts w:ascii="Tahoma" w:hAnsi="Tahoma" w:cs="Tahoma" w:eastAsia="Tahoma"/>
      <w:rtl w:val="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40"/>
    </w:pPr>
    <w:rPr>
      <w:rFonts w:ascii="Tahoma" w:hAnsi="Tahoma"/>
      <w:b/>
      <w:bCs/>
      <w:color w:val="000000"/>
      <w:sz w:val="18"/>
      <w:szCs w:val="18"/>
      <w:rFonts w:ascii="Tahoma" w:hAnsi="Tahoma" w:cs="Tahoma" w:eastAsia="Tahoma"/>
      <w:rtl w:val="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52" w:lineRule="auto" w:before="0" w:after="4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راهنمای ساختار فرانت اند سامانه بازرگانی</dc:title>
  <dc:subject>راهنمای اختصاصی سامانه بازرگانی در پروژه رویش</dc:subject>
  <dc:creator>گروه پروژه رویش</dc:creator>
  <cp:keywords>رویش سامانه بازرگانی frontend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