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1articletype"/>
      </w:pPr>
      <w:r>
        <w:t>Supplementary Materials</w:t>
      </w:r>
    </w:p>
    <w:p>
      <w:pPr>
        <w:pStyle w:val="MDPI12title"/>
      </w:pPr>
      <w:r>
        <w:t>Supplementary Materials for: Quantifying Roof-Facet Fragmentation Effects on Rooftop PV Packing Using LoD2 Geometry: A Controlled Experiment and Stuttgart Pilot</w:t>
      </w:r>
    </w:p>
    <w:p>
      <w:pPr>
        <w:pStyle w:val="MDPI13authornames"/>
      </w:pPr>
      <w:r>
        <w:t>Mahdiyeh Tabatabaei 1,* and Jan Cremers 2</w:t>
      </w:r>
    </w:p>
    <w:p>
      <w:pPr>
        <w:pStyle w:val="MDPI16affiliation"/>
      </w:pPr>
      <w:r>
        <w:t>1</w:t>
        <w:tab/>
        <w:t>Department of Architecture, Alma Mater Studiorum - University of Bologna, Bologna, Italy</w:t>
      </w:r>
    </w:p>
    <w:p>
      <w:pPr>
        <w:pStyle w:val="MDPI16affiliation"/>
      </w:pPr>
      <w:r>
        <w:t>2</w:t>
        <w:tab/>
        <w:t>Faculty of Architecture and Design, HFT Stuttgart - University of Applied Sciences, Stuttgart, Germany</w:t>
      </w:r>
    </w:p>
    <w:p>
      <w:pPr>
        <w:pStyle w:val="MDPI16affiliation"/>
      </w:pPr>
      <w:r>
        <w:t>*</w:t>
        <w:tab/>
        <w:t>Correspondence: mahdiyeh.tabatabaei2@unibo.it</w:t>
      </w:r>
    </w:p>
    <w:p>
      <w:pPr>
        <w:pStyle w:val="MDPI19line"/>
      </w:pPr>
    </w:p>
    <w:p>
      <w:pPr>
        <w:pStyle w:val="MDPI21heading1"/>
      </w:pPr>
      <w:r>
        <w:t>S1. Computational lineage and reproducibility</w:t>
      </w:r>
    </w:p>
    <w:p>
      <w:pPr>
        <w:pStyle w:val="MDPI31text"/>
      </w:pPr>
      <w:r>
        <w:t>The analytical chain is deterministic from the supplied historical inputs to the reported base-case result. CityGML roof polygons are assigned row-stable source identifiers, checked for invalid or negligible geometry, screened for nested coplanar duplicates, and then consolidated into physical roof facets using shared-boundary, angular and vertical tolerances. Each physical facet is clipped by the external setback envelope, transformed to local roof-plane coordinates and passed to the module-packing routine. Statistical summaries are generated at building level from the resulting packed and continuous capacities.</w:t>
      </w:r>
    </w:p>
    <w:p>
      <w:pPr>
        <w:pStyle w:val="MDPI31text"/>
      </w:pPr>
      <w:r>
        <w:t>The package records the exact historical filenames, file sizes and SHA-256 hashes used for the Stuttgart analysis. The seed 20260913 is used for the controlled fragmentation experiment and for the building-level bootstrap. The main calculation uses Python 3.13.5 with the versions reported in the manuscript.</w:t>
      </w:r>
    </w:p>
    <w:p>
      <w:pPr>
        <w:pStyle w:val="MDPI41tablecaption"/>
      </w:pPr>
      <w:r>
        <w:t>Table S1. Input-file integrity manifest for the historical Stuttgart test package.</w:t>
      </w:r>
    </w:p>
    <w:tbl>
      <w:tblPr>
        <w:tblW w:type="auto" w:w="0"/>
        <w:jc w:val="center"/>
        <w:tblLayout w:type="autofit"/>
        <w:tblLook w:firstColumn="1" w:firstRow="1" w:lastColumn="0" w:lastRow="0" w:noHBand="0" w:noVBand="1" w:val="04A0"/>
        <w:bidiVisual w:val="0"/>
      </w:tblPr>
      <w:tblGrid>
        <w:gridCol w:w="3489"/>
        <w:gridCol w:w="3489"/>
        <w:gridCol w:w="3489"/>
      </w:tblGrid>
      <w:tr>
        <w:trPr>
          <w:tblHeader w:val="true"/>
          <w:cantSplit/>
        </w:trPr>
        <w:tc>
          <w:tcPr>
            <w:tcW w:type="dxa" w:w="4706"/>
            <w:tcMar>
              <w:top w:w="60" w:type="dxa"/>
              <w:start w:w="70" w:type="dxa"/>
              <w:bottom w:w="60" w:type="dxa"/>
              <w:end w:w="70" w:type="dxa"/>
            </w:tcMar>
            <w:vAlign w:val="center"/>
            <w:shd w:fill="D9EAF7"/>
          </w:tcPr>
          <w:p>
            <w:pPr>
              <w:pStyle w:val="MDPI42tablebody"/>
              <w:keepLines/>
              <w:jc w:val="left"/>
            </w:pPr>
            <w:r>
              <w:rPr>
                <w:b/>
                <w:sz w:val="13"/>
              </w:rPr>
              <w:t>File</w:t>
            </w:r>
          </w:p>
        </w:tc>
        <w:tc>
          <w:tcPr>
            <w:tcW w:type="dxa" w:w="1191"/>
            <w:tcMar>
              <w:top w:w="60" w:type="dxa"/>
              <w:start w:w="70" w:type="dxa"/>
              <w:bottom w:w="60" w:type="dxa"/>
              <w:end w:w="70" w:type="dxa"/>
            </w:tcMar>
            <w:vAlign w:val="center"/>
            <w:shd w:fill="D9EAF7"/>
          </w:tcPr>
          <w:p>
            <w:pPr>
              <w:pStyle w:val="MDPI42tablebody"/>
              <w:keepLines/>
              <w:jc w:val="left"/>
            </w:pPr>
            <w:r>
              <w:rPr>
                <w:b/>
                <w:sz w:val="13"/>
              </w:rPr>
              <w:t>Bytes</w:t>
            </w:r>
          </w:p>
        </w:tc>
        <w:tc>
          <w:tcPr>
            <w:tcW w:type="dxa" w:w="3969"/>
            <w:tcMar>
              <w:top w:w="60" w:type="dxa"/>
              <w:start w:w="70" w:type="dxa"/>
              <w:bottom w:w="60" w:type="dxa"/>
              <w:end w:w="70" w:type="dxa"/>
            </w:tcMar>
            <w:vAlign w:val="center"/>
            <w:shd w:fill="D9EAF7"/>
          </w:tcPr>
          <w:p>
            <w:pPr>
              <w:pStyle w:val="MDPI42tablebody"/>
              <w:keepLines/>
              <w:jc w:val="left"/>
            </w:pPr>
            <w:r>
              <w:rPr>
                <w:b/>
                <w:sz w:val="13"/>
              </w:rPr>
              <w:t>SHA-256</w:t>
            </w:r>
          </w:p>
        </w:tc>
      </w:tr>
      <w:tr>
        <w:trPr>
          <w:cantSplit/>
        </w:trPr>
        <w:tc>
          <w:tcPr>
            <w:tcW w:type="dxa" w:w="4706"/>
            <w:tcMar>
              <w:top w:w="60" w:type="dxa"/>
              <w:start w:w="70" w:type="dxa"/>
              <w:bottom w:w="60" w:type="dxa"/>
              <w:end w:w="70" w:type="dxa"/>
            </w:tcMar>
            <w:vAlign w:val="center"/>
          </w:tcPr>
          <w:p>
            <w:pPr>
              <w:pStyle w:val="MDPI42tablebody"/>
              <w:keepLines/>
              <w:jc w:val="left"/>
            </w:pPr>
            <w:r>
              <w:rPr>
                <w:sz w:val="13"/>
              </w:rPr>
              <w:t>CityGML_Alles_2018_11_27_07_15_56.zip</w:t>
            </w:r>
          </w:p>
        </w:tc>
        <w:tc>
          <w:tcPr>
            <w:tcW w:type="dxa" w:w="1191"/>
            <w:tcMar>
              <w:top w:w="60" w:type="dxa"/>
              <w:start w:w="70" w:type="dxa"/>
              <w:bottom w:w="60" w:type="dxa"/>
              <w:end w:w="70" w:type="dxa"/>
            </w:tcMar>
            <w:vAlign w:val="center"/>
          </w:tcPr>
          <w:p>
            <w:pPr>
              <w:pStyle w:val="MDPI42tablebody"/>
              <w:keepLines/>
              <w:jc w:val="left"/>
            </w:pPr>
            <w:r>
              <w:rPr>
                <w:sz w:val="13"/>
              </w:rPr>
              <w:t>430797</w:t>
            </w:r>
          </w:p>
        </w:tc>
        <w:tc>
          <w:tcPr>
            <w:tcW w:type="dxa" w:w="3969"/>
            <w:tcMar>
              <w:top w:w="60" w:type="dxa"/>
              <w:start w:w="70" w:type="dxa"/>
              <w:bottom w:w="60" w:type="dxa"/>
              <w:end w:w="70" w:type="dxa"/>
            </w:tcMar>
            <w:vAlign w:val="center"/>
          </w:tcPr>
          <w:p>
            <w:pPr>
              <w:pStyle w:val="MDPI42tablebody"/>
              <w:keepLines/>
              <w:jc w:val="left"/>
            </w:pPr>
            <w:r>
              <w:rPr>
                <w:sz w:val="13"/>
              </w:rPr>
              <w:t>1ba4a59dad49c76eb56197dad5d5ce3f559484d75b3d3971965d61098157ff91</w:t>
            </w:r>
          </w:p>
        </w:tc>
      </w:tr>
      <w:tr>
        <w:trPr>
          <w:cantSplit/>
        </w:trPr>
        <w:tc>
          <w:tcPr>
            <w:tcW w:type="dxa" w:w="4706"/>
            <w:tcMar>
              <w:top w:w="60" w:type="dxa"/>
              <w:start w:w="70" w:type="dxa"/>
              <w:bottom w:w="60" w:type="dxa"/>
              <w:end w:w="70" w:type="dxa"/>
            </w:tcMar>
            <w:vAlign w:val="center"/>
          </w:tcPr>
          <w:p>
            <w:pPr>
              <w:pStyle w:val="MDPI42tablebody"/>
              <w:keepLines/>
              <w:jc w:val="left"/>
            </w:pPr>
            <w:r>
              <w:rPr>
                <w:sz w:val="13"/>
              </w:rPr>
              <w:t>2018-11-27_07-16-14_Liegenschaftskarte_ohne_Eigentuemer.xml</w:t>
            </w:r>
          </w:p>
        </w:tc>
        <w:tc>
          <w:tcPr>
            <w:tcW w:type="dxa" w:w="1191"/>
            <w:tcMar>
              <w:top w:w="60" w:type="dxa"/>
              <w:start w:w="70" w:type="dxa"/>
              <w:bottom w:w="60" w:type="dxa"/>
              <w:end w:w="70" w:type="dxa"/>
            </w:tcMar>
            <w:vAlign w:val="center"/>
          </w:tcPr>
          <w:p>
            <w:pPr>
              <w:pStyle w:val="MDPI42tablebody"/>
              <w:keepLines/>
              <w:jc w:val="left"/>
            </w:pPr>
            <w:r>
              <w:rPr>
                <w:sz w:val="13"/>
              </w:rPr>
              <w:t>6360895</w:t>
            </w:r>
          </w:p>
        </w:tc>
        <w:tc>
          <w:tcPr>
            <w:tcW w:type="dxa" w:w="3969"/>
            <w:tcMar>
              <w:top w:w="60" w:type="dxa"/>
              <w:start w:w="70" w:type="dxa"/>
              <w:bottom w:w="60" w:type="dxa"/>
              <w:end w:w="70" w:type="dxa"/>
            </w:tcMar>
            <w:vAlign w:val="center"/>
          </w:tcPr>
          <w:p>
            <w:pPr>
              <w:pStyle w:val="MDPI42tablebody"/>
              <w:keepLines/>
              <w:jc w:val="left"/>
            </w:pPr>
            <w:r>
              <w:rPr>
                <w:sz w:val="13"/>
              </w:rPr>
              <w:t>9d316fbbb1abe1a393b38f606e6d16504ec9a8e43aeed480480bb76b23323c8a</w:t>
            </w:r>
          </w:p>
        </w:tc>
      </w:tr>
      <w:tr>
        <w:trPr>
          <w:cantSplit/>
        </w:trPr>
        <w:tc>
          <w:tcPr>
            <w:tcW w:type="dxa" w:w="4706"/>
            <w:tcMar>
              <w:top w:w="60" w:type="dxa"/>
              <w:start w:w="70" w:type="dxa"/>
              <w:bottom w:w="60" w:type="dxa"/>
              <w:end w:w="70" w:type="dxa"/>
            </w:tcMar>
            <w:vAlign w:val="center"/>
          </w:tcPr>
          <w:p>
            <w:pPr>
              <w:pStyle w:val="MDPI42tablebody"/>
              <w:keepLines/>
              <w:jc w:val="left"/>
            </w:pPr>
            <w:r>
              <w:rPr>
                <w:sz w:val="13"/>
              </w:rPr>
              <w:t>Auswertung.log</w:t>
            </w:r>
          </w:p>
        </w:tc>
        <w:tc>
          <w:tcPr>
            <w:tcW w:type="dxa" w:w="1191"/>
            <w:tcMar>
              <w:top w:w="60" w:type="dxa"/>
              <w:start w:w="70" w:type="dxa"/>
              <w:bottom w:w="60" w:type="dxa"/>
              <w:end w:w="70" w:type="dxa"/>
            </w:tcMar>
            <w:vAlign w:val="center"/>
          </w:tcPr>
          <w:p>
            <w:pPr>
              <w:pStyle w:val="MDPI42tablebody"/>
              <w:keepLines/>
              <w:jc w:val="left"/>
            </w:pPr>
            <w:r>
              <w:rPr>
                <w:sz w:val="13"/>
              </w:rPr>
              <w:t>324</w:t>
            </w:r>
          </w:p>
        </w:tc>
        <w:tc>
          <w:tcPr>
            <w:tcW w:type="dxa" w:w="3969"/>
            <w:tcMar>
              <w:top w:w="60" w:type="dxa"/>
              <w:start w:w="70" w:type="dxa"/>
              <w:bottom w:w="60" w:type="dxa"/>
              <w:end w:w="70" w:type="dxa"/>
            </w:tcMar>
            <w:vAlign w:val="center"/>
          </w:tcPr>
          <w:p>
            <w:pPr>
              <w:pStyle w:val="MDPI42tablebody"/>
              <w:keepLines/>
              <w:jc w:val="left"/>
            </w:pPr>
            <w:r>
              <w:rPr>
                <w:sz w:val="13"/>
              </w:rPr>
              <w:t>cbc6eb92446049688bd3adef91e4d6a1a09f77406c2974231ba9223571fda06b</w:t>
            </w:r>
          </w:p>
        </w:tc>
      </w:tr>
      <w:tr>
        <w:trPr>
          <w:cantSplit/>
        </w:trPr>
        <w:tc>
          <w:tcPr>
            <w:tcW w:type="dxa" w:w="4706"/>
            <w:tcMar>
              <w:top w:w="60" w:type="dxa"/>
              <w:start w:w="70" w:type="dxa"/>
              <w:bottom w:w="60" w:type="dxa"/>
              <w:end w:w="70" w:type="dxa"/>
            </w:tcMar>
            <w:vAlign w:val="center"/>
          </w:tcPr>
          <w:p>
            <w:pPr>
              <w:pStyle w:val="MDPI42tablebody"/>
              <w:keepLines/>
              <w:jc w:val="left"/>
            </w:pPr>
            <w:r>
              <w:rPr>
                <w:sz w:val="13"/>
              </w:rPr>
              <w:t>Koordinatenreferenzsystem_EPSG_25832_ETRS89_UTM.txt</w:t>
            </w:r>
          </w:p>
        </w:tc>
        <w:tc>
          <w:tcPr>
            <w:tcW w:type="dxa" w:w="1191"/>
            <w:tcMar>
              <w:top w:w="60" w:type="dxa"/>
              <w:start w:w="70" w:type="dxa"/>
              <w:bottom w:w="60" w:type="dxa"/>
              <w:end w:w="70" w:type="dxa"/>
            </w:tcMar>
            <w:vAlign w:val="center"/>
          </w:tcPr>
          <w:p>
            <w:pPr>
              <w:pStyle w:val="MDPI42tablebody"/>
              <w:keepLines/>
              <w:jc w:val="left"/>
            </w:pPr>
            <w:r>
              <w:rPr>
                <w:sz w:val="13"/>
              </w:rPr>
              <w:t>168</w:t>
            </w:r>
          </w:p>
        </w:tc>
        <w:tc>
          <w:tcPr>
            <w:tcW w:type="dxa" w:w="3969"/>
            <w:tcMar>
              <w:top w:w="60" w:type="dxa"/>
              <w:start w:w="70" w:type="dxa"/>
              <w:bottom w:w="60" w:type="dxa"/>
              <w:end w:w="70" w:type="dxa"/>
            </w:tcMar>
            <w:vAlign w:val="center"/>
          </w:tcPr>
          <w:p>
            <w:pPr>
              <w:pStyle w:val="MDPI42tablebody"/>
              <w:keepLines/>
              <w:jc w:val="left"/>
            </w:pPr>
            <w:r>
              <w:rPr>
                <w:sz w:val="13"/>
              </w:rPr>
              <w:t>c38dc932828672f4a87e3d56a0fc5efbcfd750ed91336242c12e3c457a1277b5</w:t>
            </w:r>
          </w:p>
        </w:tc>
      </w:tr>
    </w:tbl>
    <w:p>
      <w:pPr>
        <w:pStyle w:val="MDPI21heading1"/>
      </w:pPr>
      <w:r>
        <w:t>S2. Geometry and packing parameters</w:t>
      </w:r>
    </w:p>
    <w:p>
      <w:pPr>
        <w:pStyle w:val="MDPI41tablecaption"/>
      </w:pPr>
      <w:r>
        <w:t>Table S2. Parameters fixed in the base scenario.</w:t>
      </w:r>
    </w:p>
    <w:tbl>
      <w:tblPr>
        <w:tblW w:type="auto" w:w="0"/>
        <w:jc w:val="center"/>
        <w:tblLayout w:type="autofit"/>
        <w:tblLook w:firstColumn="1" w:firstRow="1" w:lastColumn="0" w:lastRow="0" w:noHBand="0" w:noVBand="1" w:val="04A0"/>
        <w:bidiVisual w:val="0"/>
      </w:tblPr>
      <w:tblGrid>
        <w:gridCol w:w="3489"/>
        <w:gridCol w:w="3489"/>
        <w:gridCol w:w="3489"/>
      </w:tblGrid>
      <w:tr>
        <w:trPr>
          <w:tblHeader w:val="true"/>
          <w:cantSplit/>
        </w:trPr>
        <w:tc>
          <w:tcPr>
            <w:tcW w:type="dxa" w:w="3231"/>
            <w:tcMar>
              <w:top w:w="60" w:type="dxa"/>
              <w:start w:w="70" w:type="dxa"/>
              <w:bottom w:w="60" w:type="dxa"/>
              <w:end w:w="70" w:type="dxa"/>
            </w:tcMar>
            <w:vAlign w:val="center"/>
            <w:shd w:fill="D9EAF7"/>
          </w:tcPr>
          <w:p>
            <w:pPr>
              <w:pStyle w:val="MDPI42tablebody"/>
              <w:keepLines/>
              <w:jc w:val="left"/>
            </w:pPr>
            <w:r>
              <w:rPr>
                <w:b/>
                <w:sz w:val="13"/>
              </w:rPr>
              <w:t>Parameter</w:t>
            </w:r>
          </w:p>
        </w:tc>
        <w:tc>
          <w:tcPr>
            <w:tcW w:type="dxa" w:w="2835"/>
            <w:tcMar>
              <w:top w:w="60" w:type="dxa"/>
              <w:start w:w="70" w:type="dxa"/>
              <w:bottom w:w="60" w:type="dxa"/>
              <w:end w:w="70" w:type="dxa"/>
            </w:tcMar>
            <w:vAlign w:val="center"/>
            <w:shd w:fill="D9EAF7"/>
          </w:tcPr>
          <w:p>
            <w:pPr>
              <w:pStyle w:val="MDPI42tablebody"/>
              <w:keepLines/>
              <w:jc w:val="left"/>
            </w:pPr>
            <w:r>
              <w:rPr>
                <w:b/>
                <w:sz w:val="13"/>
              </w:rPr>
              <w:t>Base value</w:t>
            </w:r>
          </w:p>
        </w:tc>
        <w:tc>
          <w:tcPr>
            <w:tcW w:type="dxa" w:w="3855"/>
            <w:tcMar>
              <w:top w:w="60" w:type="dxa"/>
              <w:start w:w="70" w:type="dxa"/>
              <w:bottom w:w="60" w:type="dxa"/>
              <w:end w:w="70" w:type="dxa"/>
            </w:tcMar>
            <w:vAlign w:val="center"/>
            <w:shd w:fill="D9EAF7"/>
          </w:tcPr>
          <w:p>
            <w:pPr>
              <w:pStyle w:val="MDPI42tablebody"/>
              <w:keepLines/>
              <w:jc w:val="left"/>
            </w:pPr>
            <w:r>
              <w:rPr>
                <w:b/>
                <w:sz w:val="13"/>
              </w:rPr>
              <w:t>Purpose</w:t>
            </w:r>
          </w:p>
        </w:tc>
      </w:tr>
      <w:tr>
        <w:trPr>
          <w:cantSplit/>
        </w:trPr>
        <w:tc>
          <w:tcPr>
            <w:tcW w:type="dxa" w:w="3231"/>
            <w:tcMar>
              <w:top w:w="60" w:type="dxa"/>
              <w:start w:w="70" w:type="dxa"/>
              <w:bottom w:w="60" w:type="dxa"/>
              <w:end w:w="70" w:type="dxa"/>
            </w:tcMar>
            <w:vAlign w:val="center"/>
          </w:tcPr>
          <w:p>
            <w:pPr>
              <w:pStyle w:val="MDPI42tablebody"/>
              <w:keepLines/>
              <w:jc w:val="left"/>
            </w:pPr>
            <w:r>
              <w:rPr>
                <w:sz w:val="13"/>
              </w:rPr>
              <w:t>Coordinate reference system</w:t>
            </w:r>
          </w:p>
        </w:tc>
        <w:tc>
          <w:tcPr>
            <w:tcW w:type="dxa" w:w="2835"/>
            <w:tcMar>
              <w:top w:w="60" w:type="dxa"/>
              <w:start w:w="70" w:type="dxa"/>
              <w:bottom w:w="60" w:type="dxa"/>
              <w:end w:w="70" w:type="dxa"/>
            </w:tcMar>
            <w:vAlign w:val="center"/>
          </w:tcPr>
          <w:p>
            <w:pPr>
              <w:pStyle w:val="MDPI42tablebody"/>
              <w:keepLines/>
              <w:jc w:val="left"/>
            </w:pPr>
            <w:r>
              <w:rPr>
                <w:sz w:val="13"/>
              </w:rPr>
              <w:t>EPSG:25832</w:t>
            </w:r>
          </w:p>
        </w:tc>
        <w:tc>
          <w:tcPr>
            <w:tcW w:type="dxa" w:w="3855"/>
            <w:tcMar>
              <w:top w:w="60" w:type="dxa"/>
              <w:start w:w="70" w:type="dxa"/>
              <w:bottom w:w="60" w:type="dxa"/>
              <w:end w:w="70" w:type="dxa"/>
            </w:tcMar>
            <w:vAlign w:val="center"/>
          </w:tcPr>
          <w:p>
            <w:pPr>
              <w:pStyle w:val="MDPI42tablebody"/>
              <w:keepLines/>
              <w:jc w:val="left"/>
            </w:pPr>
            <w:r>
              <w:rPr>
                <w:sz w:val="13"/>
              </w:rPr>
              <w:t>Metric geometric computation</w:t>
            </w:r>
          </w:p>
        </w:tc>
      </w:tr>
      <w:tr>
        <w:trPr>
          <w:cantSplit/>
        </w:trPr>
        <w:tc>
          <w:tcPr>
            <w:tcW w:type="dxa" w:w="3231"/>
            <w:tcMar>
              <w:top w:w="60" w:type="dxa"/>
              <w:start w:w="70" w:type="dxa"/>
              <w:bottom w:w="60" w:type="dxa"/>
              <w:end w:w="70" w:type="dxa"/>
            </w:tcMar>
            <w:vAlign w:val="center"/>
          </w:tcPr>
          <w:p>
            <w:pPr>
              <w:pStyle w:val="MDPI42tablebody"/>
              <w:keepLines/>
              <w:jc w:val="left"/>
            </w:pPr>
            <w:r>
              <w:rPr>
                <w:sz w:val="13"/>
              </w:rPr>
              <w:t>Nested-coplanar overlap threshold</w:t>
            </w:r>
          </w:p>
        </w:tc>
        <w:tc>
          <w:tcPr>
            <w:tcW w:type="dxa" w:w="2835"/>
            <w:tcMar>
              <w:top w:w="60" w:type="dxa"/>
              <w:start w:w="70" w:type="dxa"/>
              <w:bottom w:w="60" w:type="dxa"/>
              <w:end w:w="70" w:type="dxa"/>
            </w:tcMar>
            <w:vAlign w:val="center"/>
          </w:tcPr>
          <w:p>
            <w:pPr>
              <w:keepLines/>
              <w:jc w:val="left"/>
            </w:pPr>
            <w:r>
              <w:rPr>
                <w:b w:val="0"/>
              </w:rPr>
              <w:t>≥99% of smaller polygon</w:t>
            </w:r>
          </w:p>
        </w:tc>
        <w:tc>
          <w:tcPr>
            <w:tcW w:type="dxa" w:w="3855"/>
            <w:tcMar>
              <w:top w:w="60" w:type="dxa"/>
              <w:start w:w="70" w:type="dxa"/>
              <w:bottom w:w="60" w:type="dxa"/>
              <w:end w:w="70" w:type="dxa"/>
            </w:tcMar>
            <w:vAlign w:val="center"/>
          </w:tcPr>
          <w:p>
            <w:pPr>
              <w:pStyle w:val="MDPI42tablebody"/>
              <w:keepLines/>
              <w:jc w:val="left"/>
            </w:pPr>
            <w:r>
              <w:rPr>
                <w:sz w:val="13"/>
              </w:rPr>
              <w:t>Remove almost wholly contained duplicate roof surfaces</w:t>
            </w:r>
          </w:p>
        </w:tc>
      </w:tr>
      <w:tr>
        <w:trPr>
          <w:cantSplit/>
        </w:trPr>
        <w:tc>
          <w:tcPr>
            <w:tcW w:type="dxa" w:w="3231"/>
            <w:tcMar>
              <w:top w:w="60" w:type="dxa"/>
              <w:start w:w="70" w:type="dxa"/>
              <w:bottom w:w="60" w:type="dxa"/>
              <w:end w:w="70" w:type="dxa"/>
            </w:tcMar>
            <w:vAlign w:val="center"/>
          </w:tcPr>
          <w:p>
            <w:pPr>
              <w:pStyle w:val="MDPI42tablebody"/>
              <w:keepLines/>
              <w:jc w:val="left"/>
            </w:pPr>
            <w:r>
              <w:rPr>
                <w:sz w:val="13"/>
              </w:rPr>
              <w:t>Coplanar normal tolerance</w:t>
            </w:r>
          </w:p>
        </w:tc>
        <w:tc>
          <w:tcPr>
            <w:tcW w:type="dxa" w:w="2835"/>
            <w:tcMar>
              <w:top w:w="60" w:type="dxa"/>
              <w:start w:w="70" w:type="dxa"/>
              <w:bottom w:w="60" w:type="dxa"/>
              <w:end w:w="70" w:type="dxa"/>
            </w:tcMar>
            <w:vAlign w:val="center"/>
          </w:tcPr>
          <w:p>
            <w:pPr>
              <w:keepLines/>
              <w:jc w:val="left"/>
            </w:pPr>
            <w:r>
              <w:rPr>
                <w:b w:val="0"/>
              </w:rPr>
              <w:t>≤1°</w:t>
            </w:r>
          </w:p>
        </w:tc>
        <w:tc>
          <w:tcPr>
            <w:tcW w:type="dxa" w:w="3855"/>
            <w:tcMar>
              <w:top w:w="60" w:type="dxa"/>
              <w:start w:w="70" w:type="dxa"/>
              <w:bottom w:w="60" w:type="dxa"/>
              <w:end w:w="70" w:type="dxa"/>
            </w:tcMar>
            <w:vAlign w:val="center"/>
          </w:tcPr>
          <w:p>
            <w:pPr>
              <w:pStyle w:val="MDPI42tablebody"/>
              <w:keepLines/>
              <w:jc w:val="left"/>
            </w:pPr>
            <w:r>
              <w:rPr>
                <w:sz w:val="13"/>
              </w:rPr>
              <w:t>Consolidate data-model partitions on the same roof plane</w:t>
            </w:r>
          </w:p>
        </w:tc>
      </w:tr>
      <w:tr>
        <w:trPr>
          <w:cantSplit/>
        </w:trPr>
        <w:tc>
          <w:tcPr>
            <w:tcW w:type="dxa" w:w="3231"/>
            <w:tcMar>
              <w:top w:w="60" w:type="dxa"/>
              <w:start w:w="70" w:type="dxa"/>
              <w:bottom w:w="60" w:type="dxa"/>
              <w:end w:w="70" w:type="dxa"/>
            </w:tcMar>
            <w:vAlign w:val="center"/>
          </w:tcPr>
          <w:p>
            <w:pPr>
              <w:pStyle w:val="MDPI42tablebody"/>
              <w:keepLines/>
              <w:jc w:val="left"/>
            </w:pPr>
            <w:r>
              <w:rPr>
                <w:sz w:val="13"/>
              </w:rPr>
              <w:t>Coplanar vertical tolerance</w:t>
            </w:r>
          </w:p>
        </w:tc>
        <w:tc>
          <w:tcPr>
            <w:tcW w:type="dxa" w:w="2835"/>
            <w:tcMar>
              <w:top w:w="60" w:type="dxa"/>
              <w:start w:w="70" w:type="dxa"/>
              <w:bottom w:w="60" w:type="dxa"/>
              <w:end w:w="70" w:type="dxa"/>
            </w:tcMar>
            <w:vAlign w:val="center"/>
          </w:tcPr>
          <w:p>
            <w:pPr>
              <w:keepLines/>
              <w:jc w:val="left"/>
            </w:pPr>
            <w:r>
              <w:rPr>
                <w:b w:val="0"/>
              </w:rPr>
              <w:t>≤0.10 m</w:t>
            </w:r>
          </w:p>
        </w:tc>
        <w:tc>
          <w:tcPr>
            <w:tcW w:type="dxa" w:w="3855"/>
            <w:tcMar>
              <w:top w:w="60" w:type="dxa"/>
              <w:start w:w="70" w:type="dxa"/>
              <w:bottom w:w="60" w:type="dxa"/>
              <w:end w:w="70" w:type="dxa"/>
            </w:tcMar>
            <w:vAlign w:val="center"/>
          </w:tcPr>
          <w:p>
            <w:pPr>
              <w:pStyle w:val="MDPI42tablebody"/>
              <w:keepLines/>
              <w:jc w:val="left"/>
            </w:pPr>
            <w:r>
              <w:rPr>
                <w:sz w:val="13"/>
              </w:rPr>
              <w:t>Consolidate vertically coincident adjacent partitions</w:t>
            </w:r>
          </w:p>
        </w:tc>
      </w:tr>
      <w:tr>
        <w:trPr>
          <w:cantSplit/>
        </w:trPr>
        <w:tc>
          <w:tcPr>
            <w:tcW w:type="dxa" w:w="3231"/>
            <w:tcMar>
              <w:top w:w="60" w:type="dxa"/>
              <w:start w:w="70" w:type="dxa"/>
              <w:bottom w:w="60" w:type="dxa"/>
              <w:end w:w="70" w:type="dxa"/>
            </w:tcMar>
            <w:vAlign w:val="center"/>
          </w:tcPr>
          <w:p>
            <w:pPr>
              <w:pStyle w:val="MDPI42tablebody"/>
              <w:keepLines/>
              <w:jc w:val="left"/>
            </w:pPr>
            <w:r>
              <w:rPr>
                <w:sz w:val="13"/>
              </w:rPr>
              <w:t>Minimum shared boundary</w:t>
            </w:r>
          </w:p>
        </w:tc>
        <w:tc>
          <w:tcPr>
            <w:tcW w:type="dxa" w:w="2835"/>
            <w:tcMar>
              <w:top w:w="60" w:type="dxa"/>
              <w:start w:w="70" w:type="dxa"/>
              <w:bottom w:w="60" w:type="dxa"/>
              <w:end w:w="70" w:type="dxa"/>
            </w:tcMar>
            <w:vAlign w:val="center"/>
          </w:tcPr>
          <w:p>
            <w:pPr>
              <w:pStyle w:val="MDPI42tablebody"/>
              <w:keepLines/>
              <w:jc w:val="left"/>
            </w:pPr>
            <w:r>
              <w:rPr>
                <w:sz w:val="13"/>
              </w:rPr>
              <w:t>&gt;0.05 m</w:t>
            </w:r>
          </w:p>
        </w:tc>
        <w:tc>
          <w:tcPr>
            <w:tcW w:type="dxa" w:w="3855"/>
            <w:tcMar>
              <w:top w:w="60" w:type="dxa"/>
              <w:start w:w="70" w:type="dxa"/>
              <w:bottom w:w="60" w:type="dxa"/>
              <w:end w:w="70" w:type="dxa"/>
            </w:tcMar>
            <w:vAlign w:val="center"/>
          </w:tcPr>
          <w:p>
            <w:pPr>
              <w:pStyle w:val="MDPI42tablebody"/>
              <w:keepLines/>
              <w:jc w:val="left"/>
            </w:pPr>
            <w:r>
              <w:rPr>
                <w:sz w:val="13"/>
              </w:rPr>
              <w:t>Require adjacency before merging</w:t>
            </w:r>
          </w:p>
        </w:tc>
      </w:tr>
      <w:tr>
        <w:trPr>
          <w:cantSplit/>
        </w:trPr>
        <w:tc>
          <w:tcPr>
            <w:tcW w:type="dxa" w:w="3231"/>
            <w:tcMar>
              <w:top w:w="60" w:type="dxa"/>
              <w:start w:w="70" w:type="dxa"/>
              <w:bottom w:w="60" w:type="dxa"/>
              <w:end w:w="70" w:type="dxa"/>
            </w:tcMar>
            <w:vAlign w:val="center"/>
          </w:tcPr>
          <w:p>
            <w:pPr>
              <w:pStyle w:val="MDPI42tablebody"/>
              <w:keepLines/>
              <w:jc w:val="left"/>
            </w:pPr>
            <w:r>
              <w:rPr>
                <w:sz w:val="13"/>
              </w:rPr>
              <w:t>External roof-envelope setback</w:t>
            </w:r>
          </w:p>
        </w:tc>
        <w:tc>
          <w:tcPr>
            <w:tcW w:type="dxa" w:w="2835"/>
            <w:tcMar>
              <w:top w:w="60" w:type="dxa"/>
              <w:start w:w="70" w:type="dxa"/>
              <w:bottom w:w="60" w:type="dxa"/>
              <w:end w:w="70" w:type="dxa"/>
            </w:tcMar>
            <w:vAlign w:val="center"/>
          </w:tcPr>
          <w:p>
            <w:pPr>
              <w:pStyle w:val="MDPI42tablebody"/>
              <w:keepLines/>
              <w:jc w:val="left"/>
            </w:pPr>
            <w:r>
              <w:rPr>
                <w:sz w:val="13"/>
              </w:rPr>
              <w:t>0.30 m in plan view</w:t>
            </w:r>
          </w:p>
        </w:tc>
        <w:tc>
          <w:tcPr>
            <w:tcW w:type="dxa" w:w="3855"/>
            <w:tcMar>
              <w:top w:w="60" w:type="dxa"/>
              <w:start w:w="70" w:type="dxa"/>
              <w:bottom w:w="60" w:type="dxa"/>
              <w:end w:w="70" w:type="dxa"/>
            </w:tcMar>
            <w:vAlign w:val="center"/>
          </w:tcPr>
          <w:p>
            <w:pPr>
              <w:pStyle w:val="MDPI42tablebody"/>
              <w:keepLines/>
              <w:jc w:val="left"/>
            </w:pPr>
            <w:r>
              <w:rPr>
                <w:sz w:val="13"/>
              </w:rPr>
              <w:t>Base usable-area screen</w:t>
            </w:r>
          </w:p>
        </w:tc>
      </w:tr>
      <w:tr>
        <w:trPr>
          <w:cantSplit/>
        </w:trPr>
        <w:tc>
          <w:tcPr>
            <w:tcW w:type="dxa" w:w="3231"/>
            <w:tcMar>
              <w:top w:w="60" w:type="dxa"/>
              <w:start w:w="70" w:type="dxa"/>
              <w:bottom w:w="60" w:type="dxa"/>
              <w:end w:w="70" w:type="dxa"/>
            </w:tcMar>
            <w:vAlign w:val="center"/>
          </w:tcPr>
          <w:p>
            <w:pPr>
              <w:pStyle w:val="MDPI42tablebody"/>
              <w:keepLines/>
              <w:jc w:val="left"/>
            </w:pPr>
            <w:r>
              <w:rPr>
                <w:sz w:val="13"/>
              </w:rPr>
              <w:t>Base module</w:t>
            </w:r>
          </w:p>
        </w:tc>
        <w:tc>
          <w:tcPr>
            <w:tcW w:type="dxa" w:w="2835"/>
            <w:tcMar>
              <w:top w:w="60" w:type="dxa"/>
              <w:start w:w="70" w:type="dxa"/>
              <w:bottom w:w="60" w:type="dxa"/>
              <w:end w:w="70" w:type="dxa"/>
            </w:tcMar>
            <w:vAlign w:val="center"/>
          </w:tcPr>
          <w:p>
            <w:pPr>
              <w:keepLines/>
              <w:jc w:val="left"/>
            </w:pPr>
            <w:r>
              <w:rPr>
                <w:b w:val="0"/>
              </w:rPr>
              <w:t>LONGi LR5-54HTB-440M; 1.722 × 1.134 m; 440 W</w:t>
            </w:r>
          </w:p>
        </w:tc>
        <w:tc>
          <w:tcPr>
            <w:tcW w:type="dxa" w:w="3855"/>
            <w:tcMar>
              <w:top w:w="60" w:type="dxa"/>
              <w:start w:w="70" w:type="dxa"/>
              <w:bottom w:w="60" w:type="dxa"/>
              <w:end w:w="70" w:type="dxa"/>
            </w:tcMar>
            <w:vAlign w:val="center"/>
          </w:tcPr>
          <w:p>
            <w:pPr>
              <w:pStyle w:val="MDPI42tablebody"/>
              <w:keepLines/>
              <w:jc w:val="left"/>
            </w:pPr>
            <w:r>
              <w:rPr>
                <w:sz w:val="13"/>
              </w:rPr>
              <w:t>Packing and capacity reference</w:t>
            </w:r>
          </w:p>
        </w:tc>
      </w:tr>
      <w:tr>
        <w:trPr>
          <w:cantSplit/>
        </w:trPr>
        <w:tc>
          <w:tcPr>
            <w:tcW w:type="dxa" w:w="3231"/>
            <w:tcMar>
              <w:top w:w="60" w:type="dxa"/>
              <w:start w:w="70" w:type="dxa"/>
              <w:bottom w:w="60" w:type="dxa"/>
              <w:end w:w="70" w:type="dxa"/>
            </w:tcMar>
            <w:vAlign w:val="center"/>
          </w:tcPr>
          <w:p>
            <w:pPr>
              <w:pStyle w:val="MDPI42tablebody"/>
              <w:keepLines/>
              <w:jc w:val="left"/>
            </w:pPr>
            <w:r>
              <w:rPr>
                <w:sz w:val="13"/>
              </w:rPr>
              <w:t>Module clearance</w:t>
            </w:r>
          </w:p>
        </w:tc>
        <w:tc>
          <w:tcPr>
            <w:tcW w:type="dxa" w:w="2835"/>
            <w:tcMar>
              <w:top w:w="60" w:type="dxa"/>
              <w:start w:w="70" w:type="dxa"/>
              <w:bottom w:w="60" w:type="dxa"/>
              <w:end w:w="70" w:type="dxa"/>
            </w:tcMar>
            <w:vAlign w:val="center"/>
          </w:tcPr>
          <w:p>
            <w:pPr>
              <w:pStyle w:val="MDPI42tablebody"/>
              <w:keepLines/>
              <w:jc w:val="left"/>
            </w:pPr>
            <w:r>
              <w:rPr>
                <w:sz w:val="13"/>
              </w:rPr>
              <w:t>10 mm</w:t>
            </w:r>
          </w:p>
        </w:tc>
        <w:tc>
          <w:tcPr>
            <w:tcW w:type="dxa" w:w="3855"/>
            <w:tcMar>
              <w:top w:w="60" w:type="dxa"/>
              <w:start w:w="70" w:type="dxa"/>
              <w:bottom w:w="60" w:type="dxa"/>
              <w:end w:w="70" w:type="dxa"/>
            </w:tcMar>
            <w:vAlign w:val="center"/>
          </w:tcPr>
          <w:p>
            <w:pPr>
              <w:pStyle w:val="MDPI42tablebody"/>
              <w:keepLines/>
              <w:jc w:val="left"/>
            </w:pPr>
            <w:r>
              <w:rPr>
                <w:sz w:val="13"/>
              </w:rPr>
              <w:t>Manufacturer-guided base spacing</w:t>
            </w:r>
          </w:p>
        </w:tc>
      </w:tr>
      <w:tr>
        <w:trPr>
          <w:cantSplit/>
        </w:trPr>
        <w:tc>
          <w:tcPr>
            <w:tcW w:type="dxa" w:w="3231"/>
            <w:tcMar>
              <w:top w:w="60" w:type="dxa"/>
              <w:start w:w="70" w:type="dxa"/>
              <w:bottom w:w="60" w:type="dxa"/>
              <w:end w:w="70" w:type="dxa"/>
            </w:tcMar>
            <w:vAlign w:val="center"/>
          </w:tcPr>
          <w:p>
            <w:pPr>
              <w:pStyle w:val="MDPI42tablebody"/>
              <w:keepLines/>
              <w:jc w:val="left"/>
            </w:pPr>
            <w:r>
              <w:rPr>
                <w:sz w:val="13"/>
              </w:rPr>
              <w:t>Offset search</w:t>
            </w:r>
          </w:p>
        </w:tc>
        <w:tc>
          <w:tcPr>
            <w:tcW w:type="dxa" w:w="2835"/>
            <w:tcMar>
              <w:top w:w="60" w:type="dxa"/>
              <w:start w:w="70" w:type="dxa"/>
              <w:bottom w:w="60" w:type="dxa"/>
              <w:end w:w="70" w:type="dxa"/>
            </w:tcMar>
            <w:vAlign w:val="center"/>
          </w:tcPr>
          <w:p>
            <w:pPr>
              <w:keepLines/>
              <w:jc w:val="left"/>
            </w:pPr>
            <w:r>
              <w:rPr>
                <w:b w:val="0"/>
              </w:rPr>
              <w:t>9 × 9 offsets per orientation</w:t>
            </w:r>
          </w:p>
        </w:tc>
        <w:tc>
          <w:tcPr>
            <w:tcW w:type="dxa" w:w="3855"/>
            <w:tcMar>
              <w:top w:w="60" w:type="dxa"/>
              <w:start w:w="70" w:type="dxa"/>
              <w:bottom w:w="60" w:type="dxa"/>
              <w:end w:w="70" w:type="dxa"/>
            </w:tcMar>
            <w:vAlign w:val="center"/>
          </w:tcPr>
          <w:p>
            <w:pPr>
              <w:pStyle w:val="MDPI42tablebody"/>
              <w:keepLines/>
              <w:jc w:val="left"/>
            </w:pPr>
            <w:r>
              <w:rPr>
                <w:sz w:val="13"/>
              </w:rPr>
              <w:t>Production packing search</w:t>
            </w:r>
          </w:p>
        </w:tc>
      </w:tr>
      <w:tr>
        <w:trPr>
          <w:cantSplit/>
        </w:trPr>
        <w:tc>
          <w:tcPr>
            <w:tcW w:type="dxa" w:w="3231"/>
            <w:tcMar>
              <w:top w:w="60" w:type="dxa"/>
              <w:start w:w="70" w:type="dxa"/>
              <w:bottom w:w="60" w:type="dxa"/>
              <w:end w:w="70" w:type="dxa"/>
            </w:tcMar>
            <w:vAlign w:val="center"/>
          </w:tcPr>
          <w:p>
            <w:pPr>
              <w:pStyle w:val="MDPI42tablebody"/>
              <w:keepLines/>
              <w:jc w:val="left"/>
            </w:pPr>
            <w:r>
              <w:rPr>
                <w:sz w:val="13"/>
              </w:rPr>
              <w:t>Controlled roof</w:t>
            </w:r>
          </w:p>
        </w:tc>
        <w:tc>
          <w:tcPr>
            <w:tcW w:type="dxa" w:w="2835"/>
            <w:tcMar>
              <w:top w:w="60" w:type="dxa"/>
              <w:start w:w="70" w:type="dxa"/>
              <w:bottom w:w="60" w:type="dxa"/>
              <w:end w:w="70" w:type="dxa"/>
            </w:tcMar>
            <w:vAlign w:val="center"/>
          </w:tcPr>
          <w:p>
            <w:pPr>
              <w:keepLines/>
              <w:jc w:val="left"/>
            </w:pPr>
            <w:r>
              <w:rPr>
                <w:b w:val="0"/>
              </w:rPr>
              <w:t>12 × 10 m outer geometry</w:t>
            </w:r>
          </w:p>
        </w:tc>
        <w:tc>
          <w:tcPr>
            <w:tcW w:type="dxa" w:w="3855"/>
            <w:tcMar>
              <w:top w:w="60" w:type="dxa"/>
              <w:start w:w="70" w:type="dxa"/>
              <w:bottom w:w="60" w:type="dxa"/>
              <w:end w:w="70" w:type="dxa"/>
            </w:tcMar>
            <w:vAlign w:val="center"/>
          </w:tcPr>
          <w:p>
            <w:pPr>
              <w:pStyle w:val="MDPI42tablebody"/>
              <w:keepLines/>
              <w:jc w:val="left"/>
            </w:pPr>
            <w:r>
              <w:rPr>
                <w:sz w:val="13"/>
              </w:rPr>
              <w:t>Isolate subdivision effect</w:t>
            </w:r>
          </w:p>
        </w:tc>
      </w:tr>
      <w:tr>
        <w:trPr>
          <w:cantSplit/>
        </w:trPr>
        <w:tc>
          <w:tcPr>
            <w:tcW w:type="dxa" w:w="3231"/>
            <w:tcMar>
              <w:top w:w="60" w:type="dxa"/>
              <w:start w:w="70" w:type="dxa"/>
              <w:bottom w:w="60" w:type="dxa"/>
              <w:end w:w="70" w:type="dxa"/>
            </w:tcMar>
            <w:vAlign w:val="center"/>
          </w:tcPr>
          <w:p>
            <w:pPr>
              <w:pStyle w:val="MDPI42tablebody"/>
              <w:keepLines/>
              <w:jc w:val="left"/>
            </w:pPr>
            <w:r>
              <w:rPr>
                <w:sz w:val="13"/>
              </w:rPr>
              <w:t>Controlled realizations</w:t>
            </w:r>
          </w:p>
        </w:tc>
        <w:tc>
          <w:tcPr>
            <w:tcW w:type="dxa" w:w="2835"/>
            <w:tcMar>
              <w:top w:w="60" w:type="dxa"/>
              <w:start w:w="70" w:type="dxa"/>
              <w:bottom w:w="60" w:type="dxa"/>
              <w:end w:w="70" w:type="dxa"/>
            </w:tcMar>
            <w:vAlign w:val="center"/>
          </w:tcPr>
          <w:p>
            <w:pPr>
              <w:keepLines/>
              <w:jc w:val="left"/>
            </w:pPr>
            <w:r>
              <w:rPr>
                <w:b w:val="0"/>
              </w:rPr>
              <w:t>50 per facet count, 2–12 facets</w:t>
            </w:r>
          </w:p>
        </w:tc>
        <w:tc>
          <w:tcPr>
            <w:tcW w:type="dxa" w:w="3855"/>
            <w:tcMar>
              <w:top w:w="60" w:type="dxa"/>
              <w:start w:w="70" w:type="dxa"/>
              <w:bottom w:w="60" w:type="dxa"/>
              <w:end w:w="70" w:type="dxa"/>
            </w:tcMar>
            <w:vAlign w:val="center"/>
          </w:tcPr>
          <w:p>
            <w:pPr>
              <w:pStyle w:val="MDPI42tablebody"/>
              <w:keepLines/>
              <w:jc w:val="left"/>
            </w:pPr>
            <w:r>
              <w:rPr>
                <w:sz w:val="13"/>
              </w:rPr>
              <w:t>Estimate distribution of fragmentation loss</w:t>
            </w:r>
          </w:p>
        </w:tc>
      </w:tr>
      <w:tr>
        <w:trPr>
          <w:cantSplit/>
        </w:trPr>
        <w:tc>
          <w:tcPr>
            <w:tcW w:type="dxa" w:w="3231"/>
            <w:tcMar>
              <w:top w:w="60" w:type="dxa"/>
              <w:start w:w="70" w:type="dxa"/>
              <w:bottom w:w="60" w:type="dxa"/>
              <w:end w:w="70" w:type="dxa"/>
            </w:tcMar>
            <w:vAlign w:val="center"/>
          </w:tcPr>
          <w:p>
            <w:pPr>
              <w:pStyle w:val="MDPI42tablebody"/>
              <w:keepLines/>
              <w:jc w:val="left"/>
            </w:pPr>
            <w:r>
              <w:rPr>
                <w:sz w:val="13"/>
              </w:rPr>
              <w:t>Bootstrap</w:t>
            </w:r>
          </w:p>
        </w:tc>
        <w:tc>
          <w:tcPr>
            <w:tcW w:type="dxa" w:w="2835"/>
            <w:tcMar>
              <w:top w:w="60" w:type="dxa"/>
              <w:start w:w="70" w:type="dxa"/>
              <w:bottom w:w="60" w:type="dxa"/>
              <w:end w:w="70" w:type="dxa"/>
            </w:tcMar>
            <w:vAlign w:val="center"/>
          </w:tcPr>
          <w:p>
            <w:pPr>
              <w:pStyle w:val="MDPI42tablebody"/>
              <w:keepLines/>
              <w:jc w:val="left"/>
            </w:pPr>
            <w:r>
              <w:rPr>
                <w:sz w:val="13"/>
              </w:rPr>
              <w:t>10,000 building-level resamples</w:t>
            </w:r>
          </w:p>
        </w:tc>
        <w:tc>
          <w:tcPr>
            <w:tcW w:type="dxa" w:w="3855"/>
            <w:tcMar>
              <w:top w:w="60" w:type="dxa"/>
              <w:start w:w="70" w:type="dxa"/>
              <w:bottom w:w="60" w:type="dxa"/>
              <w:end w:w="70" w:type="dxa"/>
            </w:tcMar>
            <w:vAlign w:val="center"/>
          </w:tcPr>
          <w:p>
            <w:pPr>
              <w:pStyle w:val="MDPI42tablebody"/>
              <w:keepLines/>
              <w:jc w:val="left"/>
            </w:pPr>
            <w:r>
              <w:rPr>
                <w:sz w:val="13"/>
              </w:rPr>
              <w:t>Within-window uncertainty summary</w:t>
            </w:r>
          </w:p>
        </w:tc>
      </w:tr>
    </w:tbl>
    <w:p>
      <w:pPr>
        <w:pStyle w:val="MDPI41tablecaption"/>
      </w:pPr>
      <w:r>
        <w:t>Table S3. Coplanar-consolidation tolerance sensitivity. For each tolerance pair, physical facets were reconstructed and the affected building packings were recomputed before the aggregate shortfall and building-level facet-density association were recalculated. Across the grid, all raw two-sided correlation p-values were ≤0.00014.</w:t>
      </w:r>
    </w:p>
    <w:tbl>
      <w:tblPr>
        <w:tblW w:type="dxa" w:w="8424"/>
        <w:jc w:val="center"/>
        <w:tblLayout w:type="fixed"/>
        <w:tblLook w:firstColumn="1" w:firstRow="1" w:lastColumn="0" w:lastRow="0" w:noHBand="0" w:noVBand="1" w:val="04A0"/>
        <w:bidiVisual w:val="0"/>
      </w:tblPr>
      <w:tblGrid>
        <w:gridCol w:w="1512"/>
        <w:gridCol w:w="1655"/>
        <w:gridCol w:w="1512"/>
        <w:gridCol w:w="2232"/>
        <w:gridCol w:w="1512"/>
      </w:tblGrid>
      <w:tr>
        <w:trPr>
          <w:tblHeader w:val="true"/>
          <w:cantSplit/>
        </w:trPr>
        <w:tc>
          <w:tcPr>
            <w:tcW w:type="dxa" w:w="1512"/>
            <w:tcMar>
              <w:top w:w="60" w:type="dxa"/>
              <w:start w:w="70" w:type="dxa"/>
              <w:bottom w:w="60" w:type="dxa"/>
              <w:end w:w="70" w:type="dxa"/>
            </w:tcMar>
            <w:vAlign w:val="center"/>
            <w:shd w:fill="D9EAF7"/>
          </w:tcPr>
          <w:p>
            <w:pPr>
              <w:keepLines/>
              <w:jc w:val="left"/>
            </w:pPr>
            <w:r>
              <w:rPr>
                <w:b/>
                <w:sz w:val="17"/>
              </w:rPr>
              <w:t>Normal tolerance</w:t>
            </w:r>
          </w:p>
        </w:tc>
        <w:tc>
          <w:tcPr>
            <w:tcW w:type="dxa" w:w="1655"/>
            <w:tcMar>
              <w:top w:w="60" w:type="dxa"/>
              <w:start w:w="70" w:type="dxa"/>
              <w:bottom w:w="60" w:type="dxa"/>
              <w:end w:w="70" w:type="dxa"/>
            </w:tcMar>
            <w:vAlign w:val="center"/>
            <w:shd w:fill="D9EAF7"/>
          </w:tcPr>
          <w:p>
            <w:pPr>
              <w:keepLines/>
              <w:jc w:val="left"/>
            </w:pPr>
            <w:r>
              <w:rPr>
                <w:b/>
                <w:sz w:val="17"/>
              </w:rPr>
              <w:t>Vertical tolerance</w:t>
            </w:r>
          </w:p>
        </w:tc>
        <w:tc>
          <w:tcPr>
            <w:tcW w:type="dxa" w:w="1512"/>
            <w:tcMar>
              <w:top w:w="60" w:type="dxa"/>
              <w:start w:w="70" w:type="dxa"/>
              <w:bottom w:w="60" w:type="dxa"/>
              <w:end w:w="70" w:type="dxa"/>
            </w:tcMar>
            <w:vAlign w:val="center"/>
            <w:shd w:fill="D9EAF7"/>
          </w:tcPr>
          <w:p>
            <w:pPr>
              <w:keepLines/>
              <w:jc w:val="left"/>
            </w:pPr>
            <w:r>
              <w:rPr>
                <w:b/>
                <w:sz w:val="17"/>
              </w:rPr>
              <w:t>Physical facets</w:t>
            </w:r>
          </w:p>
        </w:tc>
        <w:tc>
          <w:tcPr>
            <w:tcW w:type="dxa" w:w="2232"/>
            <w:vAlign w:val="center"/>
          </w:tcPr>
          <w:p>
            <w:pPr>
              <w:keepLines/>
              <w:jc w:val="left"/>
            </w:pPr>
            <w:r>
              <w:rPr>
                <w:b/>
                <w:sz w:val="17"/>
              </w:rPr>
              <w:t>Aggregate shortfall (%)</w:t>
            </w:r>
          </w:p>
        </w:tc>
        <w:tc>
          <w:tcPr>
            <w:tcW w:type="dxa" w:w="1512"/>
            <w:vAlign w:val="center"/>
          </w:tcPr>
          <w:p>
            <w:pPr>
              <w:keepLines/>
              <w:jc w:val="left"/>
            </w:pPr>
            <w:r>
              <w:rPr>
                <w:b/>
                <w:sz w:val="17"/>
              </w:rPr>
              <w:t>Spearman ρ</w:t>
            </w:r>
          </w:p>
        </w:tc>
      </w:tr>
      <w:tr>
        <w:trPr>
          <w:cantSplit/>
        </w:trPr>
        <w:tc>
          <w:tcPr>
            <w:tcW w:type="dxa" w:w="1512"/>
            <w:tcMar>
              <w:top w:w="60" w:type="dxa"/>
              <w:start w:w="70" w:type="dxa"/>
              <w:bottom w:w="60" w:type="dxa"/>
              <w:end w:w="70" w:type="dxa"/>
            </w:tcMar>
            <w:vAlign w:val="center"/>
          </w:tcPr>
          <w:p>
            <w:pPr>
              <w:keepLines/>
              <w:jc w:val="left"/>
            </w:pPr>
            <w:r>
              <w:rPr>
                <w:b w:val="0"/>
                <w:sz w:val="17"/>
              </w:rPr>
              <w:t>0.5°</w:t>
            </w:r>
          </w:p>
        </w:tc>
        <w:tc>
          <w:tcPr>
            <w:tcW w:type="dxa" w:w="1655"/>
            <w:tcMar>
              <w:top w:w="60" w:type="dxa"/>
              <w:start w:w="70" w:type="dxa"/>
              <w:bottom w:w="60" w:type="dxa"/>
              <w:end w:w="70" w:type="dxa"/>
            </w:tcMar>
            <w:vAlign w:val="center"/>
          </w:tcPr>
          <w:p>
            <w:pPr>
              <w:keepLines/>
              <w:jc w:val="left"/>
            </w:pPr>
            <w:r>
              <w:rPr>
                <w:b w:val="0"/>
                <w:sz w:val="17"/>
              </w:rPr>
              <w:t>0.05 m</w:t>
            </w:r>
          </w:p>
        </w:tc>
        <w:tc>
          <w:tcPr>
            <w:tcW w:type="dxa" w:w="1512"/>
            <w:tcMar>
              <w:top w:w="60" w:type="dxa"/>
              <w:start w:w="70" w:type="dxa"/>
              <w:bottom w:w="60" w:type="dxa"/>
              <w:end w:w="70" w:type="dxa"/>
            </w:tcMar>
            <w:vAlign w:val="center"/>
          </w:tcPr>
          <w:p>
            <w:pPr>
              <w:keepLines/>
              <w:jc w:val="left"/>
            </w:pPr>
            <w:r>
              <w:rPr>
                <w:b w:val="0"/>
                <w:sz w:val="17"/>
              </w:rPr>
              <w:t>342</w:t>
            </w:r>
          </w:p>
        </w:tc>
        <w:tc>
          <w:tcPr>
            <w:tcW w:type="dxa" w:w="2232"/>
            <w:vAlign w:val="center"/>
          </w:tcPr>
          <w:p>
            <w:pPr>
              <w:keepLines/>
              <w:jc w:val="left"/>
            </w:pPr>
            <w:r>
              <w:rPr>
                <w:b w:val="0"/>
                <w:sz w:val="17"/>
              </w:rPr>
              <w:t>14.271</w:t>
            </w:r>
          </w:p>
        </w:tc>
        <w:tc>
          <w:tcPr>
            <w:tcW w:type="dxa" w:w="1512"/>
            <w:vAlign w:val="center"/>
          </w:tcPr>
          <w:p>
            <w:pPr>
              <w:keepLines/>
              <w:jc w:val="left"/>
            </w:pPr>
            <w:r>
              <w:rPr>
                <w:b w:val="0"/>
                <w:sz w:val="17"/>
              </w:rPr>
              <w:t>0.657</w:t>
            </w:r>
          </w:p>
        </w:tc>
      </w:tr>
      <w:tr>
        <w:trPr>
          <w:cantSplit/>
        </w:trPr>
        <w:tc>
          <w:tcPr>
            <w:tcW w:type="dxa" w:w="1512"/>
            <w:tcMar>
              <w:top w:w="60" w:type="dxa"/>
              <w:start w:w="70" w:type="dxa"/>
              <w:bottom w:w="60" w:type="dxa"/>
              <w:end w:w="70" w:type="dxa"/>
            </w:tcMar>
            <w:vAlign w:val="center"/>
          </w:tcPr>
          <w:p>
            <w:pPr>
              <w:keepLines/>
              <w:jc w:val="left"/>
            </w:pPr>
            <w:r>
              <w:rPr>
                <w:b w:val="0"/>
                <w:sz w:val="17"/>
              </w:rPr>
              <w:t>0.5°</w:t>
            </w:r>
          </w:p>
        </w:tc>
        <w:tc>
          <w:tcPr>
            <w:tcW w:type="dxa" w:w="1655"/>
            <w:tcMar>
              <w:top w:w="60" w:type="dxa"/>
              <w:start w:w="70" w:type="dxa"/>
              <w:bottom w:w="60" w:type="dxa"/>
              <w:end w:w="70" w:type="dxa"/>
            </w:tcMar>
            <w:vAlign w:val="center"/>
          </w:tcPr>
          <w:p>
            <w:pPr>
              <w:keepLines/>
              <w:jc w:val="left"/>
            </w:pPr>
            <w:r>
              <w:rPr>
                <w:b w:val="0"/>
                <w:sz w:val="17"/>
              </w:rPr>
              <w:t>0.10 m</w:t>
            </w:r>
          </w:p>
        </w:tc>
        <w:tc>
          <w:tcPr>
            <w:tcW w:type="dxa" w:w="1512"/>
            <w:tcMar>
              <w:top w:w="60" w:type="dxa"/>
              <w:start w:w="70" w:type="dxa"/>
              <w:bottom w:w="60" w:type="dxa"/>
              <w:end w:w="70" w:type="dxa"/>
            </w:tcMar>
            <w:vAlign w:val="center"/>
          </w:tcPr>
          <w:p>
            <w:pPr>
              <w:keepLines/>
              <w:jc w:val="left"/>
            </w:pPr>
            <w:r>
              <w:rPr>
                <w:b w:val="0"/>
                <w:sz w:val="17"/>
              </w:rPr>
              <w:t>341</w:t>
            </w:r>
          </w:p>
        </w:tc>
        <w:tc>
          <w:tcPr>
            <w:tcW w:type="dxa" w:w="2232"/>
            <w:vAlign w:val="center"/>
          </w:tcPr>
          <w:p>
            <w:pPr>
              <w:keepLines/>
              <w:jc w:val="left"/>
            </w:pPr>
            <w:r>
              <w:rPr>
                <w:b w:val="0"/>
                <w:sz w:val="17"/>
              </w:rPr>
              <w:t>14.259</w:t>
            </w:r>
          </w:p>
        </w:tc>
        <w:tc>
          <w:tcPr>
            <w:tcW w:type="dxa" w:w="1512"/>
            <w:vAlign w:val="center"/>
          </w:tcPr>
          <w:p>
            <w:pPr>
              <w:keepLines/>
              <w:jc w:val="left"/>
            </w:pPr>
            <w:r>
              <w:rPr>
                <w:b w:val="0"/>
                <w:sz w:val="17"/>
              </w:rPr>
              <w:t>0.637</w:t>
            </w:r>
          </w:p>
        </w:tc>
      </w:tr>
      <w:tr>
        <w:trPr>
          <w:cantSplit/>
        </w:trPr>
        <w:tc>
          <w:tcPr>
            <w:tcW w:type="dxa" w:w="1512"/>
            <w:tcMar>
              <w:top w:w="60" w:type="dxa"/>
              <w:start w:w="70" w:type="dxa"/>
              <w:bottom w:w="60" w:type="dxa"/>
              <w:end w:w="70" w:type="dxa"/>
            </w:tcMar>
            <w:vAlign w:val="center"/>
          </w:tcPr>
          <w:p>
            <w:pPr>
              <w:keepLines/>
              <w:jc w:val="left"/>
            </w:pPr>
            <w:r>
              <w:rPr>
                <w:b w:val="0"/>
                <w:sz w:val="17"/>
              </w:rPr>
              <w:t>1.0°</w:t>
            </w:r>
          </w:p>
        </w:tc>
        <w:tc>
          <w:tcPr>
            <w:tcW w:type="dxa" w:w="1655"/>
            <w:tcMar>
              <w:top w:w="60" w:type="dxa"/>
              <w:start w:w="70" w:type="dxa"/>
              <w:bottom w:w="60" w:type="dxa"/>
              <w:end w:w="70" w:type="dxa"/>
            </w:tcMar>
            <w:vAlign w:val="center"/>
          </w:tcPr>
          <w:p>
            <w:pPr>
              <w:keepLines/>
              <w:jc w:val="left"/>
            </w:pPr>
            <w:r>
              <w:rPr>
                <w:b w:val="0"/>
                <w:sz w:val="17"/>
              </w:rPr>
              <w:t>0.05 m</w:t>
            </w:r>
          </w:p>
        </w:tc>
        <w:tc>
          <w:tcPr>
            <w:tcW w:type="dxa" w:w="1512"/>
            <w:tcMar>
              <w:top w:w="60" w:type="dxa"/>
              <w:start w:w="70" w:type="dxa"/>
              <w:bottom w:w="60" w:type="dxa"/>
              <w:end w:w="70" w:type="dxa"/>
            </w:tcMar>
            <w:vAlign w:val="center"/>
          </w:tcPr>
          <w:p>
            <w:pPr>
              <w:keepLines/>
              <w:jc w:val="left"/>
            </w:pPr>
            <w:r>
              <w:rPr>
                <w:b w:val="0"/>
                <w:sz w:val="17"/>
              </w:rPr>
              <w:t>341</w:t>
            </w:r>
          </w:p>
        </w:tc>
        <w:tc>
          <w:tcPr>
            <w:tcW w:type="dxa" w:w="2232"/>
            <w:vAlign w:val="center"/>
          </w:tcPr>
          <w:p>
            <w:pPr>
              <w:keepLines/>
              <w:jc w:val="left"/>
            </w:pPr>
            <w:r>
              <w:rPr>
                <w:b w:val="0"/>
                <w:sz w:val="17"/>
              </w:rPr>
              <w:t>14.277</w:t>
            </w:r>
          </w:p>
        </w:tc>
        <w:tc>
          <w:tcPr>
            <w:tcW w:type="dxa" w:w="1512"/>
            <w:vAlign w:val="center"/>
          </w:tcPr>
          <w:p>
            <w:pPr>
              <w:keepLines/>
              <w:jc w:val="left"/>
            </w:pPr>
            <w:r>
              <w:rPr>
                <w:b w:val="0"/>
                <w:sz w:val="17"/>
              </w:rPr>
              <w:t>0.652</w:t>
            </w:r>
          </w:p>
        </w:tc>
      </w:tr>
      <w:tr>
        <w:trPr>
          <w:cantSplit/>
        </w:trPr>
        <w:tc>
          <w:tcPr>
            <w:tcW w:type="dxa" w:w="1512"/>
            <w:tcMar>
              <w:top w:w="60" w:type="dxa"/>
              <w:start w:w="70" w:type="dxa"/>
              <w:bottom w:w="60" w:type="dxa"/>
              <w:end w:w="70" w:type="dxa"/>
            </w:tcMar>
            <w:vAlign w:val="center"/>
          </w:tcPr>
          <w:p>
            <w:pPr>
              <w:keepLines/>
              <w:jc w:val="left"/>
            </w:pPr>
            <w:r>
              <w:rPr>
                <w:b w:val="0"/>
                <w:sz w:val="17"/>
              </w:rPr>
              <w:t>1.0°</w:t>
            </w:r>
          </w:p>
        </w:tc>
        <w:tc>
          <w:tcPr>
            <w:tcW w:type="dxa" w:w="1655"/>
            <w:tcMar>
              <w:top w:w="60" w:type="dxa"/>
              <w:start w:w="70" w:type="dxa"/>
              <w:bottom w:w="60" w:type="dxa"/>
              <w:end w:w="70" w:type="dxa"/>
            </w:tcMar>
            <w:vAlign w:val="center"/>
          </w:tcPr>
          <w:p>
            <w:pPr>
              <w:keepLines/>
              <w:jc w:val="left"/>
            </w:pPr>
            <w:r>
              <w:rPr>
                <w:b w:val="0"/>
                <w:sz w:val="17"/>
              </w:rPr>
              <w:t>0.10 m (base)</w:t>
            </w:r>
          </w:p>
        </w:tc>
        <w:tc>
          <w:tcPr>
            <w:tcW w:type="dxa" w:w="1512"/>
            <w:tcMar>
              <w:top w:w="60" w:type="dxa"/>
              <w:start w:w="70" w:type="dxa"/>
              <w:bottom w:w="60" w:type="dxa"/>
              <w:end w:w="70" w:type="dxa"/>
            </w:tcMar>
            <w:vAlign w:val="center"/>
          </w:tcPr>
          <w:p>
            <w:pPr>
              <w:keepLines/>
              <w:jc w:val="left"/>
            </w:pPr>
            <w:r>
              <w:rPr>
                <w:b w:val="0"/>
                <w:sz w:val="17"/>
              </w:rPr>
              <w:t>340</w:t>
            </w:r>
          </w:p>
        </w:tc>
        <w:tc>
          <w:tcPr>
            <w:tcW w:type="dxa" w:w="2232"/>
            <w:vAlign w:val="center"/>
          </w:tcPr>
          <w:p>
            <w:pPr>
              <w:keepLines/>
              <w:jc w:val="left"/>
            </w:pPr>
            <w:r>
              <w:rPr>
                <w:b w:val="0"/>
                <w:sz w:val="17"/>
              </w:rPr>
              <w:t>14.265</w:t>
            </w:r>
          </w:p>
        </w:tc>
        <w:tc>
          <w:tcPr>
            <w:tcW w:type="dxa" w:w="1512"/>
            <w:vAlign w:val="center"/>
          </w:tcPr>
          <w:p>
            <w:pPr>
              <w:keepLines/>
              <w:jc w:val="left"/>
            </w:pPr>
            <w:r>
              <w:rPr>
                <w:b w:val="0"/>
                <w:sz w:val="17"/>
              </w:rPr>
              <w:t>0.631</w:t>
            </w:r>
          </w:p>
        </w:tc>
      </w:tr>
      <w:tr>
        <w:trPr>
          <w:cantSplit/>
        </w:trPr>
        <w:tc>
          <w:tcPr>
            <w:tcW w:type="dxa" w:w="1512"/>
            <w:tcMar>
              <w:top w:w="60" w:type="dxa"/>
              <w:start w:w="70" w:type="dxa"/>
              <w:bottom w:w="60" w:type="dxa"/>
              <w:end w:w="70" w:type="dxa"/>
            </w:tcMar>
            <w:vAlign w:val="center"/>
          </w:tcPr>
          <w:p>
            <w:pPr>
              <w:keepLines/>
              <w:jc w:val="left"/>
            </w:pPr>
            <w:r>
              <w:rPr>
                <w:b w:val="0"/>
                <w:sz w:val="17"/>
              </w:rPr>
              <w:t>1.0°</w:t>
            </w:r>
          </w:p>
        </w:tc>
        <w:tc>
          <w:tcPr>
            <w:tcW w:type="dxa" w:w="1655"/>
            <w:tcMar>
              <w:top w:w="60" w:type="dxa"/>
              <w:start w:w="70" w:type="dxa"/>
              <w:bottom w:w="60" w:type="dxa"/>
              <w:end w:w="70" w:type="dxa"/>
            </w:tcMar>
            <w:vAlign w:val="center"/>
          </w:tcPr>
          <w:p>
            <w:pPr>
              <w:keepLines/>
              <w:jc w:val="left"/>
            </w:pPr>
            <w:r>
              <w:rPr>
                <w:b w:val="0"/>
                <w:sz w:val="17"/>
              </w:rPr>
              <w:t>0.20 m</w:t>
            </w:r>
          </w:p>
        </w:tc>
        <w:tc>
          <w:tcPr>
            <w:tcW w:type="dxa" w:w="1512"/>
            <w:tcMar>
              <w:top w:w="60" w:type="dxa"/>
              <w:start w:w="70" w:type="dxa"/>
              <w:bottom w:w="60" w:type="dxa"/>
              <w:end w:w="70" w:type="dxa"/>
            </w:tcMar>
            <w:vAlign w:val="center"/>
          </w:tcPr>
          <w:p>
            <w:pPr>
              <w:keepLines/>
              <w:jc w:val="left"/>
            </w:pPr>
            <w:r>
              <w:rPr>
                <w:b w:val="0"/>
                <w:sz w:val="17"/>
              </w:rPr>
              <w:t>339</w:t>
            </w:r>
          </w:p>
        </w:tc>
        <w:tc>
          <w:tcPr>
            <w:tcW w:type="dxa" w:w="2232"/>
            <w:vAlign w:val="center"/>
          </w:tcPr>
          <w:p>
            <w:pPr>
              <w:keepLines/>
              <w:jc w:val="left"/>
            </w:pPr>
            <w:r>
              <w:rPr>
                <w:b w:val="0"/>
                <w:sz w:val="17"/>
              </w:rPr>
              <w:t>14.264</w:t>
            </w:r>
          </w:p>
        </w:tc>
        <w:tc>
          <w:tcPr>
            <w:tcW w:type="dxa" w:w="1512"/>
            <w:vAlign w:val="center"/>
          </w:tcPr>
          <w:p>
            <w:pPr>
              <w:keepLines/>
              <w:jc w:val="left"/>
            </w:pPr>
            <w:r>
              <w:rPr>
                <w:b w:val="0"/>
                <w:sz w:val="17"/>
              </w:rPr>
              <w:t>0.631</w:t>
            </w:r>
          </w:p>
        </w:tc>
      </w:tr>
      <w:tr>
        <w:trPr>
          <w:cantSplit/>
        </w:trPr>
        <w:tc>
          <w:tcPr>
            <w:tcW w:type="dxa" w:w="1512"/>
            <w:tcMar>
              <w:top w:w="60" w:type="dxa"/>
              <w:start w:w="70" w:type="dxa"/>
              <w:bottom w:w="60" w:type="dxa"/>
              <w:end w:w="70" w:type="dxa"/>
            </w:tcMar>
            <w:vAlign w:val="center"/>
          </w:tcPr>
          <w:p>
            <w:pPr>
              <w:keepLines/>
              <w:jc w:val="left"/>
            </w:pPr>
            <w:r>
              <w:rPr>
                <w:b w:val="0"/>
                <w:sz w:val="17"/>
              </w:rPr>
              <w:t>2.0°</w:t>
            </w:r>
          </w:p>
        </w:tc>
        <w:tc>
          <w:tcPr>
            <w:tcW w:type="dxa" w:w="1655"/>
            <w:tcMar>
              <w:top w:w="60" w:type="dxa"/>
              <w:start w:w="70" w:type="dxa"/>
              <w:bottom w:w="60" w:type="dxa"/>
              <w:end w:w="70" w:type="dxa"/>
            </w:tcMar>
            <w:vAlign w:val="center"/>
          </w:tcPr>
          <w:p>
            <w:pPr>
              <w:keepLines/>
              <w:jc w:val="left"/>
            </w:pPr>
            <w:r>
              <w:rPr>
                <w:b w:val="0"/>
                <w:sz w:val="17"/>
              </w:rPr>
              <w:t>0.10 m</w:t>
            </w:r>
          </w:p>
        </w:tc>
        <w:tc>
          <w:tcPr>
            <w:tcW w:type="dxa" w:w="1512"/>
            <w:tcMar>
              <w:top w:w="60" w:type="dxa"/>
              <w:start w:w="70" w:type="dxa"/>
              <w:bottom w:w="60" w:type="dxa"/>
              <w:end w:w="70" w:type="dxa"/>
            </w:tcMar>
            <w:vAlign w:val="center"/>
          </w:tcPr>
          <w:p>
            <w:pPr>
              <w:keepLines/>
              <w:jc w:val="left"/>
            </w:pPr>
            <w:r>
              <w:rPr>
                <w:b w:val="0"/>
                <w:sz w:val="17"/>
              </w:rPr>
              <w:t>338</w:t>
            </w:r>
          </w:p>
        </w:tc>
        <w:tc>
          <w:tcPr>
            <w:tcW w:type="dxa" w:w="2232"/>
            <w:vAlign w:val="center"/>
          </w:tcPr>
          <w:p>
            <w:pPr>
              <w:keepLines/>
              <w:jc w:val="left"/>
            </w:pPr>
            <w:r>
              <w:rPr>
                <w:b w:val="0"/>
                <w:sz w:val="17"/>
              </w:rPr>
              <w:t>14.232</w:t>
            </w:r>
          </w:p>
        </w:tc>
        <w:tc>
          <w:tcPr>
            <w:tcW w:type="dxa" w:w="1512"/>
            <w:vAlign w:val="center"/>
          </w:tcPr>
          <w:p>
            <w:pPr>
              <w:keepLines/>
              <w:jc w:val="left"/>
            </w:pPr>
            <w:r>
              <w:rPr>
                <w:b w:val="0"/>
                <w:sz w:val="17"/>
              </w:rPr>
              <w:t>0.631</w:t>
            </w:r>
          </w:p>
        </w:tc>
      </w:tr>
      <w:tr>
        <w:trPr>
          <w:cantSplit/>
        </w:trPr>
        <w:tc>
          <w:tcPr>
            <w:tcW w:type="dxa" w:w="1512"/>
            <w:tcMar>
              <w:top w:w="60" w:type="dxa"/>
              <w:start w:w="70" w:type="dxa"/>
              <w:bottom w:w="60" w:type="dxa"/>
              <w:end w:w="70" w:type="dxa"/>
            </w:tcMar>
            <w:vAlign w:val="center"/>
          </w:tcPr>
          <w:p>
            <w:pPr>
              <w:keepLines/>
              <w:jc w:val="left"/>
            </w:pPr>
            <w:r>
              <w:rPr>
                <w:b w:val="0"/>
                <w:sz w:val="17"/>
              </w:rPr>
              <w:t>2.0°</w:t>
            </w:r>
          </w:p>
        </w:tc>
        <w:tc>
          <w:tcPr>
            <w:tcW w:type="dxa" w:w="1655"/>
            <w:tcMar>
              <w:top w:w="60" w:type="dxa"/>
              <w:start w:w="70" w:type="dxa"/>
              <w:bottom w:w="60" w:type="dxa"/>
              <w:end w:w="70" w:type="dxa"/>
            </w:tcMar>
            <w:vAlign w:val="center"/>
          </w:tcPr>
          <w:p>
            <w:pPr>
              <w:keepLines/>
              <w:jc w:val="left"/>
            </w:pPr>
            <w:r>
              <w:rPr>
                <w:b w:val="0"/>
                <w:sz w:val="17"/>
              </w:rPr>
              <w:t>0.20 m</w:t>
            </w:r>
          </w:p>
        </w:tc>
        <w:tc>
          <w:tcPr>
            <w:tcW w:type="dxa" w:w="1512"/>
            <w:tcMar>
              <w:top w:w="60" w:type="dxa"/>
              <w:start w:w="70" w:type="dxa"/>
              <w:bottom w:w="60" w:type="dxa"/>
              <w:end w:w="70" w:type="dxa"/>
            </w:tcMar>
            <w:vAlign w:val="center"/>
          </w:tcPr>
          <w:p>
            <w:pPr>
              <w:keepLines/>
              <w:jc w:val="left"/>
            </w:pPr>
            <w:r>
              <w:rPr>
                <w:b w:val="0"/>
                <w:sz w:val="17"/>
              </w:rPr>
              <w:t>337</w:t>
            </w:r>
          </w:p>
        </w:tc>
        <w:tc>
          <w:tcPr>
            <w:tcW w:type="dxa" w:w="2232"/>
            <w:vAlign w:val="center"/>
          </w:tcPr>
          <w:p>
            <w:pPr>
              <w:keepLines/>
              <w:jc w:val="left"/>
            </w:pPr>
            <w:r>
              <w:rPr>
                <w:b w:val="0"/>
                <w:sz w:val="17"/>
              </w:rPr>
              <w:t>14.231</w:t>
            </w:r>
          </w:p>
        </w:tc>
        <w:tc>
          <w:tcPr>
            <w:tcW w:type="dxa" w:w="1512"/>
            <w:vAlign w:val="center"/>
          </w:tcPr>
          <w:p>
            <w:pPr>
              <w:keepLines/>
              <w:jc w:val="left"/>
            </w:pPr>
            <w:r>
              <w:rPr>
                <w:b w:val="0"/>
                <w:sz w:val="17"/>
              </w:rPr>
              <w:t>0.631</w:t>
            </w:r>
          </w:p>
        </w:tc>
      </w:tr>
    </w:tbl>
    <w:p>
      <w:pPr>
        <w:pStyle w:val="MDPI21heading1"/>
      </w:pPr>
      <w:r>
        <w:t>S3. Controlled experiment and numerical search checks</w:t>
      </w:r>
    </w:p>
    <w:p>
      <w:pPr>
        <w:pStyle w:val="MDPI41tablecaption"/>
      </w:pPr>
      <w:r>
        <w:t>Table S4. Median incremental fragmentation loss in the controlled experiment.</w:t>
      </w:r>
    </w:p>
    <w:tbl>
      <w:tblPr>
        <w:tblW w:type="auto" w:w="0"/>
        <w:jc w:val="center"/>
        <w:tblLayout w:type="autofit"/>
        <w:tblLook w:firstColumn="1" w:firstRow="1" w:lastColumn="0" w:lastRow="0" w:noHBand="0" w:noVBand="1" w:val="04A0"/>
        <w:bidiVisual w:val="0"/>
      </w:tblPr>
      <w:tblGrid>
        <w:gridCol w:w="5233"/>
        <w:gridCol w:w="5233"/>
      </w:tblGrid>
      <w:tr>
        <w:trPr>
          <w:tblHeader w:val="true"/>
          <w:cantSplit/>
        </w:trPr>
        <w:tc>
          <w:tcPr>
            <w:tcW w:type="dxa" w:w="3402"/>
            <w:tcMar>
              <w:top w:w="60" w:type="dxa"/>
              <w:start w:w="70" w:type="dxa"/>
              <w:bottom w:w="60" w:type="dxa"/>
              <w:end w:w="70" w:type="dxa"/>
            </w:tcMar>
            <w:vAlign w:val="center"/>
            <w:shd w:fill="D9EAF7"/>
          </w:tcPr>
          <w:p>
            <w:pPr>
              <w:pStyle w:val="MDPI42tablebody"/>
              <w:keepLines/>
              <w:jc w:val="left"/>
            </w:pPr>
            <w:r>
              <w:rPr>
                <w:b/>
                <w:sz w:val="14"/>
              </w:rPr>
              <w:t>Facet count</w:t>
            </w:r>
          </w:p>
        </w:tc>
        <w:tc>
          <w:tcPr>
            <w:tcW w:type="dxa" w:w="4535"/>
            <w:tcMar>
              <w:top w:w="60" w:type="dxa"/>
              <w:start w:w="70" w:type="dxa"/>
              <w:bottom w:w="60" w:type="dxa"/>
              <w:end w:w="70" w:type="dxa"/>
            </w:tcMar>
            <w:vAlign w:val="center"/>
            <w:shd w:fill="D9EAF7"/>
          </w:tcPr>
          <w:p>
            <w:pPr>
              <w:pStyle w:val="MDPI42tablebody"/>
              <w:keepLines/>
              <w:jc w:val="left"/>
            </w:pPr>
            <w:r>
              <w:rPr>
                <w:b/>
                <w:sz w:val="14"/>
              </w:rPr>
              <w:t>Median incremental loss (%)</w:t>
            </w:r>
          </w:p>
        </w:tc>
      </w:tr>
      <w:tr>
        <w:trPr>
          <w:cantSplit/>
        </w:trPr>
        <w:tc>
          <w:tcPr>
            <w:tcW w:type="dxa" w:w="3402"/>
            <w:tcMar>
              <w:top w:w="60" w:type="dxa"/>
              <w:start w:w="70" w:type="dxa"/>
              <w:bottom w:w="60" w:type="dxa"/>
              <w:end w:w="70" w:type="dxa"/>
            </w:tcMar>
            <w:vAlign w:val="center"/>
          </w:tcPr>
          <w:p>
            <w:pPr>
              <w:pStyle w:val="MDPI42tablebody"/>
              <w:keepLines/>
              <w:jc w:val="left"/>
            </w:pPr>
            <w:r>
              <w:rPr>
                <w:sz w:val="14"/>
              </w:rPr>
              <w:t>1</w:t>
            </w:r>
          </w:p>
        </w:tc>
        <w:tc>
          <w:tcPr>
            <w:tcW w:type="dxa" w:w="4535"/>
            <w:tcMar>
              <w:top w:w="60" w:type="dxa"/>
              <w:start w:w="70" w:type="dxa"/>
              <w:bottom w:w="60" w:type="dxa"/>
              <w:end w:w="70" w:type="dxa"/>
            </w:tcMar>
            <w:vAlign w:val="center"/>
          </w:tcPr>
          <w:p>
            <w:pPr>
              <w:pStyle w:val="MDPI42tablebody"/>
              <w:keepLines/>
              <w:jc w:val="left"/>
            </w:pPr>
            <w:r>
              <w:rPr>
                <w:sz w:val="14"/>
              </w:rPr>
              <w:t>0.00</w:t>
            </w:r>
          </w:p>
        </w:tc>
      </w:tr>
      <w:tr>
        <w:trPr>
          <w:cantSplit/>
        </w:trPr>
        <w:tc>
          <w:tcPr>
            <w:tcW w:type="dxa" w:w="3402"/>
            <w:tcMar>
              <w:top w:w="60" w:type="dxa"/>
              <w:start w:w="70" w:type="dxa"/>
              <w:bottom w:w="60" w:type="dxa"/>
              <w:end w:w="70" w:type="dxa"/>
            </w:tcMar>
            <w:vAlign w:val="center"/>
          </w:tcPr>
          <w:p>
            <w:pPr>
              <w:pStyle w:val="MDPI42tablebody"/>
              <w:keepLines/>
              <w:jc w:val="left"/>
            </w:pPr>
            <w:r>
              <w:rPr>
                <w:sz w:val="14"/>
              </w:rPr>
              <w:t>2</w:t>
            </w:r>
          </w:p>
        </w:tc>
        <w:tc>
          <w:tcPr>
            <w:tcW w:type="dxa" w:w="4535"/>
            <w:tcMar>
              <w:top w:w="60" w:type="dxa"/>
              <w:start w:w="70" w:type="dxa"/>
              <w:bottom w:w="60" w:type="dxa"/>
              <w:end w:w="70" w:type="dxa"/>
            </w:tcMar>
            <w:vAlign w:val="center"/>
          </w:tcPr>
          <w:p>
            <w:pPr>
              <w:pStyle w:val="MDPI42tablebody"/>
              <w:keepLines/>
              <w:jc w:val="left"/>
            </w:pPr>
            <w:r>
              <w:rPr>
                <w:sz w:val="14"/>
              </w:rPr>
              <w:t>12.50</w:t>
            </w:r>
          </w:p>
        </w:tc>
      </w:tr>
      <w:tr>
        <w:trPr>
          <w:cantSplit/>
        </w:trPr>
        <w:tc>
          <w:tcPr>
            <w:tcW w:type="dxa" w:w="3402"/>
            <w:tcMar>
              <w:top w:w="60" w:type="dxa"/>
              <w:start w:w="70" w:type="dxa"/>
              <w:bottom w:w="60" w:type="dxa"/>
              <w:end w:w="70" w:type="dxa"/>
            </w:tcMar>
            <w:vAlign w:val="center"/>
          </w:tcPr>
          <w:p>
            <w:pPr>
              <w:pStyle w:val="MDPI42tablebody"/>
              <w:keepLines/>
              <w:jc w:val="left"/>
            </w:pPr>
            <w:r>
              <w:rPr>
                <w:sz w:val="14"/>
              </w:rPr>
              <w:t>3</w:t>
            </w:r>
          </w:p>
        </w:tc>
        <w:tc>
          <w:tcPr>
            <w:tcW w:type="dxa" w:w="4535"/>
            <w:tcMar>
              <w:top w:w="60" w:type="dxa"/>
              <w:start w:w="70" w:type="dxa"/>
              <w:bottom w:w="60" w:type="dxa"/>
              <w:end w:w="70" w:type="dxa"/>
            </w:tcMar>
            <w:vAlign w:val="center"/>
          </w:tcPr>
          <w:p>
            <w:pPr>
              <w:pStyle w:val="MDPI42tablebody"/>
              <w:keepLines/>
              <w:jc w:val="left"/>
            </w:pPr>
            <w:r>
              <w:rPr>
                <w:sz w:val="14"/>
              </w:rPr>
              <w:t>18.75</w:t>
            </w:r>
          </w:p>
        </w:tc>
      </w:tr>
      <w:tr>
        <w:trPr>
          <w:cantSplit/>
        </w:trPr>
        <w:tc>
          <w:tcPr>
            <w:tcW w:type="dxa" w:w="3402"/>
            <w:tcMar>
              <w:top w:w="60" w:type="dxa"/>
              <w:start w:w="70" w:type="dxa"/>
              <w:bottom w:w="60" w:type="dxa"/>
              <w:end w:w="70" w:type="dxa"/>
            </w:tcMar>
            <w:vAlign w:val="center"/>
          </w:tcPr>
          <w:p>
            <w:pPr>
              <w:pStyle w:val="MDPI42tablebody"/>
              <w:keepLines/>
              <w:jc w:val="left"/>
            </w:pPr>
            <w:r>
              <w:rPr>
                <w:sz w:val="14"/>
              </w:rPr>
              <w:t>4</w:t>
            </w:r>
          </w:p>
        </w:tc>
        <w:tc>
          <w:tcPr>
            <w:tcW w:type="dxa" w:w="4535"/>
            <w:tcMar>
              <w:top w:w="60" w:type="dxa"/>
              <w:start w:w="70" w:type="dxa"/>
              <w:bottom w:w="60" w:type="dxa"/>
              <w:end w:w="70" w:type="dxa"/>
            </w:tcMar>
            <w:vAlign w:val="center"/>
          </w:tcPr>
          <w:p>
            <w:pPr>
              <w:pStyle w:val="MDPI42tablebody"/>
              <w:keepLines/>
              <w:jc w:val="left"/>
            </w:pPr>
            <w:r>
              <w:rPr>
                <w:sz w:val="14"/>
              </w:rPr>
              <w:t>22.92</w:t>
            </w:r>
          </w:p>
        </w:tc>
      </w:tr>
      <w:tr>
        <w:trPr>
          <w:cantSplit/>
        </w:trPr>
        <w:tc>
          <w:tcPr>
            <w:tcW w:type="dxa" w:w="3402"/>
            <w:tcMar>
              <w:top w:w="60" w:type="dxa"/>
              <w:start w:w="70" w:type="dxa"/>
              <w:bottom w:w="60" w:type="dxa"/>
              <w:end w:w="70" w:type="dxa"/>
            </w:tcMar>
            <w:vAlign w:val="center"/>
          </w:tcPr>
          <w:p>
            <w:pPr>
              <w:pStyle w:val="MDPI42tablebody"/>
              <w:keepLines/>
              <w:jc w:val="left"/>
            </w:pPr>
            <w:r>
              <w:rPr>
                <w:sz w:val="14"/>
              </w:rPr>
              <w:t>5</w:t>
            </w:r>
          </w:p>
        </w:tc>
        <w:tc>
          <w:tcPr>
            <w:tcW w:type="dxa" w:w="4535"/>
            <w:tcMar>
              <w:top w:w="60" w:type="dxa"/>
              <w:start w:w="70" w:type="dxa"/>
              <w:bottom w:w="60" w:type="dxa"/>
              <w:end w:w="70" w:type="dxa"/>
            </w:tcMar>
            <w:vAlign w:val="center"/>
          </w:tcPr>
          <w:p>
            <w:pPr>
              <w:pStyle w:val="MDPI42tablebody"/>
              <w:keepLines/>
              <w:jc w:val="left"/>
            </w:pPr>
            <w:r>
              <w:rPr>
                <w:sz w:val="14"/>
              </w:rPr>
              <w:t>29.17</w:t>
            </w:r>
          </w:p>
        </w:tc>
      </w:tr>
      <w:tr>
        <w:trPr>
          <w:cantSplit/>
        </w:trPr>
        <w:tc>
          <w:tcPr>
            <w:tcW w:type="dxa" w:w="3402"/>
            <w:tcMar>
              <w:top w:w="60" w:type="dxa"/>
              <w:start w:w="70" w:type="dxa"/>
              <w:bottom w:w="60" w:type="dxa"/>
              <w:end w:w="70" w:type="dxa"/>
            </w:tcMar>
            <w:vAlign w:val="center"/>
          </w:tcPr>
          <w:p>
            <w:pPr>
              <w:pStyle w:val="MDPI42tablebody"/>
              <w:keepLines/>
              <w:jc w:val="left"/>
            </w:pPr>
            <w:r>
              <w:rPr>
                <w:sz w:val="14"/>
              </w:rPr>
              <w:t>6</w:t>
            </w:r>
          </w:p>
        </w:tc>
        <w:tc>
          <w:tcPr>
            <w:tcW w:type="dxa" w:w="4535"/>
            <w:tcMar>
              <w:top w:w="60" w:type="dxa"/>
              <w:start w:w="70" w:type="dxa"/>
              <w:bottom w:w="60" w:type="dxa"/>
              <w:end w:w="70" w:type="dxa"/>
            </w:tcMar>
            <w:vAlign w:val="center"/>
          </w:tcPr>
          <w:p>
            <w:pPr>
              <w:pStyle w:val="MDPI42tablebody"/>
              <w:keepLines/>
              <w:jc w:val="left"/>
            </w:pPr>
            <w:r>
              <w:rPr>
                <w:sz w:val="14"/>
              </w:rPr>
              <w:t>32.29</w:t>
            </w:r>
          </w:p>
        </w:tc>
      </w:tr>
      <w:tr>
        <w:trPr>
          <w:cantSplit/>
        </w:trPr>
        <w:tc>
          <w:tcPr>
            <w:tcW w:type="dxa" w:w="3402"/>
            <w:tcMar>
              <w:top w:w="60" w:type="dxa"/>
              <w:start w:w="70" w:type="dxa"/>
              <w:bottom w:w="60" w:type="dxa"/>
              <w:end w:w="70" w:type="dxa"/>
            </w:tcMar>
            <w:vAlign w:val="center"/>
          </w:tcPr>
          <w:p>
            <w:pPr>
              <w:pStyle w:val="MDPI42tablebody"/>
              <w:keepLines/>
              <w:jc w:val="left"/>
            </w:pPr>
            <w:r>
              <w:rPr>
                <w:sz w:val="14"/>
              </w:rPr>
              <w:t>7</w:t>
            </w:r>
          </w:p>
        </w:tc>
        <w:tc>
          <w:tcPr>
            <w:tcW w:type="dxa" w:w="4535"/>
            <w:tcMar>
              <w:top w:w="60" w:type="dxa"/>
              <w:start w:w="70" w:type="dxa"/>
              <w:bottom w:w="60" w:type="dxa"/>
              <w:end w:w="70" w:type="dxa"/>
            </w:tcMar>
            <w:vAlign w:val="center"/>
          </w:tcPr>
          <w:p>
            <w:pPr>
              <w:pStyle w:val="MDPI42tablebody"/>
              <w:keepLines/>
              <w:jc w:val="left"/>
            </w:pPr>
            <w:r>
              <w:rPr>
                <w:sz w:val="14"/>
              </w:rPr>
              <w:t>35.42</w:t>
            </w:r>
          </w:p>
        </w:tc>
      </w:tr>
      <w:tr>
        <w:trPr>
          <w:cantSplit/>
        </w:trPr>
        <w:tc>
          <w:tcPr>
            <w:tcW w:type="dxa" w:w="3402"/>
            <w:tcMar>
              <w:top w:w="60" w:type="dxa"/>
              <w:start w:w="70" w:type="dxa"/>
              <w:bottom w:w="60" w:type="dxa"/>
              <w:end w:w="70" w:type="dxa"/>
            </w:tcMar>
            <w:vAlign w:val="center"/>
          </w:tcPr>
          <w:p>
            <w:pPr>
              <w:pStyle w:val="MDPI42tablebody"/>
              <w:keepLines/>
              <w:jc w:val="left"/>
            </w:pPr>
            <w:r>
              <w:rPr>
                <w:sz w:val="14"/>
              </w:rPr>
              <w:t>8</w:t>
            </w:r>
          </w:p>
        </w:tc>
        <w:tc>
          <w:tcPr>
            <w:tcW w:type="dxa" w:w="4535"/>
            <w:tcMar>
              <w:top w:w="60" w:type="dxa"/>
              <w:start w:w="70" w:type="dxa"/>
              <w:bottom w:w="60" w:type="dxa"/>
              <w:end w:w="70" w:type="dxa"/>
            </w:tcMar>
            <w:vAlign w:val="center"/>
          </w:tcPr>
          <w:p>
            <w:pPr>
              <w:pStyle w:val="MDPI42tablebody"/>
              <w:keepLines/>
              <w:jc w:val="left"/>
            </w:pPr>
            <w:r>
              <w:rPr>
                <w:sz w:val="14"/>
              </w:rPr>
              <w:t>37.50</w:t>
            </w:r>
          </w:p>
        </w:tc>
      </w:tr>
      <w:tr>
        <w:trPr>
          <w:cantSplit/>
        </w:trPr>
        <w:tc>
          <w:tcPr>
            <w:tcW w:type="dxa" w:w="3402"/>
            <w:tcMar>
              <w:top w:w="60" w:type="dxa"/>
              <w:start w:w="70" w:type="dxa"/>
              <w:bottom w:w="60" w:type="dxa"/>
              <w:end w:w="70" w:type="dxa"/>
            </w:tcMar>
            <w:vAlign w:val="center"/>
          </w:tcPr>
          <w:p>
            <w:pPr>
              <w:pStyle w:val="MDPI42tablebody"/>
              <w:keepLines/>
              <w:jc w:val="left"/>
            </w:pPr>
            <w:r>
              <w:rPr>
                <w:sz w:val="14"/>
              </w:rPr>
              <w:t>9</w:t>
            </w:r>
          </w:p>
        </w:tc>
        <w:tc>
          <w:tcPr>
            <w:tcW w:type="dxa" w:w="4535"/>
            <w:tcMar>
              <w:top w:w="60" w:type="dxa"/>
              <w:start w:w="70" w:type="dxa"/>
              <w:bottom w:w="60" w:type="dxa"/>
              <w:end w:w="70" w:type="dxa"/>
            </w:tcMar>
            <w:vAlign w:val="center"/>
          </w:tcPr>
          <w:p>
            <w:pPr>
              <w:pStyle w:val="MDPI42tablebody"/>
              <w:keepLines/>
              <w:jc w:val="left"/>
            </w:pPr>
            <w:r>
              <w:rPr>
                <w:sz w:val="14"/>
              </w:rPr>
              <w:t>41.67</w:t>
            </w:r>
          </w:p>
        </w:tc>
      </w:tr>
      <w:tr>
        <w:trPr>
          <w:cantSplit/>
        </w:trPr>
        <w:tc>
          <w:tcPr>
            <w:tcW w:type="dxa" w:w="3402"/>
            <w:tcMar>
              <w:top w:w="60" w:type="dxa"/>
              <w:start w:w="70" w:type="dxa"/>
              <w:bottom w:w="60" w:type="dxa"/>
              <w:end w:w="70" w:type="dxa"/>
            </w:tcMar>
            <w:vAlign w:val="center"/>
          </w:tcPr>
          <w:p>
            <w:pPr>
              <w:pStyle w:val="MDPI42tablebody"/>
              <w:keepLines/>
              <w:jc w:val="left"/>
            </w:pPr>
            <w:r>
              <w:rPr>
                <w:sz w:val="14"/>
              </w:rPr>
              <w:t>10</w:t>
            </w:r>
          </w:p>
        </w:tc>
        <w:tc>
          <w:tcPr>
            <w:tcW w:type="dxa" w:w="4535"/>
            <w:tcMar>
              <w:top w:w="60" w:type="dxa"/>
              <w:start w:w="70" w:type="dxa"/>
              <w:bottom w:w="60" w:type="dxa"/>
              <w:end w:w="70" w:type="dxa"/>
            </w:tcMar>
            <w:vAlign w:val="center"/>
          </w:tcPr>
          <w:p>
            <w:pPr>
              <w:pStyle w:val="MDPI42tablebody"/>
              <w:keepLines/>
              <w:jc w:val="left"/>
            </w:pPr>
            <w:r>
              <w:rPr>
                <w:sz w:val="14"/>
              </w:rPr>
              <w:t>43.75</w:t>
            </w:r>
          </w:p>
        </w:tc>
      </w:tr>
      <w:tr>
        <w:trPr>
          <w:cantSplit/>
        </w:trPr>
        <w:tc>
          <w:tcPr>
            <w:tcW w:type="dxa" w:w="3402"/>
            <w:tcMar>
              <w:top w:w="60" w:type="dxa"/>
              <w:start w:w="70" w:type="dxa"/>
              <w:bottom w:w="60" w:type="dxa"/>
              <w:end w:w="70" w:type="dxa"/>
            </w:tcMar>
            <w:vAlign w:val="center"/>
          </w:tcPr>
          <w:p>
            <w:pPr>
              <w:pStyle w:val="MDPI42tablebody"/>
              <w:keepLines/>
              <w:jc w:val="left"/>
            </w:pPr>
            <w:r>
              <w:rPr>
                <w:sz w:val="14"/>
              </w:rPr>
              <w:t>11</w:t>
            </w:r>
          </w:p>
        </w:tc>
        <w:tc>
          <w:tcPr>
            <w:tcW w:type="dxa" w:w="4535"/>
            <w:tcMar>
              <w:top w:w="60" w:type="dxa"/>
              <w:start w:w="70" w:type="dxa"/>
              <w:bottom w:w="60" w:type="dxa"/>
              <w:end w:w="70" w:type="dxa"/>
            </w:tcMar>
            <w:vAlign w:val="center"/>
          </w:tcPr>
          <w:p>
            <w:pPr>
              <w:pStyle w:val="MDPI42tablebody"/>
              <w:keepLines/>
              <w:jc w:val="left"/>
            </w:pPr>
            <w:r>
              <w:rPr>
                <w:sz w:val="14"/>
              </w:rPr>
              <w:t>45.83</w:t>
            </w:r>
          </w:p>
        </w:tc>
      </w:tr>
      <w:tr>
        <w:trPr>
          <w:cantSplit/>
        </w:trPr>
        <w:tc>
          <w:tcPr>
            <w:tcW w:type="dxa" w:w="3402"/>
            <w:tcMar>
              <w:top w:w="60" w:type="dxa"/>
              <w:start w:w="70" w:type="dxa"/>
              <w:bottom w:w="60" w:type="dxa"/>
              <w:end w:w="70" w:type="dxa"/>
            </w:tcMar>
            <w:vAlign w:val="center"/>
          </w:tcPr>
          <w:p>
            <w:pPr>
              <w:pStyle w:val="MDPI42tablebody"/>
              <w:keepLines/>
              <w:jc w:val="left"/>
            </w:pPr>
            <w:r>
              <w:rPr>
                <w:sz w:val="14"/>
              </w:rPr>
              <w:t>12</w:t>
            </w:r>
          </w:p>
        </w:tc>
        <w:tc>
          <w:tcPr>
            <w:tcW w:type="dxa" w:w="4535"/>
            <w:tcMar>
              <w:top w:w="60" w:type="dxa"/>
              <w:start w:w="70" w:type="dxa"/>
              <w:bottom w:w="60" w:type="dxa"/>
              <w:end w:w="70" w:type="dxa"/>
            </w:tcMar>
            <w:vAlign w:val="center"/>
          </w:tcPr>
          <w:p>
            <w:pPr>
              <w:pStyle w:val="MDPI42tablebody"/>
              <w:keepLines/>
              <w:jc w:val="left"/>
            </w:pPr>
            <w:r>
              <w:rPr>
                <w:sz w:val="14"/>
              </w:rPr>
              <w:t>47.92</w:t>
            </w:r>
          </w:p>
        </w:tc>
      </w:tr>
    </w:tbl>
    <w:p>
      <w:pPr>
        <w:pStyle w:val="MDPI31text"/>
      </w:pPr>
      <w:r>
        <w:t>Across all controlled realizations, internal-boundary density showed the strongest monotonic association with incremental loss (Spearman ρ = 0.968), followed by facet count (ρ = 0.939). Small-facet area share, facet-area coefficient of variation and mean compactness gave ρ values of 0.584, 0.440 and −0.621, respectively.</w:t>
      </w:r>
    </w:p>
    <w:p>
      <w:pPr>
        <w:pStyle w:val="MDPI41tablecaption"/>
      </w:pPr>
      <w:r>
        <w:t>Table S5. Packing-search verification summary.</w:t>
      </w:r>
    </w:p>
    <w:tbl>
      <w:tblPr>
        <w:tblW w:type="auto" w:w="0"/>
        <w:jc w:val="center"/>
        <w:tblLayout w:type="autofit"/>
        <w:tblLook w:firstColumn="1" w:firstRow="1" w:lastColumn="0" w:lastRow="0" w:noHBand="0" w:noVBand="1" w:val="04A0"/>
        <w:bidiVisual w:val="0"/>
      </w:tblPr>
      <w:tblGrid>
        <w:gridCol w:w="5233"/>
        <w:gridCol w:w="5233"/>
      </w:tblGrid>
      <w:tr>
        <w:trPr>
          <w:tblHeader w:val="true"/>
          <w:cantSplit/>
        </w:trPr>
        <w:tc>
          <w:tcPr>
            <w:tcW w:type="dxa" w:w="3685"/>
            <w:tcMar>
              <w:top w:w="60" w:type="dxa"/>
              <w:start w:w="70" w:type="dxa"/>
              <w:bottom w:w="60" w:type="dxa"/>
              <w:end w:w="70" w:type="dxa"/>
            </w:tcMar>
            <w:vAlign w:val="center"/>
            <w:shd w:fill="D9EAF7"/>
          </w:tcPr>
          <w:p>
            <w:pPr>
              <w:pStyle w:val="MDPI42tablebody"/>
              <w:keepLines/>
              <w:jc w:val="left"/>
            </w:pPr>
            <w:r>
              <w:rPr>
                <w:b/>
                <w:sz w:val="14"/>
              </w:rPr>
              <w:t>Item</w:t>
            </w:r>
          </w:p>
        </w:tc>
        <w:tc>
          <w:tcPr>
            <w:tcW w:type="dxa" w:w="5102"/>
            <w:tcMar>
              <w:top w:w="60" w:type="dxa"/>
              <w:start w:w="70" w:type="dxa"/>
              <w:bottom w:w="60" w:type="dxa"/>
              <w:end w:w="70" w:type="dxa"/>
            </w:tcMar>
            <w:vAlign w:val="center"/>
            <w:shd w:fill="D9EAF7"/>
          </w:tcPr>
          <w:p>
            <w:pPr>
              <w:pStyle w:val="MDPI42tablebody"/>
              <w:keepLines/>
              <w:jc w:val="left"/>
            </w:pPr>
            <w:r>
              <w:rPr>
                <w:b/>
                <w:sz w:val="14"/>
              </w:rPr>
              <w:t>Result</w:t>
            </w:r>
          </w:p>
        </w:tc>
      </w:tr>
      <w:tr>
        <w:trPr>
          <w:cantSplit/>
        </w:trPr>
        <w:tc>
          <w:tcPr>
            <w:tcW w:type="dxa" w:w="3685"/>
            <w:tcMar>
              <w:top w:w="60" w:type="dxa"/>
              <w:start w:w="70" w:type="dxa"/>
              <w:bottom w:w="60" w:type="dxa"/>
              <w:end w:w="70" w:type="dxa"/>
            </w:tcMar>
            <w:vAlign w:val="center"/>
          </w:tcPr>
          <w:p>
            <w:pPr>
              <w:pStyle w:val="MDPI42tablebody"/>
              <w:keepLines/>
              <w:jc w:val="left"/>
            </w:pPr>
            <w:r>
              <w:rPr>
                <w:sz w:val="14"/>
              </w:rPr>
              <w:t>Deterministic verification sample</w:t>
            </w:r>
          </w:p>
        </w:tc>
        <w:tc>
          <w:tcPr>
            <w:tcW w:type="dxa" w:w="5102"/>
            <w:tcMar>
              <w:top w:w="60" w:type="dxa"/>
              <w:start w:w="70" w:type="dxa"/>
              <w:bottom w:w="60" w:type="dxa"/>
              <w:end w:w="70" w:type="dxa"/>
            </w:tcMar>
            <w:vAlign w:val="center"/>
          </w:tcPr>
          <w:p>
            <w:pPr>
              <w:pStyle w:val="MDPI42tablebody"/>
              <w:keepLines/>
              <w:jc w:val="left"/>
            </w:pPr>
            <w:r>
              <w:rPr>
                <w:sz w:val="14"/>
              </w:rPr>
              <w:t>14 physical facets</w:t>
            </w:r>
          </w:p>
        </w:tc>
      </w:tr>
      <w:tr>
        <w:trPr>
          <w:cantSplit/>
        </w:trPr>
        <w:tc>
          <w:tcPr>
            <w:tcW w:type="dxa" w:w="3685"/>
            <w:tcMar>
              <w:top w:w="60" w:type="dxa"/>
              <w:start w:w="70" w:type="dxa"/>
              <w:bottom w:w="60" w:type="dxa"/>
              <w:end w:w="70" w:type="dxa"/>
            </w:tcMar>
            <w:vAlign w:val="center"/>
          </w:tcPr>
          <w:p>
            <w:pPr>
              <w:pStyle w:val="MDPI42tablebody"/>
              <w:keepLines/>
              <w:jc w:val="left"/>
            </w:pPr>
            <w:r>
              <w:rPr>
                <w:sz w:val="14"/>
              </w:rPr>
              <w:t>Usable-area range</w:t>
            </w:r>
          </w:p>
        </w:tc>
        <w:tc>
          <w:tcPr>
            <w:tcW w:type="dxa" w:w="5102"/>
            <w:tcMar>
              <w:top w:w="60" w:type="dxa"/>
              <w:start w:w="70" w:type="dxa"/>
              <w:bottom w:w="60" w:type="dxa"/>
              <w:end w:w="70" w:type="dxa"/>
            </w:tcMar>
            <w:vAlign w:val="center"/>
          </w:tcPr>
          <w:p>
            <w:pPr>
              <w:keepLines/>
              <w:jc w:val="left"/>
            </w:pPr>
            <w:r>
              <w:rPr>
                <w:b w:val="0"/>
              </w:rPr>
              <w:t>1.96–2,896.88 m²</w:t>
            </w:r>
          </w:p>
        </w:tc>
      </w:tr>
      <w:tr>
        <w:trPr>
          <w:cantSplit/>
        </w:trPr>
        <w:tc>
          <w:tcPr>
            <w:tcW w:type="dxa" w:w="3685"/>
            <w:tcMar>
              <w:top w:w="60" w:type="dxa"/>
              <w:start w:w="70" w:type="dxa"/>
              <w:bottom w:w="60" w:type="dxa"/>
              <w:end w:w="70" w:type="dxa"/>
            </w:tcMar>
            <w:vAlign w:val="center"/>
          </w:tcPr>
          <w:p>
            <w:pPr>
              <w:pStyle w:val="MDPI42tablebody"/>
              <w:keepLines/>
              <w:jc w:val="left"/>
            </w:pPr>
            <w:r>
              <w:rPr>
                <w:sz w:val="14"/>
              </w:rPr>
              <w:t>Production search</w:t>
            </w:r>
          </w:p>
        </w:tc>
        <w:tc>
          <w:tcPr>
            <w:tcW w:type="dxa" w:w="5102"/>
            <w:tcMar>
              <w:top w:w="60" w:type="dxa"/>
              <w:start w:w="70" w:type="dxa"/>
              <w:bottom w:w="60" w:type="dxa"/>
              <w:end w:w="70" w:type="dxa"/>
            </w:tcMar>
            <w:vAlign w:val="center"/>
          </w:tcPr>
          <w:p>
            <w:pPr>
              <w:keepLines/>
              <w:jc w:val="left"/>
            </w:pPr>
            <w:r>
              <w:rPr>
                <w:b w:val="0"/>
              </w:rPr>
              <w:t>Edge-derived orientations; 9 × 9 offsets; 10 mm clearance</w:t>
            </w:r>
          </w:p>
        </w:tc>
      </w:tr>
      <w:tr>
        <w:trPr>
          <w:cantSplit/>
        </w:trPr>
        <w:tc>
          <w:tcPr>
            <w:tcW w:type="dxa" w:w="3685"/>
            <w:tcMar>
              <w:top w:w="60" w:type="dxa"/>
              <w:start w:w="70" w:type="dxa"/>
              <w:bottom w:w="60" w:type="dxa"/>
              <w:end w:w="70" w:type="dxa"/>
            </w:tcMar>
            <w:vAlign w:val="center"/>
          </w:tcPr>
          <w:p>
            <w:pPr>
              <w:pStyle w:val="MDPI42tablebody"/>
              <w:keepLines/>
              <w:jc w:val="left"/>
            </w:pPr>
            <w:r>
              <w:rPr>
                <w:sz w:val="14"/>
              </w:rPr>
              <w:t>Denser comparison</w:t>
            </w:r>
          </w:p>
        </w:tc>
        <w:tc>
          <w:tcPr>
            <w:tcW w:type="dxa" w:w="5102"/>
            <w:tcMar>
              <w:top w:w="60" w:type="dxa"/>
              <w:start w:w="70" w:type="dxa"/>
              <w:bottom w:w="60" w:type="dxa"/>
              <w:end w:w="70" w:type="dxa"/>
            </w:tcMar>
            <w:vAlign w:val="center"/>
          </w:tcPr>
          <w:p>
            <w:pPr>
              <w:keepLines/>
              <w:jc w:val="left"/>
            </w:pPr>
            <w:r>
              <w:rPr>
                <w:b w:val="0"/>
              </w:rPr>
              <w:t>Production angles plus ±2.5° perturbations; 11 × 11 offsets</w:t>
            </w:r>
          </w:p>
        </w:tc>
      </w:tr>
      <w:tr>
        <w:trPr>
          <w:cantSplit/>
        </w:trPr>
        <w:tc>
          <w:tcPr>
            <w:tcW w:type="dxa" w:w="3685"/>
            <w:tcMar>
              <w:top w:w="60" w:type="dxa"/>
              <w:start w:w="70" w:type="dxa"/>
              <w:bottom w:w="60" w:type="dxa"/>
              <w:end w:w="70" w:type="dxa"/>
            </w:tcMar>
            <w:vAlign w:val="center"/>
          </w:tcPr>
          <w:p>
            <w:pPr>
              <w:pStyle w:val="MDPI42tablebody"/>
              <w:keepLines/>
              <w:jc w:val="left"/>
            </w:pPr>
            <w:r>
              <w:rPr>
                <w:sz w:val="14"/>
              </w:rPr>
              <w:t>Identical counts</w:t>
            </w:r>
          </w:p>
        </w:tc>
        <w:tc>
          <w:tcPr>
            <w:tcW w:type="dxa" w:w="5102"/>
            <w:tcMar>
              <w:top w:w="60" w:type="dxa"/>
              <w:start w:w="70" w:type="dxa"/>
              <w:bottom w:w="60" w:type="dxa"/>
              <w:end w:w="70" w:type="dxa"/>
            </w:tcMar>
            <w:vAlign w:val="center"/>
          </w:tcPr>
          <w:p>
            <w:pPr>
              <w:pStyle w:val="MDPI42tablebody"/>
              <w:keepLines/>
              <w:jc w:val="left"/>
            </w:pPr>
            <w:r>
              <w:rPr>
                <w:sz w:val="14"/>
              </w:rPr>
              <w:t>12 of 14 facets</w:t>
            </w:r>
          </w:p>
        </w:tc>
      </w:tr>
      <w:tr>
        <w:trPr>
          <w:cantSplit/>
        </w:trPr>
        <w:tc>
          <w:tcPr>
            <w:tcW w:type="dxa" w:w="3685"/>
            <w:tcMar>
              <w:top w:w="60" w:type="dxa"/>
              <w:start w:w="70" w:type="dxa"/>
              <w:bottom w:w="60" w:type="dxa"/>
              <w:end w:w="70" w:type="dxa"/>
            </w:tcMar>
            <w:vAlign w:val="center"/>
          </w:tcPr>
          <w:p>
            <w:pPr>
              <w:pStyle w:val="MDPI42tablebody"/>
              <w:keepLines/>
              <w:jc w:val="left"/>
            </w:pPr>
            <w:r>
              <w:rPr>
                <w:sz w:val="14"/>
              </w:rPr>
              <w:t>Maximum difference</w:t>
            </w:r>
          </w:p>
        </w:tc>
        <w:tc>
          <w:tcPr>
            <w:tcW w:type="dxa" w:w="5102"/>
            <w:tcMar>
              <w:top w:w="60" w:type="dxa"/>
              <w:start w:w="70" w:type="dxa"/>
              <w:bottom w:w="60" w:type="dxa"/>
              <w:end w:w="70" w:type="dxa"/>
            </w:tcMar>
            <w:vAlign w:val="center"/>
          </w:tcPr>
          <w:p>
            <w:pPr>
              <w:pStyle w:val="MDPI42tablebody"/>
              <w:keepLines/>
              <w:jc w:val="left"/>
            </w:pPr>
            <w:r>
              <w:rPr>
                <w:sz w:val="14"/>
              </w:rPr>
              <w:t>1 module</w:t>
            </w:r>
          </w:p>
        </w:tc>
      </w:tr>
      <w:tr>
        <w:trPr>
          <w:cantSplit/>
        </w:trPr>
        <w:tc>
          <w:tcPr>
            <w:tcW w:type="dxa" w:w="3685"/>
            <w:tcMar>
              <w:top w:w="60" w:type="dxa"/>
              <w:start w:w="70" w:type="dxa"/>
              <w:bottom w:w="60" w:type="dxa"/>
              <w:end w:w="70" w:type="dxa"/>
            </w:tcMar>
            <w:vAlign w:val="center"/>
          </w:tcPr>
          <w:p>
            <w:pPr>
              <w:pStyle w:val="MDPI42tablebody"/>
              <w:keepLines/>
              <w:jc w:val="left"/>
            </w:pPr>
            <w:r>
              <w:rPr>
                <w:sz w:val="14"/>
              </w:rPr>
              <w:t>Pooled count difference</w:t>
            </w:r>
          </w:p>
        </w:tc>
        <w:tc>
          <w:tcPr>
            <w:tcW w:type="dxa" w:w="5102"/>
            <w:tcMar>
              <w:top w:w="60" w:type="dxa"/>
              <w:start w:w="70" w:type="dxa"/>
              <w:bottom w:w="60" w:type="dxa"/>
              <w:end w:w="70" w:type="dxa"/>
            </w:tcMar>
            <w:vAlign w:val="center"/>
          </w:tcPr>
          <w:p>
            <w:pPr>
              <w:pStyle w:val="MDPI42tablebody"/>
              <w:keepLines/>
              <w:jc w:val="left"/>
            </w:pPr>
            <w:r>
              <w:rPr>
                <w:sz w:val="14"/>
              </w:rPr>
              <w:t>0.08%</w:t>
            </w:r>
          </w:p>
        </w:tc>
      </w:tr>
      <w:tr>
        <w:trPr>
          <w:cantSplit/>
        </w:trPr>
        <w:tc>
          <w:tcPr>
            <w:tcW w:type="dxa" w:w="3685"/>
            <w:tcMar>
              <w:top w:w="60" w:type="dxa"/>
              <w:start w:w="70" w:type="dxa"/>
              <w:bottom w:w="60" w:type="dxa"/>
              <w:end w:w="70" w:type="dxa"/>
            </w:tcMar>
            <w:vAlign w:val="center"/>
          </w:tcPr>
          <w:p>
            <w:pPr>
              <w:pStyle w:val="MDPI42tablebody"/>
              <w:keepLines/>
              <w:jc w:val="left"/>
            </w:pPr>
            <w:r>
              <w:rPr>
                <w:sz w:val="14"/>
              </w:rPr>
              <w:t>Largest tested facet</w:t>
            </w:r>
          </w:p>
        </w:tc>
        <w:tc>
          <w:tcPr>
            <w:tcW w:type="dxa" w:w="5102"/>
            <w:tcMar>
              <w:top w:w="60" w:type="dxa"/>
              <w:start w:w="70" w:type="dxa"/>
              <w:bottom w:w="60" w:type="dxa"/>
              <w:end w:w="70" w:type="dxa"/>
            </w:tcMar>
            <w:vAlign w:val="center"/>
          </w:tcPr>
          <w:p>
            <w:pPr>
              <w:keepLines/>
              <w:jc w:val="left"/>
            </w:pPr>
            <w:r>
              <w:rPr>
                <w:b w:val="0"/>
              </w:rPr>
              <w:t>2,896.88 m²; no count difference</w:t>
            </w:r>
          </w:p>
        </w:tc>
      </w:tr>
    </w:tbl>
    <w:p>
      <w:pPr>
        <w:pStyle w:val="MDPI41tablecaption"/>
      </w:pPr>
      <w:r>
        <w:t>Table S6. Sensitivity scenarios reported in the manuscript.</w:t>
      </w:r>
    </w:p>
    <w:tbl>
      <w:tblPr>
        <w:tblW w:type="auto" w:w="0"/>
        <w:jc w:val="center"/>
        <w:tblLayout w:type="autofit"/>
        <w:tblLook w:firstColumn="1" w:firstRow="1" w:lastColumn="0" w:lastRow="0" w:noHBand="0" w:noVBand="1" w:val="04A0"/>
        <w:bidiVisual w:val="0"/>
      </w:tblPr>
      <w:tblGrid>
        <w:gridCol w:w="5233"/>
        <w:gridCol w:w="5233"/>
      </w:tblGrid>
      <w:tr>
        <w:trPr>
          <w:tblHeader w:val="true"/>
          <w:cantSplit/>
        </w:trPr>
        <w:tc>
          <w:tcPr>
            <w:tcW w:type="dxa" w:w="3742"/>
            <w:tcMar>
              <w:top w:w="60" w:type="dxa"/>
              <w:start w:w="70" w:type="dxa"/>
              <w:bottom w:w="60" w:type="dxa"/>
              <w:end w:w="70" w:type="dxa"/>
            </w:tcMar>
            <w:vAlign w:val="center"/>
            <w:shd w:fill="D9EAF7"/>
          </w:tcPr>
          <w:p>
            <w:pPr>
              <w:pStyle w:val="MDPI42tablebody"/>
              <w:keepLines/>
              <w:jc w:val="left"/>
            </w:pPr>
            <w:r>
              <w:rPr>
                <w:b/>
                <w:sz w:val="14"/>
              </w:rPr>
              <w:t>Scenario family</w:t>
            </w:r>
          </w:p>
        </w:tc>
        <w:tc>
          <w:tcPr>
            <w:tcW w:type="dxa" w:w="5102"/>
            <w:tcMar>
              <w:top w:w="60" w:type="dxa"/>
              <w:start w:w="70" w:type="dxa"/>
              <w:bottom w:w="60" w:type="dxa"/>
              <w:end w:w="70" w:type="dxa"/>
            </w:tcMar>
            <w:vAlign w:val="center"/>
            <w:shd w:fill="D9EAF7"/>
          </w:tcPr>
          <w:p>
            <w:pPr>
              <w:pStyle w:val="MDPI42tablebody"/>
              <w:keepLines/>
              <w:jc w:val="left"/>
            </w:pPr>
            <w:r>
              <w:rPr>
                <w:b/>
                <w:sz w:val="14"/>
              </w:rPr>
              <w:t>Levels / subset</w:t>
            </w:r>
          </w:p>
        </w:tc>
      </w:tr>
      <w:tr>
        <w:trPr>
          <w:cantSplit/>
        </w:trPr>
        <w:tc>
          <w:tcPr>
            <w:tcW w:type="dxa" w:w="3742"/>
            <w:tcMar>
              <w:top w:w="60" w:type="dxa"/>
              <w:start w:w="70" w:type="dxa"/>
              <w:bottom w:w="60" w:type="dxa"/>
              <w:end w:w="70" w:type="dxa"/>
            </w:tcMar>
            <w:vAlign w:val="center"/>
          </w:tcPr>
          <w:p>
            <w:pPr>
              <w:pStyle w:val="MDPI42tablebody"/>
              <w:keepLines/>
              <w:jc w:val="left"/>
            </w:pPr>
            <w:r>
              <w:rPr>
                <w:sz w:val="14"/>
              </w:rPr>
              <w:t>External setback</w:t>
            </w:r>
          </w:p>
        </w:tc>
        <w:tc>
          <w:tcPr>
            <w:tcW w:type="dxa" w:w="5102"/>
            <w:tcMar>
              <w:top w:w="60" w:type="dxa"/>
              <w:start w:w="70" w:type="dxa"/>
              <w:bottom w:w="60" w:type="dxa"/>
              <w:end w:w="70" w:type="dxa"/>
            </w:tcMar>
            <w:vAlign w:val="center"/>
          </w:tcPr>
          <w:p>
            <w:pPr>
              <w:pStyle w:val="MDPI42tablebody"/>
              <w:keepLines/>
              <w:jc w:val="left"/>
            </w:pPr>
            <w:r>
              <w:rPr>
                <w:sz w:val="14"/>
              </w:rPr>
              <w:t>0.00, 0.30 (base), 0.50 m</w:t>
            </w:r>
          </w:p>
        </w:tc>
      </w:tr>
      <w:tr>
        <w:trPr>
          <w:cantSplit/>
        </w:trPr>
        <w:tc>
          <w:tcPr>
            <w:tcW w:type="dxa" w:w="3742"/>
            <w:tcMar>
              <w:top w:w="60" w:type="dxa"/>
              <w:start w:w="70" w:type="dxa"/>
              <w:bottom w:w="60" w:type="dxa"/>
              <w:end w:w="70" w:type="dxa"/>
            </w:tcMar>
            <w:vAlign w:val="center"/>
          </w:tcPr>
          <w:p>
            <w:pPr>
              <w:pStyle w:val="MDPI42tablebody"/>
              <w:keepLines/>
              <w:jc w:val="left"/>
            </w:pPr>
            <w:r>
              <w:rPr>
                <w:sz w:val="14"/>
              </w:rPr>
              <w:t>Module size</w:t>
            </w:r>
          </w:p>
        </w:tc>
        <w:tc>
          <w:tcPr>
            <w:tcW w:type="dxa" w:w="5102"/>
            <w:tcMar>
              <w:top w:w="60" w:type="dxa"/>
              <w:start w:w="70" w:type="dxa"/>
              <w:bottom w:w="60" w:type="dxa"/>
              <w:end w:w="70" w:type="dxa"/>
            </w:tcMar>
            <w:vAlign w:val="center"/>
          </w:tcPr>
          <w:p>
            <w:pPr>
              <w:pStyle w:val="MDPI42tablebody"/>
              <w:keepLines/>
              <w:jc w:val="left"/>
            </w:pPr>
            <w:r>
              <w:rPr>
                <w:sz w:val="14"/>
              </w:rPr>
              <w:t>440 W base module; 575 W larger module</w:t>
            </w:r>
          </w:p>
        </w:tc>
      </w:tr>
      <w:tr>
        <w:trPr>
          <w:cantSplit/>
        </w:trPr>
        <w:tc>
          <w:tcPr>
            <w:tcW w:type="dxa" w:w="3742"/>
            <w:tcMar>
              <w:top w:w="60" w:type="dxa"/>
              <w:start w:w="70" w:type="dxa"/>
              <w:bottom w:w="60" w:type="dxa"/>
              <w:end w:w="70" w:type="dxa"/>
            </w:tcMar>
            <w:vAlign w:val="center"/>
          </w:tcPr>
          <w:p>
            <w:pPr>
              <w:pStyle w:val="MDPI42tablebody"/>
              <w:keepLines/>
              <w:jc w:val="left"/>
            </w:pPr>
            <w:r>
              <w:rPr>
                <w:sz w:val="14"/>
              </w:rPr>
              <w:t>Inter-module clearance</w:t>
            </w:r>
          </w:p>
        </w:tc>
        <w:tc>
          <w:tcPr>
            <w:tcW w:type="dxa" w:w="5102"/>
            <w:tcMar>
              <w:top w:w="60" w:type="dxa"/>
              <w:start w:w="70" w:type="dxa"/>
              <w:bottom w:w="60" w:type="dxa"/>
              <w:end w:w="70" w:type="dxa"/>
            </w:tcMar>
            <w:vAlign w:val="center"/>
          </w:tcPr>
          <w:p>
            <w:pPr>
              <w:pStyle w:val="MDPI42tablebody"/>
              <w:keepLines/>
              <w:jc w:val="left"/>
            </w:pPr>
            <w:r>
              <w:rPr>
                <w:sz w:val="14"/>
              </w:rPr>
              <w:t>0, 10 (base), 20, 40 mm</w:t>
            </w:r>
          </w:p>
        </w:tc>
      </w:tr>
      <w:tr>
        <w:trPr>
          <w:cantSplit/>
        </w:trPr>
        <w:tc>
          <w:tcPr>
            <w:tcW w:type="dxa" w:w="3742"/>
            <w:tcMar>
              <w:top w:w="60" w:type="dxa"/>
              <w:start w:w="70" w:type="dxa"/>
              <w:bottom w:w="60" w:type="dxa"/>
              <w:end w:w="70" w:type="dxa"/>
            </w:tcMar>
            <w:vAlign w:val="center"/>
          </w:tcPr>
          <w:p>
            <w:pPr>
              <w:pStyle w:val="MDPI42tablebody"/>
              <w:keepLines/>
              <w:jc w:val="left"/>
            </w:pPr>
            <w:r>
              <w:rPr>
                <w:sz w:val="14"/>
              </w:rPr>
              <w:t>Roof tilt</w:t>
            </w:r>
          </w:p>
        </w:tc>
        <w:tc>
          <w:tcPr>
            <w:tcW w:type="dxa" w:w="5102"/>
            <w:tcMar>
              <w:top w:w="60" w:type="dxa"/>
              <w:start w:w="70" w:type="dxa"/>
              <w:bottom w:w="60" w:type="dxa"/>
              <w:end w:w="70" w:type="dxa"/>
            </w:tcMar>
            <w:vAlign w:val="center"/>
          </w:tcPr>
          <w:p>
            <w:pPr>
              <w:keepLines/>
              <w:jc w:val="left"/>
            </w:pPr>
            <w:r>
              <w:rPr>
                <w:b w:val="0"/>
              </w:rPr>
              <w:t>Near-flat &lt;5°; pitched ≥5°</w:t>
            </w:r>
          </w:p>
        </w:tc>
      </w:tr>
      <w:tr>
        <w:trPr>
          <w:cantSplit/>
        </w:trPr>
        <w:tc>
          <w:tcPr>
            <w:tcW w:type="dxa" w:w="3742"/>
            <w:tcMar>
              <w:top w:w="60" w:type="dxa"/>
              <w:start w:w="70" w:type="dxa"/>
              <w:bottom w:w="60" w:type="dxa"/>
              <w:end w:w="70" w:type="dxa"/>
            </w:tcMar>
            <w:vAlign w:val="center"/>
          </w:tcPr>
          <w:p>
            <w:pPr>
              <w:pStyle w:val="MDPI42tablebody"/>
              <w:keepLines/>
              <w:jc w:val="left"/>
            </w:pPr>
            <w:r>
              <w:rPr>
                <w:sz w:val="14"/>
              </w:rPr>
              <w:t>Building influence</w:t>
            </w:r>
          </w:p>
        </w:tc>
        <w:tc>
          <w:tcPr>
            <w:tcW w:type="dxa" w:w="5102"/>
            <w:tcMar>
              <w:top w:w="60" w:type="dxa"/>
              <w:start w:w="70" w:type="dxa"/>
              <w:bottom w:w="60" w:type="dxa"/>
              <w:end w:w="70" w:type="dxa"/>
            </w:tcMar>
            <w:vAlign w:val="center"/>
          </w:tcPr>
          <w:p>
            <w:pPr>
              <w:pStyle w:val="MDPI42tablebody"/>
              <w:keepLines/>
              <w:jc w:val="left"/>
            </w:pPr>
            <w:r>
              <w:rPr>
                <w:sz w:val="14"/>
              </w:rPr>
              <w:t>All buildings; remove largest; remove three largest</w:t>
            </w:r>
          </w:p>
        </w:tc>
      </w:tr>
      <w:tr>
        <w:trPr>
          <w:cantSplit/>
        </w:trPr>
        <w:tc>
          <w:tcPr>
            <w:tcW w:type="dxa" w:w="3742"/>
            <w:tcMar>
              <w:top w:w="60" w:type="dxa"/>
              <w:start w:w="70" w:type="dxa"/>
              <w:bottom w:w="60" w:type="dxa"/>
              <w:end w:w="70" w:type="dxa"/>
            </w:tcMar>
            <w:vAlign w:val="center"/>
          </w:tcPr>
          <w:p>
            <w:pPr>
              <w:pStyle w:val="MDPI42tablebody"/>
              <w:keepLines/>
              <w:jc w:val="left"/>
            </w:pPr>
            <w:r>
              <w:rPr>
                <w:sz w:val="14"/>
              </w:rPr>
              <w:t>ALKIS-CityGML consistency</w:t>
            </w:r>
          </w:p>
        </w:tc>
        <w:tc>
          <w:tcPr>
            <w:tcW w:type="dxa" w:w="5102"/>
            <w:tcMar>
              <w:top w:w="60" w:type="dxa"/>
              <w:start w:w="70" w:type="dxa"/>
              <w:bottom w:w="60" w:type="dxa"/>
              <w:end w:w="70" w:type="dxa"/>
            </w:tcMar>
            <w:vAlign w:val="center"/>
          </w:tcPr>
          <w:p>
            <w:pPr>
              <w:keepLines/>
              <w:jc w:val="left"/>
            </w:pPr>
            <w:r>
              <w:rPr>
                <w:b w:val="0"/>
              </w:rPr>
              <w:t>All buildings; IoU ≥0.80; IoU ≥0.90</w:t>
            </w:r>
          </w:p>
        </w:tc>
      </w:tr>
      <w:tr>
        <w:trPr>
          <w:cantSplit/>
        </w:trPr>
        <w:tc>
          <w:tcPr>
            <w:tcW w:type="dxa" w:w="3742"/>
            <w:tcMar>
              <w:top w:w="60" w:type="dxa"/>
              <w:start w:w="70" w:type="dxa"/>
              <w:bottom w:w="60" w:type="dxa"/>
              <w:end w:w="70" w:type="dxa"/>
            </w:tcMar>
            <w:vAlign w:val="center"/>
          </w:tcPr>
          <w:p>
            <w:pPr>
              <w:pStyle w:val="MDPI42tablebody"/>
              <w:keepLines/>
              <w:jc w:val="left"/>
            </w:pPr>
            <w:r>
              <w:rPr>
                <w:sz w:val="14"/>
              </w:rPr>
              <w:t>Correlation influence</w:t>
            </w:r>
          </w:p>
        </w:tc>
        <w:tc>
          <w:tcPr>
            <w:tcW w:type="dxa" w:w="5102"/>
            <w:tcMar>
              <w:top w:w="60" w:type="dxa"/>
              <w:start w:w="70" w:type="dxa"/>
              <w:bottom w:w="60" w:type="dxa"/>
              <w:end w:w="70" w:type="dxa"/>
            </w:tcMar>
            <w:vAlign w:val="center"/>
          </w:tcPr>
          <w:p>
            <w:pPr>
              <w:pStyle w:val="MDPI42tablebody"/>
              <w:keepLines/>
              <w:jc w:val="left"/>
            </w:pPr>
            <w:r>
              <w:rPr>
                <w:sz w:val="14"/>
              </w:rPr>
              <w:t>31 leave-one-building-out recalculations</w:t>
            </w:r>
          </w:p>
        </w:tc>
      </w:tr>
    </w:tbl>
    <w:p>
      <w:pPr>
        <w:pStyle w:val="MDPI21heading1"/>
      </w:pPr>
      <w:r>
        <w:t>S4. Packing routine - algorithmic description</w:t>
      </w:r>
    </w:p>
    <w:p>
      <w:pPr>
        <w:pStyle w:val="MDPI31text"/>
        <w:spacing w:after="40"/>
      </w:pPr>
      <w:r>
        <w:rPr>
          <w:sz w:val="17"/>
        </w:rPr>
        <w:t>For each setback-clipped physical facet, the 3D polygon is transformed to a local two-dimensional roof-plane basis. Candidate module orientations are formed from the principal polygon direction, the longest boundary edges and their orthogonal alternatives. For each orientation, the module grid is translated through nine equally spaced offsets in each local coordinate direction over one module pitch. A module is counted only when its full rectangular footprint lies inside the usable facet polygon. The best count over all tested orientations and offsets is retained. Packing is performed independently for each physical facet, so no module can cross a ridge, valley or other facet boundary.</w:t>
      </w:r>
    </w:p>
    <w:p>
      <w:pPr>
        <w:pStyle w:val="MDPI31text"/>
        <w:keepNext w:val="0"/>
        <w:keepLines w:val="0"/>
        <w:widowControl w:val="0"/>
        <w:spacing w:before="0" w:after="0" w:line="240" w:lineRule="auto"/>
      </w:pPr>
      <w:r>
        <w:t>The denser verification search retains the same geometric acceptance rule but adds ±2.5° perturbations around the production orientations and increases the translation search to 11 × 11 offsets. The verification exercise is a numerical sensitivity check; it is not presented as a proof of global rectangle-packing optimality.</w:t>
      </w:r>
    </w:p>
    <w:p>
      <w:pPr>
        <w:pStyle w:val="MDPI21heading1"/>
      </w:pPr>
      <w:r>
        <w:t>S5. Scale and mathematical-coupling robustness checks</w:t>
      </w:r>
    </w:p>
    <w:p>
      <w:pPr>
        <w:pStyle w:val="MDPI31text"/>
      </w:pPr>
      <w:r>
        <w:t>Facet density is defined with gross 3D roof area in the denominator, whereas packing shortfall is defined relative to continuous capacity calculated from setback-adjusted usable area. These denominators are not algebraically identical, but both carry roof scale. Three complementary checks were therefore used to evaluate whether the primary association could be explained mainly by this shared scale: (i) an HC3-robust model with standardized facet density and standardized log gross 3D roof area; (ii) an HC3-robust model with standardized raw facet count and standardized log gross 3D roof area, avoiding a ratio-based fragmentation predictor; and (iii) a partial Spearman analysis obtained by residualizing rank-transformed facet density and packing shortfall against ranked log gross 3D roof area.</w:t>
      </w:r>
    </w:p>
    <w:p>
      <w:pPr>
        <w:pStyle w:val="MDPI41tablecaption"/>
      </w:pPr>
      <w:r>
        <w:t>Table S7. HC3-robust building-level regression checks for packing shortfall (n = 31). Continuous predictors are standardized; coefficients are percentage-point changes in shortfall per one standard deviation. Both models use the same outcome.</w:t>
      </w:r>
    </w:p>
    <w:tbl>
      <w:tblPr>
        <w:tblW w:type="dxa" w:w="9072"/>
        <w:jc w:val="center"/>
        <w:tblLayout w:type="fixed"/>
        <w:tblLook w:firstColumn="1" w:firstRow="1" w:lastColumn="0" w:lastRow="0" w:noHBand="0" w:noVBand="1" w:val="04A0"/>
        <w:bidiVisual w:val="0"/>
      </w:tblPr>
      <w:tblGrid>
        <w:gridCol w:w="1512"/>
        <w:gridCol w:w="1800"/>
        <w:gridCol w:w="1512"/>
        <w:gridCol w:w="1224"/>
        <w:gridCol w:w="1944"/>
        <w:gridCol w:w="1080"/>
      </w:tblGrid>
      <w:tr>
        <w:trPr>
          <w:cantSplit/>
          <w:tblHeader w:val="true"/>
        </w:trPr>
        <w:tc>
          <w:tcPr>
            <w:tcW w:type="dxa" w:w="1512"/>
            <w:vAlign w:val="center"/>
          </w:tcPr>
          <w:p>
            <w:pPr>
              <w:keepLines/>
              <w:jc w:val="left"/>
            </w:pPr>
            <w:r>
              <w:rPr>
                <w:b/>
                <w:sz w:val="17"/>
              </w:rPr>
              <w:t>Model</w:t>
            </w:r>
          </w:p>
        </w:tc>
        <w:tc>
          <w:tcPr>
            <w:tcW w:type="dxa" w:w="1800"/>
            <w:vAlign w:val="center"/>
          </w:tcPr>
          <w:p>
            <w:pPr>
              <w:keepLines/>
              <w:jc w:val="left"/>
            </w:pPr>
            <w:r>
              <w:rPr>
                <w:b/>
                <w:sz w:val="17"/>
              </w:rPr>
              <w:t>Term</w:t>
            </w:r>
          </w:p>
        </w:tc>
        <w:tc>
          <w:tcPr>
            <w:tcW w:type="dxa" w:w="1512"/>
            <w:vAlign w:val="center"/>
          </w:tcPr>
          <w:p>
            <w:pPr>
              <w:keepLines/>
              <w:jc w:val="left"/>
            </w:pPr>
            <w:r>
              <w:rPr>
                <w:b/>
                <w:sz w:val="17"/>
              </w:rPr>
              <w:t>Coefficient (pp)</w:t>
            </w:r>
          </w:p>
        </w:tc>
        <w:tc>
          <w:tcPr>
            <w:tcW w:type="dxa" w:w="1224"/>
            <w:vAlign w:val="center"/>
          </w:tcPr>
          <w:p>
            <w:pPr>
              <w:keepLines/>
              <w:jc w:val="left"/>
            </w:pPr>
            <w:r>
              <w:rPr>
                <w:b/>
                <w:sz w:val="17"/>
              </w:rPr>
              <w:t>HC3 SE</w:t>
            </w:r>
          </w:p>
        </w:tc>
        <w:tc>
          <w:tcPr>
            <w:tcW w:type="dxa" w:w="1944"/>
            <w:vAlign w:val="center"/>
          </w:tcPr>
          <w:p>
            <w:pPr>
              <w:keepLines/>
              <w:jc w:val="left"/>
            </w:pPr>
            <w:r>
              <w:rPr>
                <w:b/>
                <w:sz w:val="17"/>
              </w:rPr>
              <w:t>95% CI</w:t>
            </w:r>
          </w:p>
        </w:tc>
        <w:tc>
          <w:tcPr>
            <w:tcW w:type="dxa" w:w="1080"/>
            <w:vAlign w:val="center"/>
          </w:tcPr>
          <w:p>
            <w:pPr>
              <w:keepLines/>
              <w:jc w:val="left"/>
            </w:pPr>
            <w:r>
              <w:rPr>
                <w:b/>
                <w:sz w:val="17"/>
              </w:rPr>
              <w:t>p-value</w:t>
            </w:r>
          </w:p>
        </w:tc>
      </w:tr>
      <w:tr>
        <w:trPr>
          <w:cantSplit/>
        </w:trPr>
        <w:tc>
          <w:tcPr>
            <w:tcW w:type="dxa" w:w="1512"/>
            <w:vAlign w:val="center"/>
          </w:tcPr>
          <w:p>
            <w:pPr>
              <w:keepLines/>
              <w:jc w:val="left"/>
            </w:pPr>
            <w:r>
              <w:rPr>
                <w:b w:val="0"/>
                <w:sz w:val="17"/>
              </w:rPr>
              <w:t>A: density + log area</w:t>
            </w:r>
          </w:p>
        </w:tc>
        <w:tc>
          <w:tcPr>
            <w:tcW w:type="dxa" w:w="1800"/>
            <w:vAlign w:val="center"/>
          </w:tcPr>
          <w:p>
            <w:pPr>
              <w:keepLines/>
              <w:jc w:val="left"/>
            </w:pPr>
            <w:r>
              <w:rPr>
                <w:b w:val="0"/>
                <w:sz w:val="17"/>
              </w:rPr>
              <w:t>Intercept</w:t>
            </w:r>
          </w:p>
        </w:tc>
        <w:tc>
          <w:tcPr>
            <w:tcW w:type="dxa" w:w="1512"/>
            <w:vAlign w:val="center"/>
          </w:tcPr>
          <w:p>
            <w:pPr>
              <w:keepLines/>
              <w:jc w:val="left"/>
            </w:pPr>
            <w:r>
              <w:rPr>
                <w:b w:val="0"/>
                <w:sz w:val="17"/>
              </w:rPr>
              <w:t>16.296</w:t>
            </w:r>
          </w:p>
        </w:tc>
        <w:tc>
          <w:tcPr>
            <w:tcW w:type="dxa" w:w="1224"/>
            <w:vAlign w:val="center"/>
          </w:tcPr>
          <w:p>
            <w:pPr>
              <w:keepLines/>
              <w:jc w:val="left"/>
            </w:pPr>
            <w:r>
              <w:rPr>
                <w:b w:val="0"/>
                <w:sz w:val="17"/>
              </w:rPr>
              <w:t>0.701</w:t>
            </w:r>
          </w:p>
        </w:tc>
        <w:tc>
          <w:tcPr>
            <w:tcW w:type="dxa" w:w="1944"/>
            <w:vAlign w:val="center"/>
          </w:tcPr>
          <w:p>
            <w:pPr>
              <w:keepLines/>
              <w:jc w:val="left"/>
            </w:pPr>
            <w:r>
              <w:rPr>
                <w:b w:val="0"/>
                <w:sz w:val="17"/>
              </w:rPr>
              <w:t>14.922 to 17.670</w:t>
            </w:r>
          </w:p>
        </w:tc>
        <w:tc>
          <w:tcPr>
            <w:tcW w:type="dxa" w:w="1080"/>
            <w:vAlign w:val="center"/>
          </w:tcPr>
          <w:p>
            <w:pPr>
              <w:keepLines/>
              <w:jc w:val="left"/>
            </w:pPr>
            <w:r>
              <w:rPr>
                <w:b w:val="0"/>
                <w:sz w:val="17"/>
              </w:rPr>
              <w:t>&lt;0.0001</w:t>
            </w:r>
          </w:p>
        </w:tc>
      </w:tr>
      <w:tr>
        <w:trPr>
          <w:cantSplit/>
        </w:trPr>
        <w:tc>
          <w:tcPr>
            <w:tcW w:type="dxa" w:w="1512"/>
            <w:vAlign w:val="center"/>
          </w:tcPr>
          <w:p>
            <w:pPr>
              <w:keepLines/>
              <w:jc w:val="left"/>
            </w:pPr>
            <w:r>
              <w:rPr>
                <w:b w:val="0"/>
                <w:sz w:val="17"/>
              </w:rPr>
              <w:t>A: density + log area</w:t>
            </w:r>
          </w:p>
        </w:tc>
        <w:tc>
          <w:tcPr>
            <w:tcW w:type="dxa" w:w="1800"/>
            <w:vAlign w:val="center"/>
          </w:tcPr>
          <w:p>
            <w:pPr>
              <w:keepLines/>
              <w:jc w:val="left"/>
            </w:pPr>
            <w:r>
              <w:rPr>
                <w:b w:val="0"/>
                <w:sz w:val="17"/>
              </w:rPr>
              <w:t>Facet density (z)</w:t>
            </w:r>
          </w:p>
        </w:tc>
        <w:tc>
          <w:tcPr>
            <w:tcW w:type="dxa" w:w="1512"/>
            <w:vAlign w:val="center"/>
          </w:tcPr>
          <w:p>
            <w:pPr>
              <w:keepLines/>
              <w:jc w:val="left"/>
            </w:pPr>
            <w:r>
              <w:rPr>
                <w:b w:val="0"/>
                <w:sz w:val="17"/>
              </w:rPr>
              <w:t>4.220</w:t>
            </w:r>
          </w:p>
        </w:tc>
        <w:tc>
          <w:tcPr>
            <w:tcW w:type="dxa" w:w="1224"/>
            <w:vAlign w:val="center"/>
          </w:tcPr>
          <w:p>
            <w:pPr>
              <w:keepLines/>
              <w:jc w:val="left"/>
            </w:pPr>
            <w:r>
              <w:rPr>
                <w:b w:val="0"/>
                <w:sz w:val="17"/>
              </w:rPr>
              <w:t>1.399</w:t>
            </w:r>
          </w:p>
        </w:tc>
        <w:tc>
          <w:tcPr>
            <w:tcW w:type="dxa" w:w="1944"/>
            <w:vAlign w:val="center"/>
          </w:tcPr>
          <w:p>
            <w:pPr>
              <w:keepLines/>
              <w:jc w:val="left"/>
            </w:pPr>
            <w:r>
              <w:rPr>
                <w:b w:val="0"/>
                <w:sz w:val="17"/>
              </w:rPr>
              <w:t>1.477 to 6.962</w:t>
            </w:r>
          </w:p>
        </w:tc>
        <w:tc>
          <w:tcPr>
            <w:tcW w:type="dxa" w:w="1080"/>
            <w:vAlign w:val="center"/>
          </w:tcPr>
          <w:p>
            <w:pPr>
              <w:keepLines/>
              <w:jc w:val="left"/>
            </w:pPr>
            <w:r>
              <w:rPr>
                <w:b w:val="0"/>
                <w:sz w:val="17"/>
              </w:rPr>
              <w:t>0.0026</w:t>
            </w:r>
          </w:p>
        </w:tc>
      </w:tr>
      <w:tr>
        <w:trPr>
          <w:cantSplit/>
        </w:trPr>
        <w:tc>
          <w:tcPr>
            <w:tcW w:type="dxa" w:w="1512"/>
            <w:vAlign w:val="center"/>
          </w:tcPr>
          <w:p>
            <w:pPr>
              <w:keepLines/>
              <w:jc w:val="left"/>
            </w:pPr>
            <w:r>
              <w:rPr>
                <w:b w:val="0"/>
                <w:sz w:val="17"/>
              </w:rPr>
              <w:t>A: density + log area</w:t>
            </w:r>
          </w:p>
        </w:tc>
        <w:tc>
          <w:tcPr>
            <w:tcW w:type="dxa" w:w="1800"/>
            <w:vAlign w:val="center"/>
          </w:tcPr>
          <w:p>
            <w:pPr>
              <w:keepLines/>
              <w:jc w:val="left"/>
            </w:pPr>
            <w:r>
              <w:rPr>
                <w:b w:val="0"/>
                <w:sz w:val="17"/>
              </w:rPr>
              <w:t>Log gross 3D roof area (z)</w:t>
            </w:r>
          </w:p>
        </w:tc>
        <w:tc>
          <w:tcPr>
            <w:tcW w:type="dxa" w:w="1512"/>
            <w:vAlign w:val="center"/>
          </w:tcPr>
          <w:p>
            <w:pPr>
              <w:keepLines/>
              <w:jc w:val="left"/>
            </w:pPr>
            <w:r>
              <w:rPr>
                <w:b w:val="0"/>
                <w:sz w:val="17"/>
              </w:rPr>
              <w:t>−0.078</w:t>
            </w:r>
          </w:p>
        </w:tc>
        <w:tc>
          <w:tcPr>
            <w:tcW w:type="dxa" w:w="1224"/>
            <w:vAlign w:val="center"/>
          </w:tcPr>
          <w:p>
            <w:pPr>
              <w:keepLines/>
              <w:jc w:val="left"/>
            </w:pPr>
            <w:r>
              <w:rPr>
                <w:b w:val="0"/>
                <w:sz w:val="17"/>
              </w:rPr>
              <w:t>0.866</w:t>
            </w:r>
          </w:p>
        </w:tc>
        <w:tc>
          <w:tcPr>
            <w:tcW w:type="dxa" w:w="1944"/>
            <w:vAlign w:val="center"/>
          </w:tcPr>
          <w:p>
            <w:pPr>
              <w:keepLines/>
              <w:jc w:val="left"/>
            </w:pPr>
            <w:r>
              <w:rPr>
                <w:b w:val="0"/>
                <w:sz w:val="17"/>
              </w:rPr>
              <w:t>−1.774 to 1.619</w:t>
            </w:r>
          </w:p>
        </w:tc>
        <w:tc>
          <w:tcPr>
            <w:tcW w:type="dxa" w:w="1080"/>
            <w:vAlign w:val="center"/>
          </w:tcPr>
          <w:p>
            <w:pPr>
              <w:keepLines/>
              <w:jc w:val="left"/>
            </w:pPr>
            <w:r>
              <w:rPr>
                <w:b w:val="0"/>
                <w:sz w:val="17"/>
              </w:rPr>
              <w:t>0.9284</w:t>
            </w:r>
          </w:p>
        </w:tc>
      </w:tr>
      <w:tr>
        <w:trPr>
          <w:cantSplit/>
        </w:trPr>
        <w:tc>
          <w:tcPr>
            <w:tcW w:type="dxa" w:w="1512"/>
            <w:vAlign w:val="center"/>
          </w:tcPr>
          <w:p>
            <w:pPr>
              <w:keepLines/>
              <w:jc w:val="left"/>
            </w:pPr>
            <w:r>
              <w:rPr>
                <w:b w:val="0"/>
                <w:sz w:val="17"/>
              </w:rPr>
              <w:t>B: count + log area</w:t>
            </w:r>
          </w:p>
        </w:tc>
        <w:tc>
          <w:tcPr>
            <w:tcW w:type="dxa" w:w="1800"/>
            <w:vAlign w:val="center"/>
          </w:tcPr>
          <w:p>
            <w:pPr>
              <w:keepLines/>
              <w:jc w:val="left"/>
            </w:pPr>
            <w:r>
              <w:rPr>
                <w:b w:val="0"/>
                <w:sz w:val="17"/>
              </w:rPr>
              <w:t>Intercept</w:t>
            </w:r>
          </w:p>
        </w:tc>
        <w:tc>
          <w:tcPr>
            <w:tcW w:type="dxa" w:w="1512"/>
            <w:vAlign w:val="center"/>
          </w:tcPr>
          <w:p>
            <w:pPr>
              <w:keepLines/>
              <w:jc w:val="left"/>
            </w:pPr>
            <w:r>
              <w:rPr>
                <w:b w:val="0"/>
                <w:sz w:val="17"/>
              </w:rPr>
              <w:t>16.296</w:t>
            </w:r>
          </w:p>
        </w:tc>
        <w:tc>
          <w:tcPr>
            <w:tcW w:type="dxa" w:w="1224"/>
            <w:vAlign w:val="center"/>
          </w:tcPr>
          <w:p>
            <w:pPr>
              <w:keepLines/>
              <w:jc w:val="left"/>
            </w:pPr>
            <w:r>
              <w:rPr>
                <w:b w:val="0"/>
                <w:sz w:val="17"/>
              </w:rPr>
              <w:t>0.997</w:t>
            </w:r>
          </w:p>
        </w:tc>
        <w:tc>
          <w:tcPr>
            <w:tcW w:type="dxa" w:w="1944"/>
            <w:vAlign w:val="center"/>
          </w:tcPr>
          <w:p>
            <w:pPr>
              <w:keepLines/>
              <w:jc w:val="left"/>
            </w:pPr>
            <w:r>
              <w:rPr>
                <w:b w:val="0"/>
                <w:sz w:val="17"/>
              </w:rPr>
              <w:t>14.342 to 18.251</w:t>
            </w:r>
          </w:p>
        </w:tc>
        <w:tc>
          <w:tcPr>
            <w:tcW w:type="dxa" w:w="1080"/>
            <w:vAlign w:val="center"/>
          </w:tcPr>
          <w:p>
            <w:pPr>
              <w:keepLines/>
              <w:jc w:val="left"/>
            </w:pPr>
            <w:r>
              <w:rPr>
                <w:b w:val="0"/>
                <w:sz w:val="17"/>
              </w:rPr>
              <w:t>&lt;0.0001</w:t>
            </w:r>
          </w:p>
        </w:tc>
      </w:tr>
      <w:tr>
        <w:trPr>
          <w:cantSplit/>
        </w:trPr>
        <w:tc>
          <w:tcPr>
            <w:tcW w:type="dxa" w:w="1512"/>
            <w:vAlign w:val="center"/>
          </w:tcPr>
          <w:p>
            <w:pPr>
              <w:keepLines/>
              <w:jc w:val="left"/>
            </w:pPr>
            <w:r>
              <w:rPr>
                <w:b w:val="0"/>
                <w:sz w:val="17"/>
              </w:rPr>
              <w:t>B: count + log area</w:t>
            </w:r>
          </w:p>
        </w:tc>
        <w:tc>
          <w:tcPr>
            <w:tcW w:type="dxa" w:w="1800"/>
            <w:vAlign w:val="center"/>
          </w:tcPr>
          <w:p>
            <w:pPr>
              <w:keepLines/>
              <w:jc w:val="left"/>
            </w:pPr>
            <w:r>
              <w:rPr>
                <w:b w:val="0"/>
                <w:sz w:val="17"/>
              </w:rPr>
              <w:t>Raw physical-facet count (z)</w:t>
            </w:r>
          </w:p>
        </w:tc>
        <w:tc>
          <w:tcPr>
            <w:tcW w:type="dxa" w:w="1512"/>
            <w:vAlign w:val="center"/>
          </w:tcPr>
          <w:p>
            <w:pPr>
              <w:keepLines/>
              <w:jc w:val="left"/>
            </w:pPr>
            <w:r>
              <w:rPr>
                <w:b w:val="0"/>
                <w:sz w:val="17"/>
              </w:rPr>
              <w:t>1.205</w:t>
            </w:r>
          </w:p>
        </w:tc>
        <w:tc>
          <w:tcPr>
            <w:tcW w:type="dxa" w:w="1224"/>
            <w:vAlign w:val="center"/>
          </w:tcPr>
          <w:p>
            <w:pPr>
              <w:keepLines/>
              <w:jc w:val="left"/>
            </w:pPr>
            <w:r>
              <w:rPr>
                <w:b w:val="0"/>
                <w:sz w:val="17"/>
              </w:rPr>
              <w:t>1.361</w:t>
            </w:r>
          </w:p>
        </w:tc>
        <w:tc>
          <w:tcPr>
            <w:tcW w:type="dxa" w:w="1944"/>
            <w:vAlign w:val="center"/>
          </w:tcPr>
          <w:p>
            <w:pPr>
              <w:keepLines/>
              <w:jc w:val="left"/>
            </w:pPr>
            <w:r>
              <w:rPr>
                <w:b w:val="0"/>
                <w:sz w:val="17"/>
              </w:rPr>
              <w:t>−1.464 to 3.873</w:t>
            </w:r>
          </w:p>
        </w:tc>
        <w:tc>
          <w:tcPr>
            <w:tcW w:type="dxa" w:w="1080"/>
            <w:vAlign w:val="center"/>
          </w:tcPr>
          <w:p>
            <w:pPr>
              <w:keepLines/>
              <w:jc w:val="left"/>
            </w:pPr>
            <w:r>
              <w:rPr>
                <w:b w:val="0"/>
                <w:sz w:val="17"/>
              </w:rPr>
              <w:t>0.3763</w:t>
            </w:r>
          </w:p>
        </w:tc>
      </w:tr>
      <w:tr>
        <w:trPr>
          <w:cantSplit/>
        </w:trPr>
        <w:tc>
          <w:tcPr>
            <w:tcW w:type="dxa" w:w="1512"/>
            <w:vAlign w:val="center"/>
          </w:tcPr>
          <w:p>
            <w:pPr>
              <w:keepLines/>
              <w:jc w:val="left"/>
            </w:pPr>
            <w:r>
              <w:rPr>
                <w:b w:val="0"/>
                <w:sz w:val="17"/>
              </w:rPr>
              <w:t>B: count + log area</w:t>
            </w:r>
          </w:p>
        </w:tc>
        <w:tc>
          <w:tcPr>
            <w:tcW w:type="dxa" w:w="1800"/>
            <w:vAlign w:val="center"/>
          </w:tcPr>
          <w:p>
            <w:pPr>
              <w:keepLines/>
              <w:jc w:val="left"/>
            </w:pPr>
            <w:r>
              <w:rPr>
                <w:b w:val="0"/>
                <w:sz w:val="17"/>
              </w:rPr>
              <w:t>Log gross 3D roof area (z)</w:t>
            </w:r>
          </w:p>
        </w:tc>
        <w:tc>
          <w:tcPr>
            <w:tcW w:type="dxa" w:w="1512"/>
            <w:vAlign w:val="center"/>
          </w:tcPr>
          <w:p>
            <w:pPr>
              <w:keepLines/>
              <w:jc w:val="left"/>
            </w:pPr>
            <w:r>
              <w:rPr>
                <w:b w:val="0"/>
                <w:sz w:val="17"/>
              </w:rPr>
              <w:t>−2.416</w:t>
            </w:r>
          </w:p>
        </w:tc>
        <w:tc>
          <w:tcPr>
            <w:tcW w:type="dxa" w:w="1224"/>
            <w:vAlign w:val="center"/>
          </w:tcPr>
          <w:p>
            <w:pPr>
              <w:keepLines/>
              <w:jc w:val="left"/>
            </w:pPr>
            <w:r>
              <w:rPr>
                <w:b w:val="0"/>
                <w:sz w:val="17"/>
              </w:rPr>
              <w:t>1.450</w:t>
            </w:r>
          </w:p>
        </w:tc>
        <w:tc>
          <w:tcPr>
            <w:tcW w:type="dxa" w:w="1944"/>
            <w:vAlign w:val="center"/>
          </w:tcPr>
          <w:p>
            <w:pPr>
              <w:keepLines/>
              <w:jc w:val="left"/>
            </w:pPr>
            <w:r>
              <w:rPr>
                <w:b w:val="0"/>
                <w:sz w:val="17"/>
              </w:rPr>
              <w:t>−5.258 to 0.427</w:t>
            </w:r>
          </w:p>
        </w:tc>
        <w:tc>
          <w:tcPr>
            <w:tcW w:type="dxa" w:w="1080"/>
            <w:vAlign w:val="center"/>
          </w:tcPr>
          <w:p>
            <w:pPr>
              <w:keepLines/>
              <w:jc w:val="left"/>
            </w:pPr>
            <w:r>
              <w:rPr>
                <w:b w:val="0"/>
                <w:sz w:val="17"/>
              </w:rPr>
              <w:t>0.0958</w:t>
            </w:r>
          </w:p>
        </w:tc>
      </w:tr>
    </w:tbl>
    <w:p>
      <w:pPr>
        <w:pStyle w:val="MDPI31text"/>
      </w:pPr>
      <w:r>
        <w:t>Model A has R² = 0.641 (adjusted R² = 0.615); Model B has R² = 0.140 (adjusted R² = 0.079). For the residual-rank partial Spearman check, the association between facet density and packing shortfall after adjustment for ranked log gross 3D roof area is partial Spearman ρ = 0.622 (two-sided p = 0.00025). The density association is therefore retained after a monotonic size adjustment, while raw facet count is not independently significant in the count-plus-area model. These are robustness checks for the bounded test window, not causal or city-level estimates.</w:t>
      </w:r>
    </w:p>
    <w:sectPr>
      <w:headerReference w:type="even" r:id="rId11"/>
      <w:headerReference w:type="default" r:id="rId12"/>
      <w:footerReference w:type="default" r:id="rId13"/>
      <w:headerReference w:type="first" r:id="rId14"/>
      <w:footerReference w:type="first" r:id="rId15"/>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CD2A4" w14:textId="77777777">
      <w:pPr>
        <w:spacing w:line="240" w:lineRule="auto"/>
      </w:pPr>
      <w:r>
        <w:separator/>
      </w:r>
    </w:p>
  </w:endnote>
  <w:endnote w:type="continuationSeparator" w:id="0">
    <w:p w14:paraId="5CAAEEE4"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6D92" w14:textId="77777777">
    <w:pPr>
      <w:pStyle w:val="Footer"/>
      <w:spacing w:line="240" w:lineRule="auto"/>
      <w:jc w:val="right"/>
    </w:pPr>
    <w:r>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50513" w14:textId="77777777">
    <w:pPr>
      <w:pBdr>
        <w:top w:val="single" w:sz="4" w:space="0" w:color="000000"/>
      </w:pBdr>
      <w:tabs>
        <w:tab w:val="right" w:pos="8844"/>
      </w:tabs>
      <w:adjustRightInd w:val="0"/>
      <w:snapToGrid w:val="0"/>
      <w:spacing w:before="480" w:line="100" w:lineRule="exact"/>
      <w:jc w:val="left"/>
      <w:rPr>
        <w:i/>
        <w:iCs/>
        <w:sz w:val="16"/>
        <w:szCs w:val="16"/>
      </w:rPr>
    </w:pPr>
  </w:p>
  <w:p w14:paraId="41D07EA6" w14:textId="77777777">
    <w:pPr>
      <w:tabs>
        <w:tab w:val="right" w:pos="10466"/>
      </w:tabs>
      <w:adjustRightInd w:val="0"/>
      <w:snapToGrid w:val="0"/>
      <w:spacing w:line="240" w:lineRule="auto"/>
      <w:rPr>
        <w:iCs/>
        <w:sz w:val="16"/>
        <w:szCs w:val="16"/>
      </w:rPr>
    </w:pPr>
    <w:r>
      <w:rPr>
        <w:i/>
        <w:iCs/>
        <w:sz w:val="16"/>
        <w:szCs w:val="16"/>
      </w:rPr>
      <w:t xml:space="preserve">Electricity </w:t>
    </w:r>
    <w:r>
      <w:rPr>
        <w:b/>
        <w:bCs/>
        <w:iCs/>
        <w:sz w:val="16"/>
        <w:szCs w:val="16"/>
      </w:rPr>
      <w:t>2026</w:t>
    </w:r>
    <w:r>
      <w:rPr>
        <w:bCs/>
        <w:iCs/>
        <w:sz w:val="16"/>
        <w:szCs w:val="16"/>
      </w:rPr>
      <w:t>,</w:t>
    </w:r>
    <w:r>
      <w:rPr>
        <w:bCs/>
        <w:i/>
        <w:iCs/>
        <w:sz w:val="16"/>
        <w:szCs w:val="16"/>
      </w:rPr>
      <w:t xml:space="preserve"> </w:t>
    </w:r>
    <w:r>
      <w:rPr>
        <w:bCs/>
        <w:i/>
        <w:iCs/>
        <w:sz w:val="16"/>
        <w:szCs w:val="16"/>
      </w:rPr>
      <w:t>7</w:t>
    </w:r>
    <w:r>
      <w:rPr>
        <w:bCs/>
        <w:iCs/>
        <w:sz w:val="16"/>
        <w:szCs w:val="16"/>
      </w:rPr>
      <w:t xml:space="preserve">, </w:t>
    </w:r>
    <w:bookmarkStart w:id="3" w:name="OLE_LINK3"/>
    <w:bookmarkStart w:id="4" w:name="OLE_LINK4"/>
    <w:r>
      <w:rPr>
        <w:bCs/>
        <w:iCs/>
        <w:sz w:val="16"/>
        <w:szCs w:val="16"/>
      </w:rPr>
      <w:t>x</w:t>
    </w:r>
    <w:r>
      <w:rPr>
        <w:sz w:val="16"/>
        <w:szCs w:val="16"/>
      </w:rPr>
      <w:tab/>
    </w:r>
    <w:bookmarkEnd w:id="3"/>
    <w:bookmarkEnd w:id="4"/>
    <w:r>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DEFE2" w14:textId="77777777">
      <w:pPr>
        <w:spacing w:line="240" w:lineRule="auto"/>
      </w:pPr>
      <w:r>
        <w:separator/>
      </w:r>
    </w:p>
  </w:footnote>
  <w:footnote w:type="continuationSeparator" w:id="0">
    <w:p w14:paraId="42C001B4"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F4932" w14:textId="77777777">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D2F71" w14:textId="77777777">
    <w:pPr>
      <w:tabs>
        <w:tab w:val="right" w:pos="10466"/>
      </w:tabs>
      <w:adjustRightInd w:val="0"/>
      <w:snapToGrid w:val="0"/>
      <w:spacing w:line="240" w:lineRule="auto"/>
      <w:rPr>
        <w:sz w:val="16"/>
      </w:rPr>
    </w:pPr>
    <w:r>
      <w:rPr>
        <w:i/>
        <w:iCs/>
        <w:sz w:val="16"/>
        <w:szCs w:val="16"/>
      </w:rPr>
      <w:t xml:space="preserve">Electricity </w:t>
    </w:r>
    <w:r>
      <w:rPr>
        <w:b/>
        <w:sz w:val="16"/>
      </w:rPr>
      <w:t>2026</w:t>
    </w:r>
    <w:r>
      <w:rPr>
        <w:sz w:val="16"/>
      </w:rPr>
      <w:t>,</w:t>
    </w:r>
    <w:r>
      <w:rPr>
        <w:i/>
        <w:sz w:val="16"/>
      </w:rPr>
      <w:t xml:space="preserve"> </w:t>
    </w:r>
    <w:r>
      <w:rPr>
        <w:i/>
        <w:sz w:val="16"/>
      </w:rPr>
      <w:t>7</w:t>
    </w:r>
    <w:r>
      <w:rPr>
        <w:sz w:val="16"/>
      </w:rPr>
      <w:t>,</w:t>
    </w:r>
    <w:r>
      <w:rPr>
        <w:sz w:val="16"/>
      </w:rPr>
      <w:t xml:space="preserve"> x</w:t>
    </w:r>
    <w:r>
      <w:rPr>
        <w:sz w:val="16"/>
      </w:rPr>
      <w:t xml:space="preserve"> </w:t>
    </w:r>
    <w:r>
      <w:rPr>
        <w:sz w:val="16"/>
      </w:rPr>
      <w:t>FOR PEER REVIEW</w:t>
    </w:r>
    <w:r>
      <w:rPr>
        <w:sz w:val="16"/>
      </w:rPr>
      <w:ptab w:relativeTo="margin" w:alignment="right" w:leader="none"/>
    </w:r>
    <w:r>
      <w:rPr>
        <w:sz w:val="16"/>
      </w:rPr>
      <w:fldChar w:fldCharType="begin"/>
    </w:r>
    <w:r>
      <w:rPr>
        <w:sz w:val="16"/>
      </w:rPr>
      <w:instrText xml:space="preserve"> PAGE   \* MERGEFORMAT </w:instrText>
    </w:r>
    <w:r>
      <w:rPr>
        <w:sz w:val="16"/>
      </w:rPr>
      <w:fldChar w:fldCharType="separate"/>
    </w:r>
    <w:r>
      <w:rPr>
        <w:sz w:val="16"/>
      </w:rPr>
      <w:t>2</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8</w:t>
    </w:r>
    <w:r>
      <w:rPr>
        <w:sz w:val="16"/>
      </w:rPr>
      <w:fldChar w:fldCharType="end"/>
    </w:r>
  </w:p>
  <w:p w14:paraId="40B210CA" w14:textId="77777777">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14:paraId="7F6B7315" w14:textId="77777777">
      <w:trPr>
        <w:trHeight w:val="686"/>
      </w:trPr>
      <w:tc>
        <w:tcPr>
          <w:tcW w:w="3679" w:type="dxa"/>
          <w:vAlign w:val="center"/>
        </w:tcPr>
        <w:p w14:paraId="1A5FD28E" w14:textId="77777777">
          <w:pPr>
            <w:pStyle w:val="Header"/>
            <w:pBdr>
              <w:bottom w:val="none" w:sz="0" w:space="0" w:color="auto"/>
            </w:pBdr>
            <w:jc w:val="left"/>
            <w:rPr>
              <w:rFonts w:eastAsia="DengXian"/>
              <w:b/>
              <w:bCs/>
            </w:rPr>
          </w:pPr>
          <w:r>
            <w:rPr>
              <w:rFonts w:eastAsia="DengXian"/>
              <w:b/>
              <w:bCs/>
              <w:noProof/>
            </w:rPr>
            <w:drawing>
              <wp:inline distT="0" distB="0" distL="0" distR="0" wp14:anchorId="6DE0DC61" wp14:editId="49F9923F">
                <wp:extent cx="1429859" cy="432000"/>
                <wp:effectExtent l="0" t="0" r="0" b="6350"/>
                <wp:docPr id="849355787" name="Picture 1" descr="Journal/template logo" titl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55787" name=""/>
                        <pic:cNvPicPr/>
                      </pic:nvPicPr>
                      <pic:blipFill>
                        <a:blip r:embed="rId1"/>
                        <a:stretch>
                          <a:fillRect/>
                        </a:stretch>
                      </pic:blipFill>
                      <pic:spPr>
                        <a:xfrm>
                          <a:off x="0" y="0"/>
                          <a:ext cx="1429859" cy="432000"/>
                        </a:xfrm>
                        <a:prstGeom prst="rect">
                          <a:avLst/>
                        </a:prstGeom>
                      </pic:spPr>
                    </pic:pic>
                  </a:graphicData>
                </a:graphic>
              </wp:inline>
            </w:drawing>
          </w:r>
        </w:p>
      </w:tc>
      <w:tc>
        <w:tcPr>
          <w:tcW w:w="4535" w:type="dxa"/>
          <w:vAlign w:val="center"/>
        </w:tcPr>
        <w:p w14:paraId="691D5266" w14:textId="77777777">
          <w:pPr>
            <w:pStyle w:val="Header"/>
            <w:pBdr>
              <w:bottom w:val="none" w:sz="0" w:space="0" w:color="auto"/>
            </w:pBdr>
            <w:rPr>
              <w:rFonts w:eastAsia="DengXian"/>
              <w:b/>
              <w:bCs/>
            </w:rPr>
          </w:pPr>
        </w:p>
      </w:tc>
      <w:tc>
        <w:tcPr>
          <w:tcW w:w="2273" w:type="dxa"/>
          <w:vAlign w:val="center"/>
        </w:tcPr>
        <w:p w14:paraId="24EEFCF8" w14:textId="77777777">
          <w:pPr>
            <w:pStyle w:val="Header"/>
            <w:pBdr>
              <w:bottom w:val="none" w:sz="0" w:space="0" w:color="auto"/>
            </w:pBdr>
            <w:jc w:val="right"/>
            <w:rPr>
              <w:rFonts w:eastAsia="DengXian"/>
              <w:b/>
              <w:bCs/>
            </w:rPr>
          </w:pPr>
          <w:r>
            <w:rPr>
              <w:rFonts w:eastAsia="DengXian"/>
              <w:b/>
              <w:bCs/>
              <w:noProof/>
            </w:rPr>
            <w:drawing>
              <wp:inline distT="0" distB="0" distL="0" distR="0" wp14:anchorId="52CC2064" wp14:editId="000C4CD4">
                <wp:extent cx="540000" cy="360000"/>
                <wp:effectExtent l="0" t="0" r="0" b="2540"/>
                <wp:docPr id="507962227" name="Picture 1" descr="Journal/template logo" title="Picture 1"/>
                <wp:cNvGraphicFramePr/>
                <a:graphic xmlns:a="http://schemas.openxmlformats.org/drawingml/2006/main">
                  <a:graphicData uri="http://schemas.openxmlformats.org/drawingml/2006/picture">
                    <pic:pic xmlns:pic="http://schemas.openxmlformats.org/drawingml/2006/picture">
                      <pic:nvPicPr>
                        <pic:cNvPr id="507962227" name=""/>
                        <pic:cNvPicPr/>
                      </pic:nvPicPr>
                      <pic:blipFill>
                        <a:blip r:embed="rId2"/>
                        <a:stretch>
                          <a:fillRect/>
                        </a:stretch>
                      </pic:blipFill>
                      <pic:spPr>
                        <a:xfrm>
                          <a:off x="0" y="0"/>
                          <a:ext cx="540000" cy="360000"/>
                        </a:xfrm>
                        <a:prstGeom prst="rect">
                          <a:avLst/>
                        </a:prstGeom>
                      </pic:spPr>
                    </pic:pic>
                  </a:graphicData>
                </a:graphic>
              </wp:inline>
            </w:drawing>
          </w:r>
        </w:p>
      </w:tc>
    </w:tr>
  </w:tbl>
  <w:p w14:paraId="582AE749" w14:textId="77777777">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468F5"/>
    <w:multiLevelType w:val="hybridMultilevel"/>
    <w:tmpl w:val="70087E4E"/>
    <w:lvl w:ilvl="0" w:tplc="61544DBA">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6" w15:restartNumberingAfterBreak="0">
    <w:nsid w:val="50127736"/>
    <w:multiLevelType w:val="hybridMultilevel"/>
    <w:tmpl w:val="48D8D478"/>
    <w:lvl w:ilvl="0" w:tplc="0AD6F23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7" w15:restartNumberingAfterBreak="0">
    <w:nsid w:val="50E076B6"/>
    <w:multiLevelType w:val="hybridMultilevel"/>
    <w:tmpl w:val="4DD2E6C4"/>
    <w:lvl w:ilvl="0" w:tplc="EFFAF6DE">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F962B0"/>
    <w:multiLevelType w:val="hybridMultilevel"/>
    <w:tmpl w:val="0FCC5BAE"/>
    <w:lvl w:ilvl="0" w:tplc="47169DCC">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7158980">
    <w:abstractNumId w:val="3"/>
  </w:num>
  <w:num w:numId="2" w16cid:durableId="303631161">
    <w:abstractNumId w:val="5"/>
  </w:num>
  <w:num w:numId="3" w16cid:durableId="2080326692">
    <w:abstractNumId w:val="2"/>
  </w:num>
  <w:num w:numId="4" w16cid:durableId="182285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67039855">
    <w:abstractNumId w:val="4"/>
  </w:num>
  <w:num w:numId="6" w16cid:durableId="653142753">
    <w:abstractNumId w:val="9"/>
  </w:num>
  <w:num w:numId="7" w16cid:durableId="967778766">
    <w:abstractNumId w:val="1"/>
  </w:num>
  <w:num w:numId="8" w16cid:durableId="1979846316">
    <w:abstractNumId w:val="9"/>
  </w:num>
  <w:num w:numId="9" w16cid:durableId="304509394">
    <w:abstractNumId w:val="1"/>
  </w:num>
  <w:num w:numId="10" w16cid:durableId="1568950984">
    <w:abstractNumId w:val="9"/>
  </w:num>
  <w:num w:numId="11" w16cid:durableId="568732250">
    <w:abstractNumId w:val="1"/>
  </w:num>
  <w:num w:numId="12" w16cid:durableId="1465539544">
    <w:abstractNumId w:val="10"/>
  </w:num>
  <w:num w:numId="13" w16cid:durableId="923490195">
    <w:abstractNumId w:val="9"/>
  </w:num>
  <w:num w:numId="14" w16cid:durableId="1916013093">
    <w:abstractNumId w:val="1"/>
  </w:num>
  <w:num w:numId="15" w16cid:durableId="1617787279">
    <w:abstractNumId w:val="0"/>
  </w:num>
  <w:num w:numId="16" w16cid:durableId="1126511303">
    <w:abstractNumId w:val="8"/>
  </w:num>
  <w:num w:numId="17" w16cid:durableId="882519763">
    <w:abstractNumId w:val="0"/>
  </w:num>
  <w:num w:numId="18" w16cid:durableId="1318221334">
    <w:abstractNumId w:val="9"/>
  </w:num>
  <w:num w:numId="19" w16cid:durableId="1562596185">
    <w:abstractNumId w:val="1"/>
  </w:num>
  <w:num w:numId="20" w16cid:durableId="1517308012">
    <w:abstractNumId w:val="0"/>
  </w:num>
  <w:num w:numId="21" w16cid:durableId="2130733693">
    <w:abstractNumId w:val="7"/>
  </w:num>
  <w:num w:numId="22" w16cid:durableId="1331180343">
    <w:abstractNumId w:val="6"/>
  </w:num>
  <w:num w:numId="23" w16cid:durableId="192834486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D81"/>
    <w:rsid w:val="00000B88"/>
    <w:rsid w:val="00000C1E"/>
    <w:rsid w:val="000067CA"/>
    <w:rsid w:val="000075B7"/>
    <w:rsid w:val="000140F2"/>
    <w:rsid w:val="00031733"/>
    <w:rsid w:val="00033594"/>
    <w:rsid w:val="00056D71"/>
    <w:rsid w:val="000A00E1"/>
    <w:rsid w:val="000A110D"/>
    <w:rsid w:val="000A4E5D"/>
    <w:rsid w:val="000C7AB4"/>
    <w:rsid w:val="000D5F18"/>
    <w:rsid w:val="000E0476"/>
    <w:rsid w:val="001002E9"/>
    <w:rsid w:val="0010747B"/>
    <w:rsid w:val="00110906"/>
    <w:rsid w:val="0011578E"/>
    <w:rsid w:val="00121C74"/>
    <w:rsid w:val="00142D3E"/>
    <w:rsid w:val="00145D0D"/>
    <w:rsid w:val="00154F01"/>
    <w:rsid w:val="00157E7C"/>
    <w:rsid w:val="0018252D"/>
    <w:rsid w:val="001838B0"/>
    <w:rsid w:val="001B59AA"/>
    <w:rsid w:val="001C270E"/>
    <w:rsid w:val="001D00F2"/>
    <w:rsid w:val="001D2666"/>
    <w:rsid w:val="001E2AEB"/>
    <w:rsid w:val="001E4C57"/>
    <w:rsid w:val="001F193E"/>
    <w:rsid w:val="002054BD"/>
    <w:rsid w:val="002112FC"/>
    <w:rsid w:val="00226D97"/>
    <w:rsid w:val="00235EA1"/>
    <w:rsid w:val="00252C6A"/>
    <w:rsid w:val="002743A9"/>
    <w:rsid w:val="002818B1"/>
    <w:rsid w:val="00282A3D"/>
    <w:rsid w:val="00283068"/>
    <w:rsid w:val="002905B3"/>
    <w:rsid w:val="00293547"/>
    <w:rsid w:val="00295161"/>
    <w:rsid w:val="0029609B"/>
    <w:rsid w:val="002A4156"/>
    <w:rsid w:val="002A7E0A"/>
    <w:rsid w:val="002B42EC"/>
    <w:rsid w:val="002C2AD9"/>
    <w:rsid w:val="002D480C"/>
    <w:rsid w:val="002E228E"/>
    <w:rsid w:val="002F57DE"/>
    <w:rsid w:val="00310C53"/>
    <w:rsid w:val="00326141"/>
    <w:rsid w:val="00351911"/>
    <w:rsid w:val="003658E4"/>
    <w:rsid w:val="00382883"/>
    <w:rsid w:val="00390931"/>
    <w:rsid w:val="003B1A90"/>
    <w:rsid w:val="003B5DE5"/>
    <w:rsid w:val="003E34ED"/>
    <w:rsid w:val="003F4DA0"/>
    <w:rsid w:val="00401D30"/>
    <w:rsid w:val="00414D5A"/>
    <w:rsid w:val="00450E36"/>
    <w:rsid w:val="0048153C"/>
    <w:rsid w:val="00483E5F"/>
    <w:rsid w:val="00492761"/>
    <w:rsid w:val="00495861"/>
    <w:rsid w:val="004A7BA7"/>
    <w:rsid w:val="004C723B"/>
    <w:rsid w:val="004D0002"/>
    <w:rsid w:val="004E00CF"/>
    <w:rsid w:val="004E4638"/>
    <w:rsid w:val="00507625"/>
    <w:rsid w:val="0052088D"/>
    <w:rsid w:val="00534E89"/>
    <w:rsid w:val="00535B2C"/>
    <w:rsid w:val="00542A73"/>
    <w:rsid w:val="0054383C"/>
    <w:rsid w:val="00545B32"/>
    <w:rsid w:val="00560B0C"/>
    <w:rsid w:val="00576FD6"/>
    <w:rsid w:val="00581310"/>
    <w:rsid w:val="00586C1B"/>
    <w:rsid w:val="005A5FAD"/>
    <w:rsid w:val="005B4CDA"/>
    <w:rsid w:val="005D2A28"/>
    <w:rsid w:val="005E239C"/>
    <w:rsid w:val="005E5C6F"/>
    <w:rsid w:val="00606837"/>
    <w:rsid w:val="00606CA2"/>
    <w:rsid w:val="00614FF0"/>
    <w:rsid w:val="006449F0"/>
    <w:rsid w:val="00647BC3"/>
    <w:rsid w:val="006607CE"/>
    <w:rsid w:val="006702E5"/>
    <w:rsid w:val="006722A9"/>
    <w:rsid w:val="00672B75"/>
    <w:rsid w:val="006734E7"/>
    <w:rsid w:val="00682036"/>
    <w:rsid w:val="00684D2D"/>
    <w:rsid w:val="00692393"/>
    <w:rsid w:val="00697D60"/>
    <w:rsid w:val="006A02E4"/>
    <w:rsid w:val="006A6CEC"/>
    <w:rsid w:val="006C413D"/>
    <w:rsid w:val="006E6E26"/>
    <w:rsid w:val="006F4271"/>
    <w:rsid w:val="0070389B"/>
    <w:rsid w:val="00715ADB"/>
    <w:rsid w:val="00717805"/>
    <w:rsid w:val="00726EB1"/>
    <w:rsid w:val="00727027"/>
    <w:rsid w:val="007278EE"/>
    <w:rsid w:val="00731972"/>
    <w:rsid w:val="00734936"/>
    <w:rsid w:val="00737712"/>
    <w:rsid w:val="00744DDF"/>
    <w:rsid w:val="00751104"/>
    <w:rsid w:val="00757FB1"/>
    <w:rsid w:val="00773E68"/>
    <w:rsid w:val="007824CC"/>
    <w:rsid w:val="007907E9"/>
    <w:rsid w:val="0079128E"/>
    <w:rsid w:val="007B6A78"/>
    <w:rsid w:val="007E46E6"/>
    <w:rsid w:val="007F4841"/>
    <w:rsid w:val="00810533"/>
    <w:rsid w:val="00812671"/>
    <w:rsid w:val="00815517"/>
    <w:rsid w:val="008170D8"/>
    <w:rsid w:val="008245B9"/>
    <w:rsid w:val="00830619"/>
    <w:rsid w:val="00841015"/>
    <w:rsid w:val="00865AC6"/>
    <w:rsid w:val="00880166"/>
    <w:rsid w:val="00886E27"/>
    <w:rsid w:val="00894302"/>
    <w:rsid w:val="008947E5"/>
    <w:rsid w:val="008965CE"/>
    <w:rsid w:val="008A784E"/>
    <w:rsid w:val="008D2869"/>
    <w:rsid w:val="008E4521"/>
    <w:rsid w:val="00901D0E"/>
    <w:rsid w:val="00904381"/>
    <w:rsid w:val="0090542F"/>
    <w:rsid w:val="00926CDC"/>
    <w:rsid w:val="009349DC"/>
    <w:rsid w:val="00942D2D"/>
    <w:rsid w:val="00950F48"/>
    <w:rsid w:val="00962632"/>
    <w:rsid w:val="00962E99"/>
    <w:rsid w:val="00964DD3"/>
    <w:rsid w:val="00966ECA"/>
    <w:rsid w:val="00982766"/>
    <w:rsid w:val="009870CD"/>
    <w:rsid w:val="009A2576"/>
    <w:rsid w:val="009A614E"/>
    <w:rsid w:val="009B4897"/>
    <w:rsid w:val="009C32DF"/>
    <w:rsid w:val="009C38A0"/>
    <w:rsid w:val="009D3ACF"/>
    <w:rsid w:val="009E50D2"/>
    <w:rsid w:val="009F2888"/>
    <w:rsid w:val="009F70E6"/>
    <w:rsid w:val="00A17F6A"/>
    <w:rsid w:val="00A338C2"/>
    <w:rsid w:val="00A3480C"/>
    <w:rsid w:val="00A35681"/>
    <w:rsid w:val="00A455F3"/>
    <w:rsid w:val="00A562E7"/>
    <w:rsid w:val="00A6414D"/>
    <w:rsid w:val="00A824A0"/>
    <w:rsid w:val="00A9758F"/>
    <w:rsid w:val="00AC176A"/>
    <w:rsid w:val="00AC595D"/>
    <w:rsid w:val="00AD2D10"/>
    <w:rsid w:val="00B06EC2"/>
    <w:rsid w:val="00B23DF9"/>
    <w:rsid w:val="00B30CF0"/>
    <w:rsid w:val="00B374E3"/>
    <w:rsid w:val="00B5265F"/>
    <w:rsid w:val="00B6676D"/>
    <w:rsid w:val="00B743B4"/>
    <w:rsid w:val="00B759DB"/>
    <w:rsid w:val="00B768A8"/>
    <w:rsid w:val="00B97E6A"/>
    <w:rsid w:val="00BA00AA"/>
    <w:rsid w:val="00BA09E3"/>
    <w:rsid w:val="00BD0F41"/>
    <w:rsid w:val="00BD31A8"/>
    <w:rsid w:val="00BD65C8"/>
    <w:rsid w:val="00BE0DE5"/>
    <w:rsid w:val="00BF1FCB"/>
    <w:rsid w:val="00C052ED"/>
    <w:rsid w:val="00C0746A"/>
    <w:rsid w:val="00C27A85"/>
    <w:rsid w:val="00C3429E"/>
    <w:rsid w:val="00C4009A"/>
    <w:rsid w:val="00C53A8F"/>
    <w:rsid w:val="00C66CC4"/>
    <w:rsid w:val="00C738CC"/>
    <w:rsid w:val="00C81114"/>
    <w:rsid w:val="00CA261E"/>
    <w:rsid w:val="00CC3D28"/>
    <w:rsid w:val="00CC54C7"/>
    <w:rsid w:val="00CC5F55"/>
    <w:rsid w:val="00CC7616"/>
    <w:rsid w:val="00CD2B43"/>
    <w:rsid w:val="00CD5EBE"/>
    <w:rsid w:val="00CF3E5E"/>
    <w:rsid w:val="00CF5F9B"/>
    <w:rsid w:val="00D013C7"/>
    <w:rsid w:val="00D12E51"/>
    <w:rsid w:val="00D154A3"/>
    <w:rsid w:val="00D236DF"/>
    <w:rsid w:val="00D31E11"/>
    <w:rsid w:val="00D32494"/>
    <w:rsid w:val="00D404EE"/>
    <w:rsid w:val="00D40BDD"/>
    <w:rsid w:val="00D45883"/>
    <w:rsid w:val="00D470EE"/>
    <w:rsid w:val="00D54B28"/>
    <w:rsid w:val="00D55C50"/>
    <w:rsid w:val="00D77B5F"/>
    <w:rsid w:val="00D870BC"/>
    <w:rsid w:val="00DA4ED7"/>
    <w:rsid w:val="00DB4730"/>
    <w:rsid w:val="00DB6F5D"/>
    <w:rsid w:val="00DD7356"/>
    <w:rsid w:val="00DE076D"/>
    <w:rsid w:val="00DE1187"/>
    <w:rsid w:val="00DE2D43"/>
    <w:rsid w:val="00E07D1C"/>
    <w:rsid w:val="00E10329"/>
    <w:rsid w:val="00E25257"/>
    <w:rsid w:val="00E3077B"/>
    <w:rsid w:val="00E363DA"/>
    <w:rsid w:val="00E41A71"/>
    <w:rsid w:val="00E45A66"/>
    <w:rsid w:val="00E468FC"/>
    <w:rsid w:val="00E52BEC"/>
    <w:rsid w:val="00E66CBF"/>
    <w:rsid w:val="00E77D81"/>
    <w:rsid w:val="00E95A78"/>
    <w:rsid w:val="00EB11F8"/>
    <w:rsid w:val="00EC1E80"/>
    <w:rsid w:val="00EC36E6"/>
    <w:rsid w:val="00ED0313"/>
    <w:rsid w:val="00EE026C"/>
    <w:rsid w:val="00F03618"/>
    <w:rsid w:val="00F15844"/>
    <w:rsid w:val="00F15E1D"/>
    <w:rsid w:val="00F16E57"/>
    <w:rsid w:val="00F20B1E"/>
    <w:rsid w:val="00F2618B"/>
    <w:rsid w:val="00F34FEE"/>
    <w:rsid w:val="00F7266F"/>
    <w:rsid w:val="00F83944"/>
    <w:rsid w:val="00F963E8"/>
    <w:rsid w:val="00F9793E"/>
    <w:rsid w:val="00FA4027"/>
    <w:rsid w:val="00FA5ACB"/>
    <w:rsid w:val="00FA6861"/>
    <w:rsid w:val="00FB0EA2"/>
    <w:rsid w:val="00FB1970"/>
    <w:rsid w:val="00FB5B61"/>
    <w:rsid w:val="00FC53D0"/>
    <w:rsid w:val="00FF2E1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823D863"/>
  <w15:chartTrackingRefBased/>
  <w15:docId w15:val="{A0A9F132-7CCF-4FCE-9256-03168AD60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C6F"/>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5E5C6F"/>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5E5C6F"/>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5E5C6F"/>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5E5C6F"/>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5E5C6F"/>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5E5C6F"/>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5E5C6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5E5C6F"/>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D77B5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5E5C6F"/>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5E5C6F"/>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5E5C6F"/>
    <w:rPr>
      <w:rFonts w:ascii="Palatino Linotype" w:hAnsi="Palatino Linotype"/>
      <w:noProof/>
      <w:color w:val="000000"/>
      <w:szCs w:val="18"/>
    </w:rPr>
  </w:style>
  <w:style w:type="paragraph" w:styleId="Header">
    <w:name w:val="header"/>
    <w:basedOn w:val="Normal"/>
    <w:link w:val="HeaderChar"/>
    <w:uiPriority w:val="99"/>
    <w:rsid w:val="005E5C6F"/>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5E5C6F"/>
    <w:rPr>
      <w:rFonts w:ascii="Palatino Linotype" w:hAnsi="Palatino Linotype"/>
      <w:noProof/>
      <w:color w:val="000000"/>
      <w:szCs w:val="18"/>
    </w:rPr>
  </w:style>
  <w:style w:type="paragraph" w:customStyle="1" w:styleId="MDPI32textnoindent">
    <w:name w:val="MDPI_3.2_text_no_indent"/>
    <w:basedOn w:val="MDPI31text"/>
    <w:qFormat/>
    <w:rsid w:val="005E5C6F"/>
    <w:pPr>
      <w:ind w:firstLine="0"/>
    </w:pPr>
  </w:style>
  <w:style w:type="paragraph" w:customStyle="1" w:styleId="MDPI31text">
    <w:name w:val="MDPI_3.1_text"/>
    <w:qFormat/>
    <w:rsid w:val="006A02E4"/>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5E5C6F"/>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5E5C6F"/>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5E5C6F"/>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606837"/>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606837"/>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5E5C6F"/>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5E5C6F"/>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5E5C6F"/>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D154A3"/>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5E5C6F"/>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5E5C6F"/>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5E5C6F"/>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5E5C6F"/>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5E5C6F"/>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5E5C6F"/>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734936"/>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5E5C6F"/>
    <w:rPr>
      <w:rFonts w:cs="Tahoma"/>
      <w:szCs w:val="18"/>
    </w:rPr>
  </w:style>
  <w:style w:type="character" w:customStyle="1" w:styleId="BalloonTextChar">
    <w:name w:val="Balloon Text Char"/>
    <w:link w:val="BalloonText"/>
    <w:uiPriority w:val="99"/>
    <w:rsid w:val="005E5C6F"/>
    <w:rPr>
      <w:rFonts w:ascii="Palatino Linotype" w:hAnsi="Palatino Linotype" w:cs="Tahoma"/>
      <w:noProof/>
      <w:color w:val="000000"/>
      <w:szCs w:val="18"/>
    </w:rPr>
  </w:style>
  <w:style w:type="character" w:styleId="LineNumber">
    <w:name w:val="line number"/>
    <w:uiPriority w:val="99"/>
    <w:rsid w:val="003B5DE5"/>
    <w:rPr>
      <w:rFonts w:ascii="Palatino Linotype" w:hAnsi="Palatino Linotype"/>
      <w:sz w:val="16"/>
    </w:rPr>
  </w:style>
  <w:style w:type="table" w:customStyle="1" w:styleId="MDPI41threelinetable">
    <w:name w:val="MDPI_4.1_three_line_table"/>
    <w:basedOn w:val="TableNormal"/>
    <w:uiPriority w:val="99"/>
    <w:rsid w:val="005E5C6F"/>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5E5C6F"/>
    <w:rPr>
      <w:color w:val="0000FF"/>
      <w:u w:val="single"/>
    </w:rPr>
  </w:style>
  <w:style w:type="character" w:styleId="UnresolvedMention">
    <w:name w:val="Unresolved Mention"/>
    <w:uiPriority w:val="99"/>
    <w:semiHidden/>
    <w:unhideWhenUsed/>
    <w:rsid w:val="007907E9"/>
    <w:rPr>
      <w:color w:val="605E5C"/>
      <w:shd w:val="clear" w:color="auto" w:fill="E1DFDD"/>
    </w:rPr>
  </w:style>
  <w:style w:type="table" w:styleId="PlainTable4">
    <w:name w:val="Plain Table 4"/>
    <w:basedOn w:val="TableNormal"/>
    <w:uiPriority w:val="44"/>
    <w:rsid w:val="0081267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5E5C6F"/>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5E5C6F"/>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5E5C6F"/>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5E5C6F"/>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5E5C6F"/>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5E5C6F"/>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0A4E5D"/>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5E5C6F"/>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5E5C6F"/>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DB4730"/>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5E5C6F"/>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5E5C6F"/>
  </w:style>
  <w:style w:type="paragraph" w:styleId="Bibliography">
    <w:name w:val="Bibliography"/>
    <w:basedOn w:val="Normal"/>
    <w:next w:val="Normal"/>
    <w:uiPriority w:val="37"/>
    <w:semiHidden/>
    <w:unhideWhenUsed/>
    <w:rsid w:val="005E5C6F"/>
  </w:style>
  <w:style w:type="paragraph" w:styleId="BodyText">
    <w:name w:val="Body Text"/>
    <w:link w:val="BodyTextChar"/>
    <w:rsid w:val="005E5C6F"/>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5E5C6F"/>
    <w:rPr>
      <w:rFonts w:ascii="Palatino Linotype" w:hAnsi="Palatino Linotype"/>
      <w:color w:val="000000"/>
      <w:sz w:val="24"/>
      <w:lang w:eastAsia="de-DE"/>
    </w:rPr>
  </w:style>
  <w:style w:type="character" w:styleId="CommentReference">
    <w:name w:val="annotation reference"/>
    <w:rsid w:val="005E5C6F"/>
    <w:rPr>
      <w:sz w:val="21"/>
      <w:szCs w:val="21"/>
    </w:rPr>
  </w:style>
  <w:style w:type="paragraph" w:styleId="CommentText">
    <w:name w:val="annotation text"/>
    <w:basedOn w:val="Normal"/>
    <w:link w:val="CommentTextChar"/>
    <w:rsid w:val="005E5C6F"/>
  </w:style>
  <w:style w:type="character" w:customStyle="1" w:styleId="CommentTextChar">
    <w:name w:val="Comment Text Char"/>
    <w:link w:val="CommentText"/>
    <w:rsid w:val="005E5C6F"/>
    <w:rPr>
      <w:rFonts w:ascii="Palatino Linotype" w:hAnsi="Palatino Linotype"/>
      <w:noProof/>
      <w:color w:val="000000"/>
    </w:rPr>
  </w:style>
  <w:style w:type="paragraph" w:styleId="CommentSubject">
    <w:name w:val="annotation subject"/>
    <w:basedOn w:val="CommentText"/>
    <w:next w:val="CommentText"/>
    <w:link w:val="CommentSubjectChar"/>
    <w:rsid w:val="005E5C6F"/>
    <w:rPr>
      <w:b/>
      <w:bCs/>
    </w:rPr>
  </w:style>
  <w:style w:type="character" w:customStyle="1" w:styleId="CommentSubjectChar">
    <w:name w:val="Comment Subject Char"/>
    <w:link w:val="CommentSubject"/>
    <w:rsid w:val="005E5C6F"/>
    <w:rPr>
      <w:rFonts w:ascii="Palatino Linotype" w:hAnsi="Palatino Linotype"/>
      <w:b/>
      <w:bCs/>
      <w:noProof/>
      <w:color w:val="000000"/>
    </w:rPr>
  </w:style>
  <w:style w:type="character" w:styleId="EndnoteReference">
    <w:name w:val="endnote reference"/>
    <w:rsid w:val="005E5C6F"/>
    <w:rPr>
      <w:vertAlign w:val="superscript"/>
    </w:rPr>
  </w:style>
  <w:style w:type="paragraph" w:styleId="EndnoteText">
    <w:name w:val="endnote text"/>
    <w:basedOn w:val="Normal"/>
    <w:link w:val="EndnoteTextChar"/>
    <w:semiHidden/>
    <w:unhideWhenUsed/>
    <w:rsid w:val="005E5C6F"/>
    <w:pPr>
      <w:spacing w:line="240" w:lineRule="auto"/>
    </w:pPr>
  </w:style>
  <w:style w:type="character" w:customStyle="1" w:styleId="EndnoteTextChar">
    <w:name w:val="Endnote Text Char"/>
    <w:link w:val="EndnoteText"/>
    <w:semiHidden/>
    <w:rsid w:val="005E5C6F"/>
    <w:rPr>
      <w:rFonts w:ascii="Palatino Linotype" w:hAnsi="Palatino Linotype"/>
      <w:noProof/>
      <w:color w:val="000000"/>
    </w:rPr>
  </w:style>
  <w:style w:type="character" w:styleId="FollowedHyperlink">
    <w:name w:val="FollowedHyperlink"/>
    <w:rsid w:val="005E5C6F"/>
    <w:rPr>
      <w:color w:val="954F72"/>
      <w:u w:val="single"/>
    </w:rPr>
  </w:style>
  <w:style w:type="paragraph" w:styleId="FootnoteText">
    <w:name w:val="footnote text"/>
    <w:basedOn w:val="Normal"/>
    <w:link w:val="FootnoteTextChar"/>
    <w:semiHidden/>
    <w:unhideWhenUsed/>
    <w:rsid w:val="005E5C6F"/>
    <w:pPr>
      <w:spacing w:line="240" w:lineRule="auto"/>
    </w:pPr>
  </w:style>
  <w:style w:type="character" w:customStyle="1" w:styleId="FootnoteTextChar">
    <w:name w:val="Footnote Text Char"/>
    <w:link w:val="FootnoteText"/>
    <w:semiHidden/>
    <w:rsid w:val="005E5C6F"/>
    <w:rPr>
      <w:rFonts w:ascii="Palatino Linotype" w:hAnsi="Palatino Linotype"/>
      <w:noProof/>
      <w:color w:val="000000"/>
    </w:rPr>
  </w:style>
  <w:style w:type="paragraph" w:styleId="NormalWeb">
    <w:name w:val="Normal (Web)"/>
    <w:basedOn w:val="Normal"/>
    <w:uiPriority w:val="99"/>
    <w:rsid w:val="005E5C6F"/>
    <w:rPr>
      <w:szCs w:val="24"/>
    </w:rPr>
  </w:style>
  <w:style w:type="paragraph" w:customStyle="1" w:styleId="MsoFootnoteText0">
    <w:name w:val="MsoFootnoteText"/>
    <w:basedOn w:val="NormalWeb"/>
    <w:qFormat/>
    <w:rsid w:val="005E5C6F"/>
    <w:rPr>
      <w:rFonts w:ascii="Times New Roman" w:hAnsi="Times New Roman"/>
    </w:rPr>
  </w:style>
  <w:style w:type="character" w:styleId="PageNumber">
    <w:name w:val="page number"/>
    <w:rsid w:val="005E5C6F"/>
  </w:style>
  <w:style w:type="character" w:styleId="PlaceholderText">
    <w:name w:val="Placeholder Text"/>
    <w:uiPriority w:val="99"/>
    <w:semiHidden/>
    <w:rsid w:val="005E5C6F"/>
    <w:rPr>
      <w:color w:val="808080"/>
    </w:rPr>
  </w:style>
  <w:style w:type="paragraph" w:customStyle="1" w:styleId="MDPI71footnotes">
    <w:name w:val="MDPI_7.1_footnotes"/>
    <w:qFormat/>
    <w:rsid w:val="00F15844"/>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4E00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creativecommons.org/licenses/by/4.0/" TargetMode="Externa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img.mdpi.org/data/contributor-role-instruction.pdf"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electricity-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electricity-template.dot</Template>
  <TotalTime>0</TotalTime>
  <Pages>6</Pages>
  <Words>2160</Words>
  <Characters>12318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 Quantifying Roof-Facet Fragmentation Effects on Rooftop PV Packing Using LoD2 Geometry</dc:title>
  <dc:subject>Supplementary Materials for Electricity</dc:subject>
  <dc:creator/>
  <cp:keywords/>
  <dc:description/>
  <cp:lastModifiedBy/>
  <cp:revision>1</cp:revision>
  <dcterms:created xsi:type="dcterms:W3CDTF">2026-09-13T13:07:00Z</dcterms:created>
  <dcterms:modified xsi:type="dcterms:W3CDTF">2026-09-13T13:07:00Z</dcterms:modified>
</cp:coreProperties>
</file>