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id w:val="-829136731"/>
        <w:docPartObj>
          <w:docPartGallery w:val="Cover Pages"/>
          <w:docPartUnique/>
        </w:docPartObj>
      </w:sdtPr>
      <w:sdtContent>
        <w:p w14:paraId="27E44B87" w14:textId="262151C4" w:rsidR="00A67133" w:rsidRDefault="00A67133">
          <w:r>
            <w:rPr>
              <w:noProof/>
            </w:rPr>
            <mc:AlternateContent>
              <mc:Choice Requires="wpg">
                <w:drawing>
                  <wp:anchor distT="0" distB="0" distL="114300" distR="114300" simplePos="0" relativeHeight="251694080" behindDoc="1" locked="0" layoutInCell="1" allowOverlap="1" wp14:anchorId="7C32433F" wp14:editId="2F4AB37C">
                    <wp:simplePos x="0" y="0"/>
                    <wp:positionH relativeFrom="page">
                      <wp:align>center</wp:align>
                    </wp:positionH>
                    <wp:positionV relativeFrom="page">
                      <wp:align>center</wp:align>
                    </wp:positionV>
                    <wp:extent cx="6864824" cy="9123528"/>
                    <wp:effectExtent l="0" t="0" r="2540" b="635"/>
                    <wp:wrapNone/>
                    <wp:docPr id="193" name="Group 198"/>
                    <wp:cNvGraphicFramePr/>
                    <a:graphic xmlns:a="http://schemas.openxmlformats.org/drawingml/2006/main">
                      <a:graphicData uri="http://schemas.microsoft.com/office/word/2010/wordprocessingGroup">
                        <wpg:wgp>
                          <wpg:cNvGrpSpPr/>
                          <wpg:grpSpPr>
                            <a:xfrm>
                              <a:off x="0" y="0"/>
                              <a:ext cx="6864824" cy="9123528"/>
                              <a:chOff x="0" y="0"/>
                              <a:chExt cx="6864824" cy="9123528"/>
                            </a:xfrm>
                          </wpg:grpSpPr>
                          <wps:wsp>
                            <wps:cNvPr id="194" name="Rectangle 194"/>
                            <wps:cNvSpPr/>
                            <wps:spPr>
                              <a:xfrm>
                                <a:off x="0" y="0"/>
                                <a:ext cx="6858000" cy="1371600"/>
                              </a:xfrm>
                              <a:prstGeom prst="rect">
                                <a:avLst/>
                              </a:prstGeom>
                              <a:solidFill>
                                <a:schemeClr val="accent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95" name="Rectangle 195"/>
                            <wps:cNvSpPr/>
                            <wps:spPr>
                              <a:xfrm>
                                <a:off x="0" y="4094328"/>
                                <a:ext cx="6858000" cy="5029200"/>
                              </a:xfrm>
                              <a:prstGeom prst="rect">
                                <a:avLst/>
                              </a:prstGeom>
                              <a:solidFill>
                                <a:schemeClr val="accent1"/>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sdt>
                                  <w:sdtPr>
                                    <w:rPr>
                                      <w:color w:val="FFFFFF" w:themeColor="background1"/>
                                    </w:rPr>
                                    <w:alias w:val="Author"/>
                                    <w:tag w:val=""/>
                                    <w:id w:val="945428907"/>
                                    <w:dataBinding w:prefixMappings="xmlns:ns0='http://purl.org/dc/elements/1.1/' xmlns:ns1='http://schemas.openxmlformats.org/package/2006/metadata/core-properties' " w:xpath="/ns1:coreProperties[1]/ns0:creator[1]" w:storeItemID="{6C3C8BC8-F283-45AE-878A-BAB7291924A1}"/>
                                    <w:text/>
                                  </w:sdtPr>
                                  <w:sdtContent>
                                    <w:p w14:paraId="70BCFE61" w14:textId="3EA6DEAA" w:rsidR="00A67133" w:rsidRDefault="00A67133">
                                      <w:pPr>
                                        <w:pStyle w:val="NoSpacing"/>
                                        <w:spacing w:before="120"/>
                                        <w:jc w:val="center"/>
                                        <w:rPr>
                                          <w:color w:val="FFFFFF" w:themeColor="background1"/>
                                        </w:rPr>
                                      </w:pPr>
                                      <w:r>
                                        <w:rPr>
                                          <w:color w:val="FFFFFF" w:themeColor="background1"/>
                                        </w:rPr>
                                        <w:t>Maheen Khan</w:t>
                                      </w:r>
                                    </w:p>
                                  </w:sdtContent>
                                </w:sdt>
                                <w:p w14:paraId="1D77BB36" w14:textId="2E06D26B" w:rsidR="00A67133" w:rsidRDefault="00000000">
                                  <w:pPr>
                                    <w:pStyle w:val="NoSpacing"/>
                                    <w:spacing w:before="120"/>
                                    <w:jc w:val="center"/>
                                    <w:rPr>
                                      <w:color w:val="FFFFFF" w:themeColor="background1"/>
                                    </w:rPr>
                                  </w:pPr>
                                  <w:sdt>
                                    <w:sdtPr>
                                      <w:rPr>
                                        <w:caps/>
                                        <w:color w:val="FFFFFF" w:themeColor="background1"/>
                                      </w:rPr>
                                      <w:alias w:val="Company"/>
                                      <w:tag w:val=""/>
                                      <w:id w:val="1618182777"/>
                                      <w:dataBinding w:prefixMappings="xmlns:ns0='http://schemas.openxmlformats.org/officeDocument/2006/extended-properties' " w:xpath="/ns0:Properties[1]/ns0:Company[1]" w:storeItemID="{6668398D-A668-4E3E-A5EB-62B293D839F1}"/>
                                      <w:text/>
                                    </w:sdtPr>
                                    <w:sdtContent>
                                      <w:r w:rsidR="00A67133">
                                        <w:rPr>
                                          <w:caps/>
                                          <w:color w:val="FFFFFF" w:themeColor="background1"/>
                                        </w:rPr>
                                        <w:t>30021268</w:t>
                                      </w:r>
                                    </w:sdtContent>
                                  </w:sdt>
                                  <w:r w:rsidR="00A67133">
                                    <w:rPr>
                                      <w:color w:val="FFFFFF" w:themeColor="background1"/>
                                    </w:rPr>
                                    <w:t>  </w:t>
                                  </w:r>
                                  <w:sdt>
                                    <w:sdtPr>
                                      <w:rPr>
                                        <w:color w:val="FFFFFF" w:themeColor="background1"/>
                                      </w:rPr>
                                      <w:alias w:val="Address"/>
                                      <w:tag w:val=""/>
                                      <w:id w:val="-253358678"/>
                                      <w:dataBinding w:prefixMappings="xmlns:ns0='http://schemas.microsoft.com/office/2006/coverPageProps' " w:xpath="/ns0:CoverPageProperties[1]/ns0:CompanyAddress[1]" w:storeItemID="{55AF091B-3C7A-41E3-B477-F2FDAA23CFDA}"/>
                                      <w:text/>
                                    </w:sdtPr>
                                    <w:sdtContent>
                                      <w:r w:rsidR="00A67133">
                                        <w:rPr>
                                          <w:color w:val="FFFFFF" w:themeColor="background1"/>
                                        </w:rPr>
                                        <w:t>Henley Business School</w:t>
                                      </w:r>
                                    </w:sdtContent>
                                  </w:sdt>
                                </w:p>
                              </w:txbxContent>
                            </wps:txbx>
                            <wps:bodyPr rot="0" spcFirstLastPara="0" vertOverflow="overflow" horzOverflow="overflow" vert="horz" wrap="square" lIns="457200" tIns="731520" rIns="457200" bIns="457200" numCol="1" spcCol="0" rtlCol="0" fromWordArt="0" anchor="b" anchorCtr="0" forceAA="0" compatLnSpc="1">
                              <a:prstTxWarp prst="textNoShape">
                                <a:avLst/>
                              </a:prstTxWarp>
                              <a:noAutofit/>
                            </wps:bodyPr>
                          </wps:wsp>
                          <wps:wsp>
                            <wps:cNvPr id="196" name="Text Box 196"/>
                            <wps:cNvSpPr txBox="1"/>
                            <wps:spPr>
                              <a:xfrm>
                                <a:off x="6824" y="1371600"/>
                                <a:ext cx="6858000" cy="2722728"/>
                              </a:xfrm>
                              <a:prstGeom prst="rect">
                                <a:avLst/>
                              </a:prstGeom>
                              <a:solidFill>
                                <a:schemeClr val="bg1"/>
                              </a:solid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rFonts w:asciiTheme="majorHAnsi" w:eastAsiaTheme="majorEastAsia" w:hAnsiTheme="majorHAnsi" w:cstheme="majorBidi"/>
                                      <w:caps/>
                                      <w:color w:val="156082" w:themeColor="accent1"/>
                                      <w:sz w:val="72"/>
                                      <w:szCs w:val="72"/>
                                    </w:rPr>
                                    <w:alias w:val="Title"/>
                                    <w:tag w:val=""/>
                                    <w:id w:val="-9991715"/>
                                    <w:dataBinding w:prefixMappings="xmlns:ns0='http://purl.org/dc/elements/1.1/' xmlns:ns1='http://schemas.openxmlformats.org/package/2006/metadata/core-properties' " w:xpath="/ns1:coreProperties[1]/ns0:title[1]" w:storeItemID="{6C3C8BC8-F283-45AE-878A-BAB7291924A1}"/>
                                    <w:text/>
                                  </w:sdtPr>
                                  <w:sdtContent>
                                    <w:p w14:paraId="191B0AFE" w14:textId="6C9FB2BD" w:rsidR="00A67133" w:rsidRDefault="0075284C">
                                      <w:pPr>
                                        <w:pStyle w:val="NoSpacing"/>
                                        <w:jc w:val="center"/>
                                        <w:rPr>
                                          <w:rFonts w:asciiTheme="majorHAnsi" w:eastAsiaTheme="majorEastAsia" w:hAnsiTheme="majorHAnsi" w:cstheme="majorBidi"/>
                                          <w:caps/>
                                          <w:color w:val="156082" w:themeColor="accent1"/>
                                          <w:sz w:val="72"/>
                                          <w:szCs w:val="72"/>
                                        </w:rPr>
                                      </w:pPr>
                                      <w:r>
                                        <w:rPr>
                                          <w:rFonts w:asciiTheme="majorHAnsi" w:eastAsiaTheme="majorEastAsia" w:hAnsiTheme="majorHAnsi" w:cstheme="majorBidi"/>
                                          <w:caps/>
                                          <w:color w:val="156082" w:themeColor="accent1"/>
                                          <w:sz w:val="72"/>
                                          <w:szCs w:val="72"/>
                                        </w:rPr>
                                        <w:t>Financial Analysis Project</w:t>
                                      </w:r>
                                      <w:r w:rsidR="003D4266">
                                        <w:rPr>
                                          <w:rFonts w:asciiTheme="majorHAnsi" w:eastAsiaTheme="majorEastAsia" w:hAnsiTheme="majorHAnsi" w:cstheme="majorBidi"/>
                                          <w:caps/>
                                          <w:color w:val="156082" w:themeColor="accent1"/>
                                          <w:sz w:val="72"/>
                                          <w:szCs w:val="72"/>
                                        </w:rPr>
                                        <w:t>: Investigating Speculative Bubbles</w:t>
                                      </w:r>
                                    </w:p>
                                  </w:sdtContent>
                                </w:sdt>
                              </w:txbxContent>
                            </wps:txbx>
                            <wps:bodyPr rot="0" spcFirstLastPara="0" vertOverflow="overflow" horzOverflow="overflow" vert="horz" wrap="square" lIns="457200" tIns="91440" rIns="457200" bIns="91440" numCol="1" spcCol="0" rtlCol="0" fromWordArt="0" anchor="ctr" anchorCtr="0" forceAA="0" compatLnSpc="1">
                              <a:prstTxWarp prst="textNoShape">
                                <a:avLst/>
                              </a:prstTxWarp>
                              <a:noAutofit/>
                            </wps:bodyPr>
                          </wps:wsp>
                        </wpg:wgp>
                      </a:graphicData>
                    </a:graphic>
                    <wp14:sizeRelH relativeFrom="page">
                      <wp14:pctWidth>88200</wp14:pctWidth>
                    </wp14:sizeRelH>
                    <wp14:sizeRelV relativeFrom="page">
                      <wp14:pctHeight>90900</wp14:pctHeight>
                    </wp14:sizeRelV>
                  </wp:anchor>
                </w:drawing>
              </mc:Choice>
              <mc:Fallback>
                <w:pict>
                  <v:group w14:anchorId="7C32433F" id="Group 198" o:spid="_x0000_s1026" style="position:absolute;margin-left:0;margin-top:0;width:540.55pt;height:718.4pt;z-index:-251622400;mso-width-percent:882;mso-height-percent:909;mso-position-horizontal:center;mso-position-horizontal-relative:page;mso-position-vertical:center;mso-position-vertical-relative:page;mso-width-percent:882;mso-height-percent:909" coordsize="68648,9123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">
                    <v:rect id="Rectangle 194" o:spid="_x0000_s1027" style="position:absolute;width:68580;height:1371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" fillcolor="#156082 [3204]" stroked="f" strokeweight="1pt"/>
                    <v:rect id="Rectangle 195" o:spid="_x0000_s1028" style="position:absolute;top:40943;width:68580;height:50292;visibility:visible;mso-wrap-style:square;v-text-anchor:bottom"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" fillcolor="#156082 [3204]" stroked="f" strokeweight="1pt">
                      <v:textbox inset="36pt,57.6pt,36pt,36pt">
                        <w:txbxContent>
                          <w:sdt>
                            <w:sdtPr>
                              <w:rPr>
                                <w:color w:val="FFFFFF" w:themeColor="background1"/>
                              </w:rPr>
                              <w:alias w:val="Author"/>
                              <w:tag w:val=""/>
                              <w:id w:val="945428907"/>
                              <w:dataBinding w:prefixMappings="xmlns:ns0='http://purl.org/dc/elements/1.1/' xmlns:ns1='http://schemas.openxmlformats.org/package/2006/metadata/core-properties' " w:xpath="/ns1:coreProperties[1]/ns0:creator[1]" w:storeItemID="{6C3C8BC8-F283-45AE-878A-BAB7291924A1}"/>
                              <w:text/>
                            </w:sdtPr>
                            <w:sdtContent>
                              <w:p w14:paraId="70BCFE61" w14:textId="3EA6DEAA" w:rsidR="00A67133" w:rsidRDefault="00A67133">
                                <w:pPr>
                                  <w:pStyle w:val="NoSpacing"/>
                                  <w:spacing w:before="120"/>
                                  <w:jc w:val="center"/>
                                  <w:rPr>
                                    <w:color w:val="FFFFFF" w:themeColor="background1"/>
                                  </w:rPr>
                                </w:pPr>
                                <w:r>
                                  <w:rPr>
                                    <w:color w:val="FFFFFF" w:themeColor="background1"/>
                                  </w:rPr>
                                  <w:t>Maheen Khan</w:t>
                                </w:r>
                              </w:p>
                            </w:sdtContent>
                          </w:sdt>
                          <w:p w14:paraId="1D77BB36" w14:textId="2E06D26B" w:rsidR="00A67133" w:rsidRDefault="00000000">
                            <w:pPr>
                              <w:pStyle w:val="NoSpacing"/>
                              <w:spacing w:before="120"/>
                              <w:jc w:val="center"/>
                              <w:rPr>
                                <w:color w:val="FFFFFF" w:themeColor="background1"/>
                              </w:rPr>
                            </w:pPr>
                            <w:sdt>
                              <w:sdtPr>
                                <w:rPr>
                                  <w:caps/>
                                  <w:color w:val="FFFFFF" w:themeColor="background1"/>
                                </w:rPr>
                                <w:alias w:val="Company"/>
                                <w:tag w:val=""/>
                                <w:id w:val="1618182777"/>
                                <w:dataBinding w:prefixMappings="xmlns:ns0='http://schemas.openxmlformats.org/officeDocument/2006/extended-properties' " w:xpath="/ns0:Properties[1]/ns0:Company[1]" w:storeItemID="{6668398D-A668-4E3E-A5EB-62B293D839F1}"/>
                                <w:text/>
                              </w:sdtPr>
                              <w:sdtContent>
                                <w:r w:rsidR="00A67133">
                                  <w:rPr>
                                    <w:caps/>
                                    <w:color w:val="FFFFFF" w:themeColor="background1"/>
                                  </w:rPr>
                                  <w:t>30021268</w:t>
                                </w:r>
                              </w:sdtContent>
                            </w:sdt>
                            <w:r w:rsidR="00A67133">
                              <w:rPr>
                                <w:color w:val="FFFFFF" w:themeColor="background1"/>
                              </w:rPr>
                              <w:t>  </w:t>
                            </w:r>
                            <w:sdt>
                              <w:sdtPr>
                                <w:rPr>
                                  <w:color w:val="FFFFFF" w:themeColor="background1"/>
                                </w:rPr>
                                <w:alias w:val="Address"/>
                                <w:tag w:val=""/>
                                <w:id w:val="-253358678"/>
                                <w:dataBinding w:prefixMappings="xmlns:ns0='http://schemas.microsoft.com/office/2006/coverPageProps' " w:xpath="/ns0:CoverPageProperties[1]/ns0:CompanyAddress[1]" w:storeItemID="{55AF091B-3C7A-41E3-B477-F2FDAA23CFDA}"/>
                                <w:text/>
                              </w:sdtPr>
                              <w:sdtContent>
                                <w:r w:rsidR="00A67133">
                                  <w:rPr>
                                    <w:color w:val="FFFFFF" w:themeColor="background1"/>
                                  </w:rPr>
                                  <w:t>Henley Business School</w:t>
                                </w:r>
                              </w:sdtContent>
                            </w:sdt>
                          </w:p>
                        </w:txbxContent>
                      </v:textbox>
                    </v:rect>
                    <v:shapetype id="_x0000_t202" coordsize="21600,21600" o:spt="202" path="m,l,21600r21600,l21600,xe">
                      <v:stroke joinstyle="miter"/>
                      <v:path gradientshapeok="t" o:connecttype="rect"/>
                    </v:shapetype>
                    <v:shape id="Text Box 196" o:spid="_x0000_s1029" type="#_x0000_t202" style="position:absolute;left:68;top:13716;width:68580;height:2722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" fillcolor="white [3212]" stroked="f" strokeweight=".5pt">
                      <v:textbox inset="36pt,7.2pt,36pt,7.2pt">
                        <w:txbxContent>
                          <w:sdt>
                            <w:sdtPr>
                              <w:rPr>
                                <w:rFonts w:asciiTheme="majorHAnsi" w:eastAsiaTheme="majorEastAsia" w:hAnsiTheme="majorHAnsi" w:cstheme="majorBidi"/>
                                <w:caps/>
                                <w:color w:val="156082" w:themeColor="accent1"/>
                                <w:sz w:val="72"/>
                                <w:szCs w:val="72"/>
                              </w:rPr>
                              <w:alias w:val="Title"/>
                              <w:tag w:val=""/>
                              <w:id w:val="-9991715"/>
                              <w:dataBinding w:prefixMappings="xmlns:ns0='http://purl.org/dc/elements/1.1/' xmlns:ns1='http://schemas.openxmlformats.org/package/2006/metadata/core-properties' " w:xpath="/ns1:coreProperties[1]/ns0:title[1]" w:storeItemID="{6C3C8BC8-F283-45AE-878A-BAB7291924A1}"/>
                              <w:text/>
                            </w:sdtPr>
                            <w:sdtContent>
                              <w:p w14:paraId="191B0AFE" w14:textId="6C9FB2BD" w:rsidR="00A67133" w:rsidRDefault="0075284C">
                                <w:pPr>
                                  <w:pStyle w:val="NoSpacing"/>
                                  <w:jc w:val="center"/>
                                  <w:rPr>
                                    <w:rFonts w:asciiTheme="majorHAnsi" w:eastAsiaTheme="majorEastAsia" w:hAnsiTheme="majorHAnsi" w:cstheme="majorBidi"/>
                                    <w:caps/>
                                    <w:color w:val="156082" w:themeColor="accent1"/>
                                    <w:sz w:val="72"/>
                                    <w:szCs w:val="72"/>
                                  </w:rPr>
                                </w:pPr>
                                <w:r>
                                  <w:rPr>
                                    <w:rFonts w:asciiTheme="majorHAnsi" w:eastAsiaTheme="majorEastAsia" w:hAnsiTheme="majorHAnsi" w:cstheme="majorBidi"/>
                                    <w:caps/>
                                    <w:color w:val="156082" w:themeColor="accent1"/>
                                    <w:sz w:val="72"/>
                                    <w:szCs w:val="72"/>
                                  </w:rPr>
                                  <w:t>Financial Analysis Project</w:t>
                                </w:r>
                                <w:r w:rsidR="003D4266">
                                  <w:rPr>
                                    <w:rFonts w:asciiTheme="majorHAnsi" w:eastAsiaTheme="majorEastAsia" w:hAnsiTheme="majorHAnsi" w:cstheme="majorBidi"/>
                                    <w:caps/>
                                    <w:color w:val="156082" w:themeColor="accent1"/>
                                    <w:sz w:val="72"/>
                                    <w:szCs w:val="72"/>
                                  </w:rPr>
                                  <w:t>: Investigating Speculative Bubbles</w:t>
                                </w:r>
                              </w:p>
                            </w:sdtContent>
                          </w:sdt>
                        </w:txbxContent>
                      </v:textbox>
                    </v:shape>
                    <w10:wrap anchorx="page" anchory="page"/>
                  </v:group>
                </w:pict>
              </mc:Fallback>
            </mc:AlternateContent>
          </w:r>
        </w:p>
        <w:p w14:paraId="22E971BC" w14:textId="2952167A" w:rsidR="00A67133" w:rsidRDefault="00A67133">
          <w:r>
            <w:br w:type="page"/>
          </w:r>
        </w:p>
      </w:sdtContent>
    </w:sdt>
    <w:sdt>
      <w:sdtPr>
        <w:rPr>
          <w:rFonts w:asciiTheme="minorHAnsi" w:eastAsiaTheme="minorHAnsi" w:hAnsiTheme="minorHAnsi" w:cstheme="minorBidi"/>
          <w:color w:val="auto"/>
          <w:kern w:val="2"/>
          <w:sz w:val="22"/>
          <w:szCs w:val="22"/>
          <w:lang w:eastAsia="en-US"/>
          <w14:ligatures w14:val="standardContextual"/>
        </w:rPr>
        <w:id w:val="-1142112455"/>
        <w:docPartObj>
          <w:docPartGallery w:val="Table of Contents"/>
          <w:docPartUnique/>
        </w:docPartObj>
      </w:sdtPr>
      <w:sdtEndPr>
        <w:rPr>
          <w:b/>
          <w:bCs/>
        </w:rPr>
      </w:sdtEndPr>
      <w:sdtContent>
        <w:p w14:paraId="53E4E04C" w14:textId="20FCF255" w:rsidR="00F96F0F" w:rsidRDefault="00F96F0F">
          <w:pPr>
            <w:pStyle w:val="TOCHeading"/>
          </w:pPr>
          <w:r>
            <w:t>Contents</w:t>
          </w:r>
        </w:p>
        <w:p w14:paraId="3A0CDBFD" w14:textId="5ED5E5D8" w:rsidR="0025769A" w:rsidRDefault="00F96F0F">
          <w:pPr>
            <w:pStyle w:val="TOC1"/>
            <w:tabs>
              <w:tab w:val="right" w:leader="dot" w:pos="9016"/>
            </w:tabs>
            <w:rPr>
              <w:rFonts w:eastAsiaTheme="minorEastAsia"/>
              <w:noProof/>
              <w:sz w:val="24"/>
              <w:szCs w:val="24"/>
              <w:lang w:eastAsia="en-GB"/>
            </w:rPr>
          </w:pPr>
          <w:r>
            <w:fldChar w:fldCharType="begin"/>
          </w:r>
          <w:r>
            <w:instrText xml:space="preserve"> TOC \o "1-3" \h \z \u </w:instrText>
          </w:r>
          <w:r>
            <w:fldChar w:fldCharType="separate"/>
          </w:r>
          <w:hyperlink w:anchor="_Toc220361232" w:history="1">
            <w:r w:rsidR="0025769A" w:rsidRPr="00A06241">
              <w:rPr>
                <w:rStyle w:val="Hyperlink"/>
                <w:noProof/>
              </w:rPr>
              <w:t>From Dotcom to AI: Investigating speculative bubbles through monthly volume traded using Google Trends data</w:t>
            </w:r>
            <w:r w:rsidR="0025769A">
              <w:rPr>
                <w:noProof/>
                <w:webHidden/>
              </w:rPr>
              <w:tab/>
            </w:r>
            <w:r w:rsidR="0025769A">
              <w:rPr>
                <w:noProof/>
                <w:webHidden/>
              </w:rPr>
              <w:fldChar w:fldCharType="begin"/>
            </w:r>
            <w:r w:rsidR="0025769A">
              <w:rPr>
                <w:noProof/>
                <w:webHidden/>
              </w:rPr>
              <w:instrText xml:space="preserve"> PAGEREF _Toc220361232 \h </w:instrText>
            </w:r>
            <w:r w:rsidR="0025769A">
              <w:rPr>
                <w:noProof/>
                <w:webHidden/>
              </w:rPr>
            </w:r>
            <w:r w:rsidR="0025769A">
              <w:rPr>
                <w:noProof/>
                <w:webHidden/>
              </w:rPr>
              <w:fldChar w:fldCharType="separate"/>
            </w:r>
            <w:r w:rsidR="0025769A">
              <w:rPr>
                <w:noProof/>
                <w:webHidden/>
              </w:rPr>
              <w:t>2</w:t>
            </w:r>
            <w:r w:rsidR="0025769A">
              <w:rPr>
                <w:noProof/>
                <w:webHidden/>
              </w:rPr>
              <w:fldChar w:fldCharType="end"/>
            </w:r>
          </w:hyperlink>
        </w:p>
        <w:p w14:paraId="1A603A7A" w14:textId="6BCF2DC2" w:rsidR="0025769A" w:rsidRDefault="0025769A">
          <w:pPr>
            <w:pStyle w:val="TOC1"/>
            <w:tabs>
              <w:tab w:val="left" w:pos="480"/>
              <w:tab w:val="right" w:leader="dot" w:pos="9016"/>
            </w:tabs>
            <w:rPr>
              <w:rFonts w:eastAsiaTheme="minorEastAsia"/>
              <w:noProof/>
              <w:sz w:val="24"/>
              <w:szCs w:val="24"/>
              <w:lang w:eastAsia="en-GB"/>
            </w:rPr>
          </w:pPr>
          <w:hyperlink w:anchor="_Toc220361233" w:history="1">
            <w:r w:rsidRPr="00A06241">
              <w:rPr>
                <w:rStyle w:val="Hyperlink"/>
                <w:noProof/>
              </w:rPr>
              <w:t>1.</w:t>
            </w:r>
            <w:r>
              <w:rPr>
                <w:rFonts w:eastAsiaTheme="minorEastAsia"/>
                <w:noProof/>
                <w:sz w:val="24"/>
                <w:szCs w:val="24"/>
                <w:lang w:eastAsia="en-GB"/>
              </w:rPr>
              <w:tab/>
            </w:r>
            <w:r w:rsidRPr="00A06241">
              <w:rPr>
                <w:rStyle w:val="Hyperlink"/>
                <w:noProof/>
              </w:rPr>
              <w:t>Introduction</w:t>
            </w:r>
            <w:r>
              <w:rPr>
                <w:noProof/>
                <w:webHidden/>
              </w:rPr>
              <w:tab/>
            </w:r>
            <w:r>
              <w:rPr>
                <w:noProof/>
                <w:webHidden/>
              </w:rPr>
              <w:fldChar w:fldCharType="begin"/>
            </w:r>
            <w:r>
              <w:rPr>
                <w:noProof/>
                <w:webHidden/>
              </w:rPr>
              <w:instrText xml:space="preserve"> PAGEREF _Toc220361233 \h </w:instrText>
            </w:r>
            <w:r>
              <w:rPr>
                <w:noProof/>
                <w:webHidden/>
              </w:rPr>
            </w:r>
            <w:r>
              <w:rPr>
                <w:noProof/>
                <w:webHidden/>
              </w:rPr>
              <w:fldChar w:fldCharType="separate"/>
            </w:r>
            <w:r>
              <w:rPr>
                <w:noProof/>
                <w:webHidden/>
              </w:rPr>
              <w:t>2</w:t>
            </w:r>
            <w:r>
              <w:rPr>
                <w:noProof/>
                <w:webHidden/>
              </w:rPr>
              <w:fldChar w:fldCharType="end"/>
            </w:r>
          </w:hyperlink>
        </w:p>
        <w:p w14:paraId="78B00B52" w14:textId="610811AF" w:rsidR="0025769A" w:rsidRDefault="0025769A">
          <w:pPr>
            <w:pStyle w:val="TOC1"/>
            <w:tabs>
              <w:tab w:val="left" w:pos="480"/>
              <w:tab w:val="right" w:leader="dot" w:pos="9016"/>
            </w:tabs>
            <w:rPr>
              <w:rFonts w:eastAsiaTheme="minorEastAsia"/>
              <w:noProof/>
              <w:sz w:val="24"/>
              <w:szCs w:val="24"/>
              <w:lang w:eastAsia="en-GB"/>
            </w:rPr>
          </w:pPr>
          <w:hyperlink w:anchor="_Toc220361234" w:history="1">
            <w:r w:rsidRPr="00A06241">
              <w:rPr>
                <w:rStyle w:val="Hyperlink"/>
                <w:noProof/>
              </w:rPr>
              <w:t>2.</w:t>
            </w:r>
            <w:r>
              <w:rPr>
                <w:rFonts w:eastAsiaTheme="minorEastAsia"/>
                <w:noProof/>
                <w:sz w:val="24"/>
                <w:szCs w:val="24"/>
                <w:lang w:eastAsia="en-GB"/>
              </w:rPr>
              <w:tab/>
            </w:r>
            <w:r w:rsidRPr="00A06241">
              <w:rPr>
                <w:rStyle w:val="Hyperlink"/>
                <w:noProof/>
              </w:rPr>
              <w:t>Literature Review</w:t>
            </w:r>
            <w:r>
              <w:rPr>
                <w:noProof/>
                <w:webHidden/>
              </w:rPr>
              <w:tab/>
            </w:r>
            <w:r>
              <w:rPr>
                <w:noProof/>
                <w:webHidden/>
              </w:rPr>
              <w:fldChar w:fldCharType="begin"/>
            </w:r>
            <w:r>
              <w:rPr>
                <w:noProof/>
                <w:webHidden/>
              </w:rPr>
              <w:instrText xml:space="preserve"> PAGEREF _Toc220361234 \h </w:instrText>
            </w:r>
            <w:r>
              <w:rPr>
                <w:noProof/>
                <w:webHidden/>
              </w:rPr>
            </w:r>
            <w:r>
              <w:rPr>
                <w:noProof/>
                <w:webHidden/>
              </w:rPr>
              <w:fldChar w:fldCharType="separate"/>
            </w:r>
            <w:r>
              <w:rPr>
                <w:noProof/>
                <w:webHidden/>
              </w:rPr>
              <w:t>2</w:t>
            </w:r>
            <w:r>
              <w:rPr>
                <w:noProof/>
                <w:webHidden/>
              </w:rPr>
              <w:fldChar w:fldCharType="end"/>
            </w:r>
          </w:hyperlink>
        </w:p>
        <w:p w14:paraId="14AF410D" w14:textId="19928235" w:rsidR="0025769A" w:rsidRDefault="0025769A">
          <w:pPr>
            <w:pStyle w:val="TOC1"/>
            <w:tabs>
              <w:tab w:val="left" w:pos="480"/>
              <w:tab w:val="right" w:leader="dot" w:pos="9016"/>
            </w:tabs>
            <w:rPr>
              <w:rFonts w:eastAsiaTheme="minorEastAsia"/>
              <w:noProof/>
              <w:sz w:val="24"/>
              <w:szCs w:val="24"/>
              <w:lang w:eastAsia="en-GB"/>
            </w:rPr>
          </w:pPr>
          <w:hyperlink w:anchor="_Toc220361235" w:history="1">
            <w:r w:rsidRPr="00A06241">
              <w:rPr>
                <w:rStyle w:val="Hyperlink"/>
                <w:noProof/>
              </w:rPr>
              <w:t>3.</w:t>
            </w:r>
            <w:r>
              <w:rPr>
                <w:rFonts w:eastAsiaTheme="minorEastAsia"/>
                <w:noProof/>
                <w:sz w:val="24"/>
                <w:szCs w:val="24"/>
                <w:lang w:eastAsia="en-GB"/>
              </w:rPr>
              <w:tab/>
            </w:r>
            <w:r w:rsidRPr="00A06241">
              <w:rPr>
                <w:rStyle w:val="Hyperlink"/>
                <w:noProof/>
              </w:rPr>
              <w:t>Data Collection</w:t>
            </w:r>
            <w:r>
              <w:rPr>
                <w:noProof/>
                <w:webHidden/>
              </w:rPr>
              <w:tab/>
            </w:r>
            <w:r>
              <w:rPr>
                <w:noProof/>
                <w:webHidden/>
              </w:rPr>
              <w:fldChar w:fldCharType="begin"/>
            </w:r>
            <w:r>
              <w:rPr>
                <w:noProof/>
                <w:webHidden/>
              </w:rPr>
              <w:instrText xml:space="preserve"> PAGEREF _Toc220361235 \h </w:instrText>
            </w:r>
            <w:r>
              <w:rPr>
                <w:noProof/>
                <w:webHidden/>
              </w:rPr>
            </w:r>
            <w:r>
              <w:rPr>
                <w:noProof/>
                <w:webHidden/>
              </w:rPr>
              <w:fldChar w:fldCharType="separate"/>
            </w:r>
            <w:r>
              <w:rPr>
                <w:noProof/>
                <w:webHidden/>
              </w:rPr>
              <w:t>4</w:t>
            </w:r>
            <w:r>
              <w:rPr>
                <w:noProof/>
                <w:webHidden/>
              </w:rPr>
              <w:fldChar w:fldCharType="end"/>
            </w:r>
          </w:hyperlink>
        </w:p>
        <w:p w14:paraId="225F57BB" w14:textId="3E55D9DB" w:rsidR="0025769A" w:rsidRDefault="0025769A">
          <w:pPr>
            <w:pStyle w:val="TOC1"/>
            <w:tabs>
              <w:tab w:val="left" w:pos="480"/>
              <w:tab w:val="right" w:leader="dot" w:pos="9016"/>
            </w:tabs>
            <w:rPr>
              <w:rFonts w:eastAsiaTheme="minorEastAsia"/>
              <w:noProof/>
              <w:sz w:val="24"/>
              <w:szCs w:val="24"/>
              <w:lang w:eastAsia="en-GB"/>
            </w:rPr>
          </w:pPr>
          <w:hyperlink w:anchor="_Toc220361236" w:history="1">
            <w:r w:rsidRPr="00A06241">
              <w:rPr>
                <w:rStyle w:val="Hyperlink"/>
                <w:noProof/>
              </w:rPr>
              <w:t>4.</w:t>
            </w:r>
            <w:r>
              <w:rPr>
                <w:rFonts w:eastAsiaTheme="minorEastAsia"/>
                <w:noProof/>
                <w:sz w:val="24"/>
                <w:szCs w:val="24"/>
                <w:lang w:eastAsia="en-GB"/>
              </w:rPr>
              <w:tab/>
            </w:r>
            <w:r w:rsidRPr="00A06241">
              <w:rPr>
                <w:rStyle w:val="Hyperlink"/>
                <w:noProof/>
              </w:rPr>
              <w:t>Methodology</w:t>
            </w:r>
            <w:r>
              <w:rPr>
                <w:noProof/>
                <w:webHidden/>
              </w:rPr>
              <w:tab/>
            </w:r>
            <w:r>
              <w:rPr>
                <w:noProof/>
                <w:webHidden/>
              </w:rPr>
              <w:fldChar w:fldCharType="begin"/>
            </w:r>
            <w:r>
              <w:rPr>
                <w:noProof/>
                <w:webHidden/>
              </w:rPr>
              <w:instrText xml:space="preserve"> PAGEREF _Toc220361236 \h </w:instrText>
            </w:r>
            <w:r>
              <w:rPr>
                <w:noProof/>
                <w:webHidden/>
              </w:rPr>
            </w:r>
            <w:r>
              <w:rPr>
                <w:noProof/>
                <w:webHidden/>
              </w:rPr>
              <w:fldChar w:fldCharType="separate"/>
            </w:r>
            <w:r>
              <w:rPr>
                <w:noProof/>
                <w:webHidden/>
              </w:rPr>
              <w:t>4</w:t>
            </w:r>
            <w:r>
              <w:rPr>
                <w:noProof/>
                <w:webHidden/>
              </w:rPr>
              <w:fldChar w:fldCharType="end"/>
            </w:r>
          </w:hyperlink>
        </w:p>
        <w:p w14:paraId="3EB569C4" w14:textId="7AF6C321" w:rsidR="0025769A" w:rsidRDefault="0025769A">
          <w:pPr>
            <w:pStyle w:val="TOC1"/>
            <w:tabs>
              <w:tab w:val="left" w:pos="480"/>
              <w:tab w:val="right" w:leader="dot" w:pos="9016"/>
            </w:tabs>
            <w:rPr>
              <w:rFonts w:eastAsiaTheme="minorEastAsia"/>
              <w:noProof/>
              <w:sz w:val="24"/>
              <w:szCs w:val="24"/>
              <w:lang w:eastAsia="en-GB"/>
            </w:rPr>
          </w:pPr>
          <w:hyperlink w:anchor="_Toc220361237" w:history="1">
            <w:r w:rsidRPr="00A06241">
              <w:rPr>
                <w:rStyle w:val="Hyperlink"/>
                <w:noProof/>
              </w:rPr>
              <w:t>i.</w:t>
            </w:r>
            <w:r>
              <w:rPr>
                <w:rFonts w:eastAsiaTheme="minorEastAsia"/>
                <w:noProof/>
                <w:sz w:val="24"/>
                <w:szCs w:val="24"/>
                <w:lang w:eastAsia="en-GB"/>
              </w:rPr>
              <w:tab/>
            </w:r>
            <w:r w:rsidRPr="00A06241">
              <w:rPr>
                <w:rStyle w:val="Hyperlink"/>
                <w:noProof/>
              </w:rPr>
              <w:t>Converting Daily Volume to Monthly Volume</w:t>
            </w:r>
            <w:r>
              <w:rPr>
                <w:noProof/>
                <w:webHidden/>
              </w:rPr>
              <w:tab/>
            </w:r>
            <w:r>
              <w:rPr>
                <w:noProof/>
                <w:webHidden/>
              </w:rPr>
              <w:fldChar w:fldCharType="begin"/>
            </w:r>
            <w:r>
              <w:rPr>
                <w:noProof/>
                <w:webHidden/>
              </w:rPr>
              <w:instrText xml:space="preserve"> PAGEREF _Toc220361237 \h </w:instrText>
            </w:r>
            <w:r>
              <w:rPr>
                <w:noProof/>
                <w:webHidden/>
              </w:rPr>
            </w:r>
            <w:r>
              <w:rPr>
                <w:noProof/>
                <w:webHidden/>
              </w:rPr>
              <w:fldChar w:fldCharType="separate"/>
            </w:r>
            <w:r>
              <w:rPr>
                <w:noProof/>
                <w:webHidden/>
              </w:rPr>
              <w:t>4</w:t>
            </w:r>
            <w:r>
              <w:rPr>
                <w:noProof/>
                <w:webHidden/>
              </w:rPr>
              <w:fldChar w:fldCharType="end"/>
            </w:r>
          </w:hyperlink>
        </w:p>
        <w:p w14:paraId="50A74CF5" w14:textId="5112F05B" w:rsidR="0025769A" w:rsidRDefault="0025769A">
          <w:pPr>
            <w:pStyle w:val="TOC1"/>
            <w:tabs>
              <w:tab w:val="left" w:pos="480"/>
              <w:tab w:val="right" w:leader="dot" w:pos="9016"/>
            </w:tabs>
            <w:rPr>
              <w:rFonts w:eastAsiaTheme="minorEastAsia"/>
              <w:noProof/>
              <w:sz w:val="24"/>
              <w:szCs w:val="24"/>
              <w:lang w:eastAsia="en-GB"/>
            </w:rPr>
          </w:pPr>
          <w:hyperlink w:anchor="_Toc220361238" w:history="1">
            <w:r w:rsidRPr="00A06241">
              <w:rPr>
                <w:rStyle w:val="Hyperlink"/>
                <w:noProof/>
              </w:rPr>
              <w:t>ii.</w:t>
            </w:r>
            <w:r>
              <w:rPr>
                <w:rFonts w:eastAsiaTheme="minorEastAsia"/>
                <w:noProof/>
                <w:sz w:val="24"/>
                <w:szCs w:val="24"/>
                <w:lang w:eastAsia="en-GB"/>
              </w:rPr>
              <w:tab/>
            </w:r>
            <w:r w:rsidRPr="00A06241">
              <w:rPr>
                <w:rStyle w:val="Hyperlink"/>
                <w:noProof/>
              </w:rPr>
              <w:t>Normalised Z-Volume Scores</w:t>
            </w:r>
            <w:r>
              <w:rPr>
                <w:noProof/>
                <w:webHidden/>
              </w:rPr>
              <w:tab/>
            </w:r>
            <w:r>
              <w:rPr>
                <w:noProof/>
                <w:webHidden/>
              </w:rPr>
              <w:fldChar w:fldCharType="begin"/>
            </w:r>
            <w:r>
              <w:rPr>
                <w:noProof/>
                <w:webHidden/>
              </w:rPr>
              <w:instrText xml:space="preserve"> PAGEREF _Toc220361238 \h </w:instrText>
            </w:r>
            <w:r>
              <w:rPr>
                <w:noProof/>
                <w:webHidden/>
              </w:rPr>
            </w:r>
            <w:r>
              <w:rPr>
                <w:noProof/>
                <w:webHidden/>
              </w:rPr>
              <w:fldChar w:fldCharType="separate"/>
            </w:r>
            <w:r>
              <w:rPr>
                <w:noProof/>
                <w:webHidden/>
              </w:rPr>
              <w:t>4</w:t>
            </w:r>
            <w:r>
              <w:rPr>
                <w:noProof/>
                <w:webHidden/>
              </w:rPr>
              <w:fldChar w:fldCharType="end"/>
            </w:r>
          </w:hyperlink>
        </w:p>
        <w:p w14:paraId="3D403B28" w14:textId="1924789D" w:rsidR="0025769A" w:rsidRDefault="0025769A">
          <w:pPr>
            <w:pStyle w:val="TOC1"/>
            <w:tabs>
              <w:tab w:val="left" w:pos="480"/>
              <w:tab w:val="right" w:leader="dot" w:pos="9016"/>
            </w:tabs>
            <w:rPr>
              <w:rFonts w:eastAsiaTheme="minorEastAsia"/>
              <w:noProof/>
              <w:sz w:val="24"/>
              <w:szCs w:val="24"/>
              <w:lang w:eastAsia="en-GB"/>
            </w:rPr>
          </w:pPr>
          <w:hyperlink w:anchor="_Toc220361239" w:history="1">
            <w:r w:rsidRPr="00A06241">
              <w:rPr>
                <w:rStyle w:val="Hyperlink"/>
                <w:noProof/>
              </w:rPr>
              <w:t>iii.</w:t>
            </w:r>
            <w:r>
              <w:rPr>
                <w:rFonts w:eastAsiaTheme="minorEastAsia"/>
                <w:noProof/>
                <w:sz w:val="24"/>
                <w:szCs w:val="24"/>
                <w:lang w:eastAsia="en-GB"/>
              </w:rPr>
              <w:tab/>
            </w:r>
            <w:r w:rsidRPr="00A06241">
              <w:rPr>
                <w:rStyle w:val="Hyperlink"/>
                <w:noProof/>
              </w:rPr>
              <w:t>Indexing</w:t>
            </w:r>
            <w:r>
              <w:rPr>
                <w:noProof/>
                <w:webHidden/>
              </w:rPr>
              <w:tab/>
            </w:r>
            <w:r>
              <w:rPr>
                <w:noProof/>
                <w:webHidden/>
              </w:rPr>
              <w:fldChar w:fldCharType="begin"/>
            </w:r>
            <w:r>
              <w:rPr>
                <w:noProof/>
                <w:webHidden/>
              </w:rPr>
              <w:instrText xml:space="preserve"> PAGEREF _Toc220361239 \h </w:instrText>
            </w:r>
            <w:r>
              <w:rPr>
                <w:noProof/>
                <w:webHidden/>
              </w:rPr>
            </w:r>
            <w:r>
              <w:rPr>
                <w:noProof/>
                <w:webHidden/>
              </w:rPr>
              <w:fldChar w:fldCharType="separate"/>
            </w:r>
            <w:r>
              <w:rPr>
                <w:noProof/>
                <w:webHidden/>
              </w:rPr>
              <w:t>5</w:t>
            </w:r>
            <w:r>
              <w:rPr>
                <w:noProof/>
                <w:webHidden/>
              </w:rPr>
              <w:fldChar w:fldCharType="end"/>
            </w:r>
          </w:hyperlink>
        </w:p>
        <w:p w14:paraId="642A3370" w14:textId="09B5620D" w:rsidR="0025769A" w:rsidRDefault="0025769A">
          <w:pPr>
            <w:pStyle w:val="TOC1"/>
            <w:tabs>
              <w:tab w:val="left" w:pos="480"/>
              <w:tab w:val="right" w:leader="dot" w:pos="9016"/>
            </w:tabs>
            <w:rPr>
              <w:rFonts w:eastAsiaTheme="minorEastAsia"/>
              <w:noProof/>
              <w:sz w:val="24"/>
              <w:szCs w:val="24"/>
              <w:lang w:eastAsia="en-GB"/>
            </w:rPr>
          </w:pPr>
          <w:hyperlink w:anchor="_Toc220361240" w:history="1">
            <w:r w:rsidRPr="00A06241">
              <w:rPr>
                <w:rStyle w:val="Hyperlink"/>
                <w:noProof/>
              </w:rPr>
              <w:t>iv.</w:t>
            </w:r>
            <w:r>
              <w:rPr>
                <w:rFonts w:eastAsiaTheme="minorEastAsia"/>
                <w:noProof/>
                <w:sz w:val="24"/>
                <w:szCs w:val="24"/>
                <w:lang w:eastAsia="en-GB"/>
              </w:rPr>
              <w:tab/>
            </w:r>
            <w:r w:rsidRPr="00A06241">
              <w:rPr>
                <w:rStyle w:val="Hyperlink"/>
                <w:noProof/>
              </w:rPr>
              <w:t>Multicollinearity</w:t>
            </w:r>
            <w:r>
              <w:rPr>
                <w:noProof/>
                <w:webHidden/>
              </w:rPr>
              <w:tab/>
            </w:r>
            <w:r>
              <w:rPr>
                <w:noProof/>
                <w:webHidden/>
              </w:rPr>
              <w:fldChar w:fldCharType="begin"/>
            </w:r>
            <w:r>
              <w:rPr>
                <w:noProof/>
                <w:webHidden/>
              </w:rPr>
              <w:instrText xml:space="preserve"> PAGEREF _Toc220361240 \h </w:instrText>
            </w:r>
            <w:r>
              <w:rPr>
                <w:noProof/>
                <w:webHidden/>
              </w:rPr>
            </w:r>
            <w:r>
              <w:rPr>
                <w:noProof/>
                <w:webHidden/>
              </w:rPr>
              <w:fldChar w:fldCharType="separate"/>
            </w:r>
            <w:r>
              <w:rPr>
                <w:noProof/>
                <w:webHidden/>
              </w:rPr>
              <w:t>5</w:t>
            </w:r>
            <w:r>
              <w:rPr>
                <w:noProof/>
                <w:webHidden/>
              </w:rPr>
              <w:fldChar w:fldCharType="end"/>
            </w:r>
          </w:hyperlink>
        </w:p>
        <w:p w14:paraId="42043B96" w14:textId="429818A8" w:rsidR="0025769A" w:rsidRDefault="0025769A">
          <w:pPr>
            <w:pStyle w:val="TOC1"/>
            <w:tabs>
              <w:tab w:val="left" w:pos="480"/>
              <w:tab w:val="right" w:leader="dot" w:pos="9016"/>
            </w:tabs>
            <w:rPr>
              <w:rFonts w:eastAsiaTheme="minorEastAsia"/>
              <w:noProof/>
              <w:sz w:val="24"/>
              <w:szCs w:val="24"/>
              <w:lang w:eastAsia="en-GB"/>
            </w:rPr>
          </w:pPr>
          <w:hyperlink w:anchor="_Toc220361241" w:history="1">
            <w:r w:rsidRPr="00A06241">
              <w:rPr>
                <w:rStyle w:val="Hyperlink"/>
                <w:noProof/>
              </w:rPr>
              <w:t>v.</w:t>
            </w:r>
            <w:r>
              <w:rPr>
                <w:rFonts w:eastAsiaTheme="minorEastAsia"/>
                <w:noProof/>
                <w:sz w:val="24"/>
                <w:szCs w:val="24"/>
                <w:lang w:eastAsia="en-GB"/>
              </w:rPr>
              <w:tab/>
            </w:r>
            <w:r w:rsidRPr="00A06241">
              <w:rPr>
                <w:rStyle w:val="Hyperlink"/>
                <w:noProof/>
              </w:rPr>
              <w:t>Principal Component Analysis Indexing</w:t>
            </w:r>
            <w:r>
              <w:rPr>
                <w:noProof/>
                <w:webHidden/>
              </w:rPr>
              <w:tab/>
            </w:r>
            <w:r>
              <w:rPr>
                <w:noProof/>
                <w:webHidden/>
              </w:rPr>
              <w:fldChar w:fldCharType="begin"/>
            </w:r>
            <w:r>
              <w:rPr>
                <w:noProof/>
                <w:webHidden/>
              </w:rPr>
              <w:instrText xml:space="preserve"> PAGEREF _Toc220361241 \h </w:instrText>
            </w:r>
            <w:r>
              <w:rPr>
                <w:noProof/>
                <w:webHidden/>
              </w:rPr>
            </w:r>
            <w:r>
              <w:rPr>
                <w:noProof/>
                <w:webHidden/>
              </w:rPr>
              <w:fldChar w:fldCharType="separate"/>
            </w:r>
            <w:r>
              <w:rPr>
                <w:noProof/>
                <w:webHidden/>
              </w:rPr>
              <w:t>6</w:t>
            </w:r>
            <w:r>
              <w:rPr>
                <w:noProof/>
                <w:webHidden/>
              </w:rPr>
              <w:fldChar w:fldCharType="end"/>
            </w:r>
          </w:hyperlink>
        </w:p>
        <w:p w14:paraId="376EB28C" w14:textId="183060BF" w:rsidR="0025769A" w:rsidRDefault="0025769A">
          <w:pPr>
            <w:pStyle w:val="TOC1"/>
            <w:tabs>
              <w:tab w:val="left" w:pos="480"/>
              <w:tab w:val="right" w:leader="dot" w:pos="9016"/>
            </w:tabs>
            <w:rPr>
              <w:rFonts w:eastAsiaTheme="minorEastAsia"/>
              <w:noProof/>
              <w:sz w:val="24"/>
              <w:szCs w:val="24"/>
              <w:lang w:eastAsia="en-GB"/>
            </w:rPr>
          </w:pPr>
          <w:hyperlink w:anchor="_Toc220361242" w:history="1">
            <w:r w:rsidRPr="00A06241">
              <w:rPr>
                <w:rStyle w:val="Hyperlink"/>
                <w:noProof/>
              </w:rPr>
              <w:t>5.</w:t>
            </w:r>
            <w:r>
              <w:rPr>
                <w:rFonts w:eastAsiaTheme="minorEastAsia"/>
                <w:noProof/>
                <w:sz w:val="24"/>
                <w:szCs w:val="24"/>
                <w:lang w:eastAsia="en-GB"/>
              </w:rPr>
              <w:tab/>
            </w:r>
            <w:r w:rsidRPr="00A06241">
              <w:rPr>
                <w:rStyle w:val="Hyperlink"/>
                <w:noProof/>
              </w:rPr>
              <w:t>Analysis</w:t>
            </w:r>
            <w:r>
              <w:rPr>
                <w:noProof/>
                <w:webHidden/>
              </w:rPr>
              <w:tab/>
            </w:r>
            <w:r>
              <w:rPr>
                <w:noProof/>
                <w:webHidden/>
              </w:rPr>
              <w:fldChar w:fldCharType="begin"/>
            </w:r>
            <w:r>
              <w:rPr>
                <w:noProof/>
                <w:webHidden/>
              </w:rPr>
              <w:instrText xml:space="preserve"> PAGEREF _Toc220361242 \h </w:instrText>
            </w:r>
            <w:r>
              <w:rPr>
                <w:noProof/>
                <w:webHidden/>
              </w:rPr>
            </w:r>
            <w:r>
              <w:rPr>
                <w:noProof/>
                <w:webHidden/>
              </w:rPr>
              <w:fldChar w:fldCharType="separate"/>
            </w:r>
            <w:r>
              <w:rPr>
                <w:noProof/>
                <w:webHidden/>
              </w:rPr>
              <w:t>7</w:t>
            </w:r>
            <w:r>
              <w:rPr>
                <w:noProof/>
                <w:webHidden/>
              </w:rPr>
              <w:fldChar w:fldCharType="end"/>
            </w:r>
          </w:hyperlink>
        </w:p>
        <w:p w14:paraId="2CC48285" w14:textId="7262E0FF" w:rsidR="0025769A" w:rsidRDefault="0025769A">
          <w:pPr>
            <w:pStyle w:val="TOC1"/>
            <w:tabs>
              <w:tab w:val="left" w:pos="480"/>
              <w:tab w:val="right" w:leader="dot" w:pos="9016"/>
            </w:tabs>
            <w:rPr>
              <w:rFonts w:eastAsiaTheme="minorEastAsia"/>
              <w:noProof/>
              <w:sz w:val="24"/>
              <w:szCs w:val="24"/>
              <w:lang w:eastAsia="en-GB"/>
            </w:rPr>
          </w:pPr>
          <w:hyperlink w:anchor="_Toc220361243" w:history="1">
            <w:r w:rsidRPr="00A06241">
              <w:rPr>
                <w:rStyle w:val="Hyperlink"/>
                <w:noProof/>
              </w:rPr>
              <w:t>i.</w:t>
            </w:r>
            <w:r>
              <w:rPr>
                <w:rFonts w:eastAsiaTheme="minorEastAsia"/>
                <w:noProof/>
                <w:sz w:val="24"/>
                <w:szCs w:val="24"/>
                <w:lang w:eastAsia="en-GB"/>
              </w:rPr>
              <w:tab/>
            </w:r>
            <w:r w:rsidRPr="00A06241">
              <w:rPr>
                <w:rStyle w:val="Hyperlink"/>
                <w:noProof/>
              </w:rPr>
              <w:t>Plotting</w:t>
            </w:r>
            <w:r>
              <w:rPr>
                <w:noProof/>
                <w:webHidden/>
              </w:rPr>
              <w:tab/>
            </w:r>
            <w:r>
              <w:rPr>
                <w:noProof/>
                <w:webHidden/>
              </w:rPr>
              <w:fldChar w:fldCharType="begin"/>
            </w:r>
            <w:r>
              <w:rPr>
                <w:noProof/>
                <w:webHidden/>
              </w:rPr>
              <w:instrText xml:space="preserve"> PAGEREF _Toc220361243 \h </w:instrText>
            </w:r>
            <w:r>
              <w:rPr>
                <w:noProof/>
                <w:webHidden/>
              </w:rPr>
            </w:r>
            <w:r>
              <w:rPr>
                <w:noProof/>
                <w:webHidden/>
              </w:rPr>
              <w:fldChar w:fldCharType="separate"/>
            </w:r>
            <w:r>
              <w:rPr>
                <w:noProof/>
                <w:webHidden/>
              </w:rPr>
              <w:t>7</w:t>
            </w:r>
            <w:r>
              <w:rPr>
                <w:noProof/>
                <w:webHidden/>
              </w:rPr>
              <w:fldChar w:fldCharType="end"/>
            </w:r>
          </w:hyperlink>
        </w:p>
        <w:p w14:paraId="09D0041B" w14:textId="01865934" w:rsidR="0025769A" w:rsidRDefault="0025769A">
          <w:pPr>
            <w:pStyle w:val="TOC1"/>
            <w:tabs>
              <w:tab w:val="left" w:pos="480"/>
              <w:tab w:val="right" w:leader="dot" w:pos="9016"/>
            </w:tabs>
            <w:rPr>
              <w:rFonts w:eastAsiaTheme="minorEastAsia"/>
              <w:noProof/>
              <w:sz w:val="24"/>
              <w:szCs w:val="24"/>
              <w:lang w:eastAsia="en-GB"/>
            </w:rPr>
          </w:pPr>
          <w:hyperlink w:anchor="_Toc220361244" w:history="1">
            <w:r w:rsidRPr="00A06241">
              <w:rPr>
                <w:rStyle w:val="Hyperlink"/>
                <w:noProof/>
              </w:rPr>
              <w:t>ii.</w:t>
            </w:r>
            <w:r>
              <w:rPr>
                <w:rFonts w:eastAsiaTheme="minorEastAsia"/>
                <w:noProof/>
                <w:sz w:val="24"/>
                <w:szCs w:val="24"/>
                <w:lang w:eastAsia="en-GB"/>
              </w:rPr>
              <w:tab/>
            </w:r>
            <w:r w:rsidRPr="00A06241">
              <w:rPr>
                <w:rStyle w:val="Hyperlink"/>
                <w:noProof/>
              </w:rPr>
              <w:t>Summary Statistics</w:t>
            </w:r>
            <w:r>
              <w:rPr>
                <w:noProof/>
                <w:webHidden/>
              </w:rPr>
              <w:tab/>
            </w:r>
            <w:r>
              <w:rPr>
                <w:noProof/>
                <w:webHidden/>
              </w:rPr>
              <w:fldChar w:fldCharType="begin"/>
            </w:r>
            <w:r>
              <w:rPr>
                <w:noProof/>
                <w:webHidden/>
              </w:rPr>
              <w:instrText xml:space="preserve"> PAGEREF _Toc220361244 \h </w:instrText>
            </w:r>
            <w:r>
              <w:rPr>
                <w:noProof/>
                <w:webHidden/>
              </w:rPr>
            </w:r>
            <w:r>
              <w:rPr>
                <w:noProof/>
                <w:webHidden/>
              </w:rPr>
              <w:fldChar w:fldCharType="separate"/>
            </w:r>
            <w:r>
              <w:rPr>
                <w:noProof/>
                <w:webHidden/>
              </w:rPr>
              <w:t>8</w:t>
            </w:r>
            <w:r>
              <w:rPr>
                <w:noProof/>
                <w:webHidden/>
              </w:rPr>
              <w:fldChar w:fldCharType="end"/>
            </w:r>
          </w:hyperlink>
        </w:p>
        <w:p w14:paraId="0C3A46D8" w14:textId="470C9C54" w:rsidR="0025769A" w:rsidRDefault="0025769A">
          <w:pPr>
            <w:pStyle w:val="TOC1"/>
            <w:tabs>
              <w:tab w:val="left" w:pos="480"/>
              <w:tab w:val="right" w:leader="dot" w:pos="9016"/>
            </w:tabs>
            <w:rPr>
              <w:rFonts w:eastAsiaTheme="minorEastAsia"/>
              <w:noProof/>
              <w:sz w:val="24"/>
              <w:szCs w:val="24"/>
              <w:lang w:eastAsia="en-GB"/>
            </w:rPr>
          </w:pPr>
          <w:hyperlink w:anchor="_Toc220361245" w:history="1">
            <w:r w:rsidRPr="00A06241">
              <w:rPr>
                <w:rStyle w:val="Hyperlink"/>
                <w:noProof/>
              </w:rPr>
              <w:t>iii.</w:t>
            </w:r>
            <w:r>
              <w:rPr>
                <w:rFonts w:eastAsiaTheme="minorEastAsia"/>
                <w:noProof/>
                <w:sz w:val="24"/>
                <w:szCs w:val="24"/>
                <w:lang w:eastAsia="en-GB"/>
              </w:rPr>
              <w:tab/>
            </w:r>
            <w:r w:rsidRPr="00A06241">
              <w:rPr>
                <w:rStyle w:val="Hyperlink"/>
                <w:noProof/>
              </w:rPr>
              <w:t>Fitted Models</w:t>
            </w:r>
            <w:r>
              <w:rPr>
                <w:noProof/>
                <w:webHidden/>
              </w:rPr>
              <w:tab/>
            </w:r>
            <w:r>
              <w:rPr>
                <w:noProof/>
                <w:webHidden/>
              </w:rPr>
              <w:fldChar w:fldCharType="begin"/>
            </w:r>
            <w:r>
              <w:rPr>
                <w:noProof/>
                <w:webHidden/>
              </w:rPr>
              <w:instrText xml:space="preserve"> PAGEREF _Toc220361245 \h </w:instrText>
            </w:r>
            <w:r>
              <w:rPr>
                <w:noProof/>
                <w:webHidden/>
              </w:rPr>
            </w:r>
            <w:r>
              <w:rPr>
                <w:noProof/>
                <w:webHidden/>
              </w:rPr>
              <w:fldChar w:fldCharType="separate"/>
            </w:r>
            <w:r>
              <w:rPr>
                <w:noProof/>
                <w:webHidden/>
              </w:rPr>
              <w:t>9</w:t>
            </w:r>
            <w:r>
              <w:rPr>
                <w:noProof/>
                <w:webHidden/>
              </w:rPr>
              <w:fldChar w:fldCharType="end"/>
            </w:r>
          </w:hyperlink>
        </w:p>
        <w:p w14:paraId="32BC8770" w14:textId="359ED58B" w:rsidR="0025769A" w:rsidRDefault="0025769A">
          <w:pPr>
            <w:pStyle w:val="TOC1"/>
            <w:tabs>
              <w:tab w:val="left" w:pos="480"/>
              <w:tab w:val="right" w:leader="dot" w:pos="9016"/>
            </w:tabs>
            <w:rPr>
              <w:rFonts w:eastAsiaTheme="minorEastAsia"/>
              <w:noProof/>
              <w:sz w:val="24"/>
              <w:szCs w:val="24"/>
              <w:lang w:eastAsia="en-GB"/>
            </w:rPr>
          </w:pPr>
          <w:hyperlink w:anchor="_Toc220361246" w:history="1">
            <w:r w:rsidRPr="00A06241">
              <w:rPr>
                <w:rStyle w:val="Hyperlink"/>
                <w:noProof/>
              </w:rPr>
              <w:t>a.</w:t>
            </w:r>
            <w:r>
              <w:rPr>
                <w:rFonts w:eastAsiaTheme="minorEastAsia"/>
                <w:noProof/>
                <w:sz w:val="24"/>
                <w:szCs w:val="24"/>
                <w:lang w:eastAsia="en-GB"/>
              </w:rPr>
              <w:tab/>
            </w:r>
            <w:r w:rsidRPr="00A06241">
              <w:rPr>
                <w:rStyle w:val="Hyperlink"/>
                <w:noProof/>
              </w:rPr>
              <w:t>Nasdaq-100 Companies</w:t>
            </w:r>
            <w:r>
              <w:rPr>
                <w:noProof/>
                <w:webHidden/>
              </w:rPr>
              <w:tab/>
            </w:r>
            <w:r>
              <w:rPr>
                <w:noProof/>
                <w:webHidden/>
              </w:rPr>
              <w:fldChar w:fldCharType="begin"/>
            </w:r>
            <w:r>
              <w:rPr>
                <w:noProof/>
                <w:webHidden/>
              </w:rPr>
              <w:instrText xml:space="preserve"> PAGEREF _Toc220361246 \h </w:instrText>
            </w:r>
            <w:r>
              <w:rPr>
                <w:noProof/>
                <w:webHidden/>
              </w:rPr>
            </w:r>
            <w:r>
              <w:rPr>
                <w:noProof/>
                <w:webHidden/>
              </w:rPr>
              <w:fldChar w:fldCharType="separate"/>
            </w:r>
            <w:r>
              <w:rPr>
                <w:noProof/>
                <w:webHidden/>
              </w:rPr>
              <w:t>9</w:t>
            </w:r>
            <w:r>
              <w:rPr>
                <w:noProof/>
                <w:webHidden/>
              </w:rPr>
              <w:fldChar w:fldCharType="end"/>
            </w:r>
          </w:hyperlink>
        </w:p>
        <w:p w14:paraId="05A4ABA8" w14:textId="3DB2ECD4" w:rsidR="0025769A" w:rsidRDefault="0025769A">
          <w:pPr>
            <w:pStyle w:val="TOC1"/>
            <w:tabs>
              <w:tab w:val="left" w:pos="480"/>
              <w:tab w:val="right" w:leader="dot" w:pos="9016"/>
            </w:tabs>
            <w:rPr>
              <w:rFonts w:eastAsiaTheme="minorEastAsia"/>
              <w:noProof/>
              <w:sz w:val="24"/>
              <w:szCs w:val="24"/>
              <w:lang w:eastAsia="en-GB"/>
            </w:rPr>
          </w:pPr>
          <w:hyperlink w:anchor="_Toc220361247" w:history="1">
            <w:r w:rsidRPr="00A06241">
              <w:rPr>
                <w:rStyle w:val="Hyperlink"/>
                <w:noProof/>
              </w:rPr>
              <w:t>b.</w:t>
            </w:r>
            <w:r>
              <w:rPr>
                <w:rFonts w:eastAsiaTheme="minorEastAsia"/>
                <w:noProof/>
                <w:sz w:val="24"/>
                <w:szCs w:val="24"/>
                <w:lang w:eastAsia="en-GB"/>
              </w:rPr>
              <w:tab/>
            </w:r>
            <w:r w:rsidRPr="00A06241">
              <w:rPr>
                <w:rStyle w:val="Hyperlink"/>
                <w:noProof/>
              </w:rPr>
              <w:t>FTSE – 100 Companies</w:t>
            </w:r>
            <w:r>
              <w:rPr>
                <w:noProof/>
                <w:webHidden/>
              </w:rPr>
              <w:tab/>
            </w:r>
            <w:r>
              <w:rPr>
                <w:noProof/>
                <w:webHidden/>
              </w:rPr>
              <w:fldChar w:fldCharType="begin"/>
            </w:r>
            <w:r>
              <w:rPr>
                <w:noProof/>
                <w:webHidden/>
              </w:rPr>
              <w:instrText xml:space="preserve"> PAGEREF _Toc220361247 \h </w:instrText>
            </w:r>
            <w:r>
              <w:rPr>
                <w:noProof/>
                <w:webHidden/>
              </w:rPr>
            </w:r>
            <w:r>
              <w:rPr>
                <w:noProof/>
                <w:webHidden/>
              </w:rPr>
              <w:fldChar w:fldCharType="separate"/>
            </w:r>
            <w:r>
              <w:rPr>
                <w:noProof/>
                <w:webHidden/>
              </w:rPr>
              <w:t>10</w:t>
            </w:r>
            <w:r>
              <w:rPr>
                <w:noProof/>
                <w:webHidden/>
              </w:rPr>
              <w:fldChar w:fldCharType="end"/>
            </w:r>
          </w:hyperlink>
        </w:p>
        <w:p w14:paraId="195A08F3" w14:textId="37F5D093" w:rsidR="0025769A" w:rsidRDefault="0025769A">
          <w:pPr>
            <w:pStyle w:val="TOC1"/>
            <w:tabs>
              <w:tab w:val="left" w:pos="480"/>
              <w:tab w:val="right" w:leader="dot" w:pos="9016"/>
            </w:tabs>
            <w:rPr>
              <w:rFonts w:eastAsiaTheme="minorEastAsia"/>
              <w:noProof/>
              <w:sz w:val="24"/>
              <w:szCs w:val="24"/>
              <w:lang w:eastAsia="en-GB"/>
            </w:rPr>
          </w:pPr>
          <w:hyperlink w:anchor="_Toc220361248" w:history="1">
            <w:r w:rsidRPr="00A06241">
              <w:rPr>
                <w:rStyle w:val="Hyperlink"/>
                <w:noProof/>
              </w:rPr>
              <w:t>iv.</w:t>
            </w:r>
            <w:r>
              <w:rPr>
                <w:rFonts w:eastAsiaTheme="minorEastAsia"/>
                <w:noProof/>
                <w:sz w:val="24"/>
                <w:szCs w:val="24"/>
                <w:lang w:eastAsia="en-GB"/>
              </w:rPr>
              <w:tab/>
            </w:r>
            <w:r w:rsidRPr="00A06241">
              <w:rPr>
                <w:rStyle w:val="Hyperlink"/>
                <w:noProof/>
              </w:rPr>
              <w:t>Residual Analysis</w:t>
            </w:r>
            <w:r>
              <w:rPr>
                <w:noProof/>
                <w:webHidden/>
              </w:rPr>
              <w:tab/>
            </w:r>
            <w:r>
              <w:rPr>
                <w:noProof/>
                <w:webHidden/>
              </w:rPr>
              <w:fldChar w:fldCharType="begin"/>
            </w:r>
            <w:r>
              <w:rPr>
                <w:noProof/>
                <w:webHidden/>
              </w:rPr>
              <w:instrText xml:space="preserve"> PAGEREF _Toc220361248 \h </w:instrText>
            </w:r>
            <w:r>
              <w:rPr>
                <w:noProof/>
                <w:webHidden/>
              </w:rPr>
            </w:r>
            <w:r>
              <w:rPr>
                <w:noProof/>
                <w:webHidden/>
              </w:rPr>
              <w:fldChar w:fldCharType="separate"/>
            </w:r>
            <w:r>
              <w:rPr>
                <w:noProof/>
                <w:webHidden/>
              </w:rPr>
              <w:t>10</w:t>
            </w:r>
            <w:r>
              <w:rPr>
                <w:noProof/>
                <w:webHidden/>
              </w:rPr>
              <w:fldChar w:fldCharType="end"/>
            </w:r>
          </w:hyperlink>
        </w:p>
        <w:p w14:paraId="2E161F9B" w14:textId="3F6A612D" w:rsidR="0025769A" w:rsidRDefault="0025769A">
          <w:pPr>
            <w:pStyle w:val="TOC1"/>
            <w:tabs>
              <w:tab w:val="left" w:pos="480"/>
              <w:tab w:val="right" w:leader="dot" w:pos="9016"/>
            </w:tabs>
            <w:rPr>
              <w:rFonts w:eastAsiaTheme="minorEastAsia"/>
              <w:noProof/>
              <w:sz w:val="24"/>
              <w:szCs w:val="24"/>
              <w:lang w:eastAsia="en-GB"/>
            </w:rPr>
          </w:pPr>
          <w:hyperlink w:anchor="_Toc220361249" w:history="1">
            <w:r w:rsidRPr="00A06241">
              <w:rPr>
                <w:rStyle w:val="Hyperlink"/>
                <w:noProof/>
              </w:rPr>
              <w:t>6.</w:t>
            </w:r>
            <w:r>
              <w:rPr>
                <w:rFonts w:eastAsiaTheme="minorEastAsia"/>
                <w:noProof/>
                <w:sz w:val="24"/>
                <w:szCs w:val="24"/>
                <w:lang w:eastAsia="en-GB"/>
              </w:rPr>
              <w:tab/>
            </w:r>
            <w:r w:rsidRPr="00A06241">
              <w:rPr>
                <w:rStyle w:val="Hyperlink"/>
                <w:noProof/>
              </w:rPr>
              <w:t>Conclusion</w:t>
            </w:r>
            <w:r>
              <w:rPr>
                <w:noProof/>
                <w:webHidden/>
              </w:rPr>
              <w:tab/>
            </w:r>
            <w:r>
              <w:rPr>
                <w:noProof/>
                <w:webHidden/>
              </w:rPr>
              <w:fldChar w:fldCharType="begin"/>
            </w:r>
            <w:r>
              <w:rPr>
                <w:noProof/>
                <w:webHidden/>
              </w:rPr>
              <w:instrText xml:space="preserve"> PAGEREF _Toc220361249 \h </w:instrText>
            </w:r>
            <w:r>
              <w:rPr>
                <w:noProof/>
                <w:webHidden/>
              </w:rPr>
            </w:r>
            <w:r>
              <w:rPr>
                <w:noProof/>
                <w:webHidden/>
              </w:rPr>
              <w:fldChar w:fldCharType="separate"/>
            </w:r>
            <w:r>
              <w:rPr>
                <w:noProof/>
                <w:webHidden/>
              </w:rPr>
              <w:t>11</w:t>
            </w:r>
            <w:r>
              <w:rPr>
                <w:noProof/>
                <w:webHidden/>
              </w:rPr>
              <w:fldChar w:fldCharType="end"/>
            </w:r>
          </w:hyperlink>
        </w:p>
        <w:p w14:paraId="0E7DA4F2" w14:textId="21C7422B" w:rsidR="00F96F0F" w:rsidRDefault="00F96F0F">
          <w:r>
            <w:rPr>
              <w:b/>
              <w:bCs/>
            </w:rPr>
            <w:fldChar w:fldCharType="end"/>
          </w:r>
        </w:p>
      </w:sdtContent>
    </w:sdt>
    <w:p w14:paraId="08A0719D" w14:textId="77777777" w:rsidR="00250483" w:rsidRDefault="00250483" w:rsidP="00250483">
      <w:pPr>
        <w:pStyle w:val="Heading1"/>
        <w:rPr>
          <w:sz w:val="30"/>
          <w:szCs w:val="30"/>
        </w:rPr>
      </w:pPr>
    </w:p>
    <w:p w14:paraId="60A73A1F" w14:textId="77777777" w:rsidR="00250483" w:rsidRDefault="00250483">
      <w:pPr>
        <w:rPr>
          <w:rFonts w:asciiTheme="majorHAnsi" w:eastAsiaTheme="majorEastAsia" w:hAnsiTheme="majorHAnsi" w:cstheme="majorBidi"/>
          <w:color w:val="0F4761" w:themeColor="accent1" w:themeShade="BF"/>
          <w:sz w:val="30"/>
          <w:szCs w:val="30"/>
        </w:rPr>
      </w:pPr>
      <w:r>
        <w:rPr>
          <w:sz w:val="30"/>
          <w:szCs w:val="30"/>
        </w:rPr>
        <w:br w:type="page"/>
      </w:r>
    </w:p>
    <w:p w14:paraId="62B9CCFA" w14:textId="0E3349E9" w:rsidR="006E4658" w:rsidRPr="00B01171" w:rsidRDefault="00861C32" w:rsidP="000468E5">
      <w:pPr>
        <w:pStyle w:val="Heading1"/>
        <w:jc w:val="center"/>
        <w:rPr>
          <w:sz w:val="30"/>
          <w:szCs w:val="30"/>
        </w:rPr>
      </w:pPr>
      <w:bookmarkStart w:id="0" w:name="_Toc220361232"/>
      <w:r w:rsidRPr="00B01171">
        <w:rPr>
          <w:sz w:val="30"/>
          <w:szCs w:val="30"/>
        </w:rPr>
        <w:lastRenderedPageBreak/>
        <w:t>From Dotcom to AI: Investigating speculative bubbles through monthly vo</w:t>
      </w:r>
      <w:r w:rsidR="004C34D1">
        <w:rPr>
          <w:sz w:val="30"/>
          <w:szCs w:val="30"/>
        </w:rPr>
        <w:t>lume traded</w:t>
      </w:r>
      <w:r w:rsidRPr="00B01171">
        <w:rPr>
          <w:sz w:val="30"/>
          <w:szCs w:val="30"/>
        </w:rPr>
        <w:t xml:space="preserve"> using Google Trends data</w:t>
      </w:r>
      <w:bookmarkEnd w:id="0"/>
    </w:p>
    <w:p w14:paraId="2B09423C" w14:textId="6D4901B1" w:rsidR="00861C32" w:rsidRPr="000468E5" w:rsidRDefault="00861C32" w:rsidP="00B01171">
      <w:pPr>
        <w:pStyle w:val="Subtitle"/>
        <w:rPr>
          <w:sz w:val="22"/>
          <w:szCs w:val="22"/>
        </w:rPr>
      </w:pPr>
      <w:r w:rsidRPr="000468E5">
        <w:rPr>
          <w:sz w:val="22"/>
          <w:szCs w:val="22"/>
        </w:rPr>
        <w:t>Evidence from Nasdaq-100 &amp; FTSE-100</w:t>
      </w:r>
    </w:p>
    <w:p w14:paraId="4521AF11" w14:textId="2F6BD9FC" w:rsidR="00861C32" w:rsidRDefault="00861C32" w:rsidP="00250483">
      <w:pPr>
        <w:pStyle w:val="Heading1"/>
        <w:numPr>
          <w:ilvl w:val="0"/>
          <w:numId w:val="6"/>
        </w:numPr>
      </w:pPr>
      <w:bookmarkStart w:id="1" w:name="_Toc220361233"/>
      <w:r w:rsidRPr="00861C32">
        <w:rPr>
          <w:sz w:val="24"/>
          <w:szCs w:val="24"/>
        </w:rPr>
        <w:t>Introduction</w:t>
      </w:r>
      <w:bookmarkEnd w:id="1"/>
    </w:p>
    <w:p w14:paraId="14D89C4C" w14:textId="3266EB3F" w:rsidR="00861C32" w:rsidRDefault="00F659AA" w:rsidP="00B01171">
      <w:pPr>
        <w:jc w:val="both"/>
      </w:pPr>
      <w:r>
        <w:t xml:space="preserve">Speculative trading is defined as the buying or selling of </w:t>
      </w:r>
      <w:r w:rsidR="00CA66BD">
        <w:t>financial assets</w:t>
      </w:r>
      <w:r>
        <w:t xml:space="preserve">, commodities or currencies </w:t>
      </w:r>
      <w:r w:rsidR="00CA66BD">
        <w:t>to generate</w:t>
      </w:r>
      <w:r>
        <w:t xml:space="preserve"> short-term profits from price fluctuation</w:t>
      </w:r>
      <w:r w:rsidR="00B01171">
        <w:t>s</w:t>
      </w:r>
      <w:r>
        <w:t xml:space="preserve"> (Chen,</w:t>
      </w:r>
      <w:r w:rsidR="00B01171">
        <w:t xml:space="preserve"> </w:t>
      </w:r>
      <w:r>
        <w:t>2023). It is a high-risk, high-return and volatility-focused</w:t>
      </w:r>
      <w:r w:rsidR="00B01171">
        <w:t xml:space="preserve"> trading</w:t>
      </w:r>
      <w:r>
        <w:t xml:space="preserve"> strategy derived from market news</w:t>
      </w:r>
      <w:r w:rsidR="00B01171">
        <w:t xml:space="preserve"> and investor euphoria. The dot-com bubble was a period of speculative trading </w:t>
      </w:r>
      <w:r w:rsidR="00CA66BD">
        <w:t>in US-based technology stocks in the late 1990s, driven by the rapid rise of internet-based companies with the “.com” suffix</w:t>
      </w:r>
      <w:r w:rsidR="00B01171">
        <w:t xml:space="preserve"> (Hayes, 2024). This created </w:t>
      </w:r>
      <w:r w:rsidR="0084244E">
        <w:t>investor euphoria about profits based on “anticipated future growth” rather than on fundamental</w:t>
      </w:r>
      <w:r w:rsidR="00CA66BD">
        <w:t xml:space="preserve"> analysis</w:t>
      </w:r>
      <w:r w:rsidR="00B01171">
        <w:t xml:space="preserve"> of the companies, creating an overvaluation “bubble”. </w:t>
      </w:r>
      <w:r w:rsidR="006478B8">
        <w:t xml:space="preserve">The bubble burst in 2000, collapsing unprofitable firms and wiping out trillions in investment. </w:t>
      </w:r>
    </w:p>
    <w:p w14:paraId="49B164A2" w14:textId="2930AC54" w:rsidR="002B249E" w:rsidRDefault="002B249E" w:rsidP="00B01171">
      <w:pPr>
        <w:jc w:val="both"/>
      </w:pPr>
      <w:r>
        <w:t>This project investigates the emergence of a contemporary speculative bubble associated with AI</w:t>
      </w:r>
      <w:r w:rsidR="00E501AB">
        <w:t>, drawing inspiration</w:t>
      </w:r>
      <w:r>
        <w:t xml:space="preserve"> from the dot-com era. </w:t>
      </w:r>
      <w:r w:rsidR="004415C5">
        <w:t xml:space="preserve">This report aims </w:t>
      </w:r>
      <w:r w:rsidR="00E501AB">
        <w:t>to analyse</w:t>
      </w:r>
      <w:r w:rsidR="004415C5">
        <w:t xml:space="preserve"> the trading </w:t>
      </w:r>
      <w:r w:rsidR="0084244E">
        <w:t>volumes of the high-tech index, Nasdaq-100, and the non-tech index, FTSE-100, against Google Trends data on AI-related</w:t>
      </w:r>
      <w:r w:rsidR="004415C5">
        <w:t xml:space="preserve"> keywords. This aims at understanding the specific pattern of speculative behaviours associated with bubble dynamics.</w:t>
      </w:r>
    </w:p>
    <w:p w14:paraId="2843B9F4" w14:textId="7BBB9FE6" w:rsidR="00280776" w:rsidRPr="00280776" w:rsidRDefault="002B249E" w:rsidP="00250483">
      <w:pPr>
        <w:pStyle w:val="Heading1"/>
        <w:numPr>
          <w:ilvl w:val="0"/>
          <w:numId w:val="6"/>
        </w:numPr>
        <w:rPr>
          <w:sz w:val="24"/>
          <w:szCs w:val="24"/>
        </w:rPr>
      </w:pPr>
      <w:bookmarkStart w:id="2" w:name="_Toc220361234"/>
      <w:r w:rsidRPr="002B249E">
        <w:rPr>
          <w:sz w:val="24"/>
          <w:szCs w:val="24"/>
        </w:rPr>
        <w:t>Literature Review</w:t>
      </w:r>
      <w:bookmarkEnd w:id="2"/>
    </w:p>
    <w:p w14:paraId="688FC2E8" w14:textId="72190948" w:rsidR="007E4957" w:rsidRDefault="004C34D1" w:rsidP="00B32B1E">
      <w:pPr>
        <w:jc w:val="both"/>
      </w:pPr>
      <w:r>
        <w:t>Baker and Wurgler (200</w:t>
      </w:r>
      <w:r w:rsidR="00454B6D">
        <w:t>7</w:t>
      </w:r>
      <w:r>
        <w:t>) classified six proxies to measure investor sentiment. Trading volume is often seen as a measure of market liquidity</w:t>
      </w:r>
      <w:r w:rsidR="000B17D1">
        <w:t xml:space="preserve">. When short selling is more costly or constrained relative to long positions, investors are more inclined to trade during periods of future stock price appreciation, thereby increasing market liquidity (Baker and Stein, 2004). </w:t>
      </w:r>
      <w:r w:rsidR="00F00BF0">
        <w:t>Moreover, an unusual</w:t>
      </w:r>
      <w:r w:rsidR="000468E5">
        <w:t>ly</w:t>
      </w:r>
      <w:r w:rsidR="00F00BF0">
        <w:t xml:space="preserve"> liquid market is </w:t>
      </w:r>
      <w:r w:rsidR="000468E5">
        <w:t xml:space="preserve">indicative of heightened participation </w:t>
      </w:r>
      <w:r w:rsidR="00F00BF0">
        <w:t>of irrational investors who underreact to order flow information</w:t>
      </w:r>
      <w:r w:rsidR="000468E5">
        <w:t xml:space="preserve"> (Baker and Stein</w:t>
      </w:r>
      <w:r w:rsidR="00454B6D">
        <w:t>, 2004</w:t>
      </w:r>
      <w:r w:rsidR="000468E5">
        <w:t>)</w:t>
      </w:r>
      <w:r w:rsidR="00F00BF0">
        <w:t xml:space="preserve">, prompting temporarily inflated asset pricing, hence arising speculative trading, </w:t>
      </w:r>
      <w:r w:rsidR="000468E5">
        <w:t xml:space="preserve">conditions that are often associated with the emergence of asset price bubbles within a sector. </w:t>
      </w:r>
    </w:p>
    <w:p w14:paraId="7EDEE067" w14:textId="700AC761" w:rsidR="003D62D8" w:rsidRDefault="007E4957" w:rsidP="00B32B1E">
      <w:pPr>
        <w:jc w:val="both"/>
      </w:pPr>
      <w:r>
        <w:t>Similarly</w:t>
      </w:r>
      <w:r w:rsidR="003E5DC5">
        <w:t>, rationalist economists would argue that</w:t>
      </w:r>
      <w:r w:rsidR="0084244E">
        <w:t xml:space="preserve"> high trading volume reflects greater market efficiency and reduces volatility by facilitating price discovery</w:t>
      </w:r>
      <w:r w:rsidR="003E5DC5">
        <w:t xml:space="preserve"> (Raza et al., 2025). This suggests that stocks with higher trading volume may have more stable prices and liquidity, but it still indicates a symmetrical relationship between investor attention and market behaviour. These perspectives </w:t>
      </w:r>
      <w:r w:rsidR="00485ABB">
        <w:t>suggest that trading volume captures both efficiency-driven and sentiment-driven trading activity, making it a valuable indicator for examining the interaction between investor attention, market behaviour and speculative dynamics.</w:t>
      </w:r>
    </w:p>
    <w:p w14:paraId="6F035308" w14:textId="5A6CE830" w:rsidR="00BD760C" w:rsidRPr="007E4957" w:rsidRDefault="00BD760C" w:rsidP="00B32B1E">
      <w:pPr>
        <w:jc w:val="both"/>
        <w:rPr>
          <w:i/>
          <w:iCs/>
        </w:rPr>
      </w:pPr>
      <w:r>
        <w:t xml:space="preserve">The current AI hype exhibits the classic signature of a technology bubble, echoing observed patterns of the </w:t>
      </w:r>
      <w:r w:rsidR="00A36187">
        <w:t>“Dotcom</w:t>
      </w:r>
      <w:r>
        <w:t xml:space="preserve"> </w:t>
      </w:r>
      <w:r w:rsidR="00A36187">
        <w:t xml:space="preserve">bubble” </w:t>
      </w:r>
      <w:r>
        <w:t>in four dimension</w:t>
      </w:r>
      <w:r w:rsidR="00A36187">
        <w:t>s: technological promise and overgeneralisation, capital flows, market narratives and commercial viability (</w:t>
      </w:r>
      <w:proofErr w:type="spellStart"/>
      <w:r w:rsidR="00454B6D" w:rsidRPr="00454B6D">
        <w:t>Floridi</w:t>
      </w:r>
      <w:proofErr w:type="spellEnd"/>
      <w:r w:rsidR="00454B6D" w:rsidRPr="00454B6D">
        <w:t>, 2024</w:t>
      </w:r>
      <w:r w:rsidR="00A36187">
        <w:t xml:space="preserve">). This means that hype of AI applications faces accelerated capital inflows, investments and tech -equity trading mirroring a growing “speculative bubble”. </w:t>
      </w:r>
      <w:r w:rsidR="00041A13">
        <w:t xml:space="preserve">However, these market patterns are mostly associated </w:t>
      </w:r>
      <w:r w:rsidR="00955F23">
        <w:t xml:space="preserve">few companies earning heightened </w:t>
      </w:r>
      <w:r w:rsidR="007E4957">
        <w:t>stock prices of top tech companies</w:t>
      </w:r>
      <w:r w:rsidR="00955F23">
        <w:t xml:space="preserve"> like Nvidia</w:t>
      </w:r>
      <w:r w:rsidR="007E4957">
        <w:t>,</w:t>
      </w:r>
      <w:r w:rsidR="00955F23">
        <w:t xml:space="preserve"> </w:t>
      </w:r>
      <w:r w:rsidR="007E4957">
        <w:t>which has seen exponential growth after 2024 (</w:t>
      </w:r>
      <w:r w:rsidR="007E4957">
        <w:rPr>
          <w:i/>
          <w:iCs/>
        </w:rPr>
        <w:t xml:space="preserve">See Figure 1). </w:t>
      </w:r>
    </w:p>
    <w:p w14:paraId="034A24F5" w14:textId="77777777" w:rsidR="00E4426B" w:rsidRDefault="00E4426B" w:rsidP="00E4426B">
      <w:pPr>
        <w:keepNext/>
        <w:jc w:val="both"/>
      </w:pPr>
      <w:r>
        <w:rPr>
          <w:noProof/>
          <w:color w:val="45B0E1" w:themeColor="accent1" w:themeTint="99"/>
        </w:rPr>
        <w:lastRenderedPageBreak/>
        <mc:AlternateContent>
          <mc:Choice Requires="wps">
            <w:drawing>
              <wp:anchor distT="0" distB="0" distL="114300" distR="114300" simplePos="0" relativeHeight="251663360" behindDoc="0" locked="0" layoutInCell="1" allowOverlap="1" wp14:anchorId="273C8DBC" wp14:editId="455B37CB">
                <wp:simplePos x="0" y="0"/>
                <wp:positionH relativeFrom="rightMargin">
                  <wp:align>left</wp:align>
                </wp:positionH>
                <wp:positionV relativeFrom="paragraph">
                  <wp:posOffset>508000</wp:posOffset>
                </wp:positionV>
                <wp:extent cx="280554" cy="9236"/>
                <wp:effectExtent l="0" t="0" r="24765" b="29210"/>
                <wp:wrapNone/>
                <wp:docPr id="315114085" name="Straight Connector 5"/>
                <wp:cNvGraphicFramePr/>
                <a:graphic xmlns:a="http://schemas.openxmlformats.org/drawingml/2006/main">
                  <a:graphicData uri="http://schemas.microsoft.com/office/word/2010/wordprocessingShape">
                    <wps:wsp>
                      <wps:cNvCnPr/>
                      <wps:spPr>
                        <a:xfrm flipV="1">
                          <a:off x="0" y="0"/>
                          <a:ext cx="280554" cy="9236"/>
                        </a:xfrm>
                        <a:prstGeom prst="line">
                          <a:avLst/>
                        </a:prstGeom>
                        <a:ln>
                          <a:solidFill>
                            <a:srgbClr val="FFC000"/>
                          </a:solidFill>
                        </a:ln>
                      </wps:spPr>
                      <wps:style>
                        <a:lnRef idx="3">
                          <a:schemeClr val="accent2"/>
                        </a:lnRef>
                        <a:fillRef idx="0">
                          <a:schemeClr val="accent2"/>
                        </a:fillRef>
                        <a:effectRef idx="2">
                          <a:schemeClr val="accent2"/>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6764A2D5" id="Straight Connector 5" o:spid="_x0000_s1026" style="position:absolute;flip:y;z-index:251663360;visibility:visible;mso-wrap-style:square;mso-width-percent:0;mso-height-percent:0;mso-wrap-distance-left:9pt;mso-wrap-distance-top:0;mso-wrap-distance-right:9pt;mso-wrap-distance-bottom:0;mso-position-horizontal:left;mso-position-horizontal-relative:right-margin-area;mso-position-vertical:absolute;mso-position-vertical-relative:text;mso-width-percent:0;mso-height-percent:0;mso-width-relative:margin;mso-height-relative:margin" from="0,40pt" to="22.1pt,40.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" strokecolor="#ffc000" strokeweight="1.5pt">
                <v:stroke joinstyle="miter"/>
                <w10:wrap anchorx="margin"/>
              </v:line>
            </w:pict>
          </mc:Fallback>
        </mc:AlternateContent>
      </w:r>
      <w:r w:rsidRPr="00E4426B">
        <w:rPr>
          <w:noProof/>
          <w:color w:val="45B0E1" w:themeColor="accent1" w:themeTint="99"/>
        </w:rPr>
        <mc:AlternateContent>
          <mc:Choice Requires="wps">
            <w:drawing>
              <wp:anchor distT="0" distB="0" distL="114300" distR="114300" simplePos="0" relativeHeight="251662336" behindDoc="0" locked="0" layoutInCell="1" allowOverlap="1" wp14:anchorId="4F4EAF20" wp14:editId="58A9FFD9">
                <wp:simplePos x="0" y="0"/>
                <wp:positionH relativeFrom="rightMargin">
                  <wp:align>left</wp:align>
                </wp:positionH>
                <wp:positionV relativeFrom="paragraph">
                  <wp:posOffset>240144</wp:posOffset>
                </wp:positionV>
                <wp:extent cx="253884" cy="4619"/>
                <wp:effectExtent l="0" t="0" r="32385" b="33655"/>
                <wp:wrapNone/>
                <wp:docPr id="639085729" name="Straight Connector 3"/>
                <wp:cNvGraphicFramePr/>
                <a:graphic xmlns:a="http://schemas.openxmlformats.org/drawingml/2006/main">
                  <a:graphicData uri="http://schemas.microsoft.com/office/word/2010/wordprocessingShape">
                    <wps:wsp>
                      <wps:cNvCnPr/>
                      <wps:spPr>
                        <a:xfrm flipV="1">
                          <a:off x="0" y="0"/>
                          <a:ext cx="253884" cy="4619"/>
                        </a:xfrm>
                        <a:prstGeom prst="line">
                          <a:avLst/>
                        </a:prstGeom>
                        <a:ln>
                          <a:solidFill>
                            <a:schemeClr val="tx2">
                              <a:lumMod val="50000"/>
                              <a:lumOff val="50000"/>
                            </a:schemeClr>
                          </a:solidFill>
                        </a:ln>
                      </wps:spPr>
                      <wps:style>
                        <a:lnRef idx="3">
                          <a:schemeClr val="accent1"/>
                        </a:lnRef>
                        <a:fillRef idx="0">
                          <a:schemeClr val="accent1"/>
                        </a:fillRef>
                        <a:effectRef idx="2">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34624364" id="Straight Connector 3" o:spid="_x0000_s1026" style="position:absolute;flip:y;z-index:251662336;visibility:visible;mso-wrap-style:square;mso-width-percent:0;mso-height-percent:0;mso-wrap-distance-left:9pt;mso-wrap-distance-top:0;mso-wrap-distance-right:9pt;mso-wrap-distance-bottom:0;mso-position-horizontal:left;mso-position-horizontal-relative:right-margin-area;mso-position-vertical:absolute;mso-position-vertical-relative:text;mso-width-percent:0;mso-height-percent:0;mso-width-relative:margin;mso-height-relative:margin" from="0,18.9pt" to="20pt,19.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" strokecolor="#4e95d9 [1631]" strokeweight="1.5pt">
                <v:stroke joinstyle="miter"/>
                <w10:wrap anchorx="margin"/>
              </v:line>
            </w:pict>
          </mc:Fallback>
        </mc:AlternateContent>
      </w:r>
      <w:r>
        <w:rPr>
          <w:noProof/>
          <w:color w:val="45B0E1" w:themeColor="accent1" w:themeTint="99"/>
        </w:rPr>
        <mc:AlternateContent>
          <mc:Choice Requires="wps">
            <w:drawing>
              <wp:anchor distT="0" distB="0" distL="114300" distR="114300" simplePos="0" relativeHeight="251665408" behindDoc="0" locked="0" layoutInCell="1" allowOverlap="1" wp14:anchorId="6F20BFBF" wp14:editId="2D1C947E">
                <wp:simplePos x="0" y="0"/>
                <wp:positionH relativeFrom="column">
                  <wp:posOffset>5805055</wp:posOffset>
                </wp:positionH>
                <wp:positionV relativeFrom="paragraph">
                  <wp:posOffset>1071418</wp:posOffset>
                </wp:positionV>
                <wp:extent cx="235527" cy="0"/>
                <wp:effectExtent l="0" t="0" r="0" b="0"/>
                <wp:wrapNone/>
                <wp:docPr id="1860549363" name="Straight Connector 8"/>
                <wp:cNvGraphicFramePr/>
                <a:graphic xmlns:a="http://schemas.openxmlformats.org/drawingml/2006/main">
                  <a:graphicData uri="http://schemas.microsoft.com/office/word/2010/wordprocessingShape">
                    <wps:wsp>
                      <wps:cNvCnPr/>
                      <wps:spPr>
                        <a:xfrm flipV="1">
                          <a:off x="0" y="0"/>
                          <a:ext cx="235527" cy="0"/>
                        </a:xfrm>
                        <a:prstGeom prst="line">
                          <a:avLst/>
                        </a:prstGeom>
                        <a:ln>
                          <a:solidFill>
                            <a:srgbClr val="43E1E5"/>
                          </a:solidFill>
                        </a:ln>
                      </wps:spPr>
                      <wps:style>
                        <a:lnRef idx="3">
                          <a:schemeClr val="accent4"/>
                        </a:lnRef>
                        <a:fillRef idx="0">
                          <a:schemeClr val="accent4"/>
                        </a:fillRef>
                        <a:effectRef idx="2">
                          <a:schemeClr val="accent4"/>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5849360C" id="Straight Connector 8" o:spid="_x0000_s1026" style="position:absolute;flip:y;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457.1pt,84.35pt" to="475.65pt,84.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" strokecolor="#43e1e5" strokeweight="1.5pt">
                <v:stroke joinstyle="miter"/>
              </v:line>
            </w:pict>
          </mc:Fallback>
        </mc:AlternateContent>
      </w:r>
      <w:r>
        <w:rPr>
          <w:noProof/>
          <w:color w:val="45B0E1" w:themeColor="accent1" w:themeTint="99"/>
        </w:rPr>
        <mc:AlternateContent>
          <mc:Choice Requires="wps">
            <w:drawing>
              <wp:anchor distT="0" distB="0" distL="114300" distR="114300" simplePos="0" relativeHeight="251664384" behindDoc="0" locked="0" layoutInCell="1" allowOverlap="1" wp14:anchorId="2AE3B58B" wp14:editId="1B270123">
                <wp:simplePos x="0" y="0"/>
                <wp:positionH relativeFrom="column">
                  <wp:posOffset>5724939</wp:posOffset>
                </wp:positionH>
                <wp:positionV relativeFrom="paragraph">
                  <wp:posOffset>811033</wp:posOffset>
                </wp:positionV>
                <wp:extent cx="285695" cy="0"/>
                <wp:effectExtent l="0" t="0" r="0" b="0"/>
                <wp:wrapNone/>
                <wp:docPr id="532246422" name="Straight Connector 7"/>
                <wp:cNvGraphicFramePr/>
                <a:graphic xmlns:a="http://schemas.openxmlformats.org/drawingml/2006/main">
                  <a:graphicData uri="http://schemas.microsoft.com/office/word/2010/wordprocessingShape">
                    <wps:wsp>
                      <wps:cNvCnPr/>
                      <wps:spPr>
                        <a:xfrm>
                          <a:off x="0" y="0"/>
                          <a:ext cx="285695" cy="0"/>
                        </a:xfrm>
                        <a:prstGeom prst="line">
                          <a:avLst/>
                        </a:prstGeom>
                      </wps:spPr>
                      <wps:style>
                        <a:lnRef idx="3">
                          <a:schemeClr val="accent2"/>
                        </a:lnRef>
                        <a:fillRef idx="0">
                          <a:schemeClr val="accent2"/>
                        </a:fillRef>
                        <a:effectRef idx="2">
                          <a:schemeClr val="accent2"/>
                        </a:effectRef>
                        <a:fontRef idx="minor">
                          <a:schemeClr val="tx1"/>
                        </a:fontRef>
                      </wps:style>
                      <wps:bodyPr/>
                    </wps:wsp>
                  </a:graphicData>
                </a:graphic>
              </wp:anchor>
            </w:drawing>
          </mc:Choice>
          <mc:Fallback>
            <w:pict>
              <v:line w14:anchorId="186328C2" id="Straight Connector 7" o:spid="_x0000_s1026" style="position:absolute;z-index:251664384;visibility:visible;mso-wrap-style:square;mso-wrap-distance-left:9pt;mso-wrap-distance-top:0;mso-wrap-distance-right:9pt;mso-wrap-distance-bottom:0;mso-position-horizontal:absolute;mso-position-horizontal-relative:text;mso-position-vertical:absolute;mso-position-vertical-relative:text" from="450.8pt,63.85pt" to="473.3pt,63.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" strokecolor="#e97132 [3205]" strokeweight="1.5pt">
                <v:stroke joinstyle="miter"/>
              </v:line>
            </w:pict>
          </mc:Fallback>
        </mc:AlternateContent>
      </w:r>
      <w:r>
        <w:rPr>
          <w:noProof/>
        </w:rPr>
        <mc:AlternateContent>
          <mc:Choice Requires="wps">
            <w:drawing>
              <wp:anchor distT="0" distB="0" distL="114300" distR="114300" simplePos="0" relativeHeight="251661312" behindDoc="0" locked="0" layoutInCell="1" allowOverlap="1" wp14:anchorId="25C8FBC1" wp14:editId="6EAB2E67">
                <wp:simplePos x="0" y="0"/>
                <wp:positionH relativeFrom="column">
                  <wp:posOffset>4778734</wp:posOffset>
                </wp:positionH>
                <wp:positionV relativeFrom="paragraph">
                  <wp:posOffset>87464</wp:posOffset>
                </wp:positionV>
                <wp:extent cx="1415332" cy="1391479"/>
                <wp:effectExtent l="0" t="0" r="13970" b="18415"/>
                <wp:wrapNone/>
                <wp:docPr id="166616124" name="Text Box 2"/>
                <wp:cNvGraphicFramePr/>
                <a:graphic xmlns:a="http://schemas.openxmlformats.org/drawingml/2006/main">
                  <a:graphicData uri="http://schemas.microsoft.com/office/word/2010/wordprocessingShape">
                    <wps:wsp>
                      <wps:cNvSpPr txBox="1"/>
                      <wps:spPr>
                        <a:xfrm>
                          <a:off x="0" y="0"/>
                          <a:ext cx="1415332" cy="1391479"/>
                        </a:xfrm>
                        <a:prstGeom prst="rect">
                          <a:avLst/>
                        </a:prstGeom>
                        <a:noFill/>
                        <a:ln w="6350">
                          <a:solidFill>
                            <a:schemeClr val="tx1"/>
                          </a:solidFill>
                        </a:ln>
                      </wps:spPr>
                      <wps:txbx>
                        <w:txbxContent>
                          <w:p w14:paraId="787F6920" w14:textId="00F9400C" w:rsidR="00E4426B" w:rsidRDefault="00E4426B">
                            <w:r>
                              <w:t>Nvidia Corp</w:t>
                            </w:r>
                          </w:p>
                          <w:p w14:paraId="1B712DAE" w14:textId="75840DA1" w:rsidR="00E4426B" w:rsidRDefault="00E4426B">
                            <w:r>
                              <w:t xml:space="preserve">Alphabet Inc </w:t>
                            </w:r>
                          </w:p>
                          <w:p w14:paraId="74685C28" w14:textId="21E64C26" w:rsidR="00E4426B" w:rsidRDefault="00E4426B">
                            <w:r>
                              <w:t>Amazon.com</w:t>
                            </w:r>
                          </w:p>
                          <w:p w14:paraId="03787B6B" w14:textId="21430634" w:rsidR="00E4426B" w:rsidRDefault="00E4426B">
                            <w:r>
                              <w:t>Microsoft Corp</w:t>
                            </w:r>
                          </w:p>
                          <w:p w14:paraId="0FB4B00D" w14:textId="77777777" w:rsidR="00E4426B" w:rsidRDefault="00E4426B"/>
                          <w:p w14:paraId="2A962923" w14:textId="77777777" w:rsidR="00E4426B" w:rsidRDefault="00E4426B"/>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5C8FBC1" id="Text Box 2" o:spid="_x0000_s1030" type="#_x0000_t202" style="position:absolute;left:0;text-align:left;margin-left:376.3pt;margin-top:6.9pt;width:111.45pt;height:109.55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" filled="f" strokecolor="black [3213]" strokeweight=".5pt">
                <v:textbox>
                  <w:txbxContent>
                    <w:p w14:paraId="787F6920" w14:textId="00F9400C" w:rsidR="00E4426B" w:rsidRDefault="00E4426B">
                      <w:r>
                        <w:t>Nvidia Corp</w:t>
                      </w:r>
                    </w:p>
                    <w:p w14:paraId="1B712DAE" w14:textId="75840DA1" w:rsidR="00E4426B" w:rsidRDefault="00E4426B">
                      <w:r>
                        <w:t xml:space="preserve">Alphabet Inc </w:t>
                      </w:r>
                    </w:p>
                    <w:p w14:paraId="74685C28" w14:textId="21E64C26" w:rsidR="00E4426B" w:rsidRDefault="00E4426B">
                      <w:r>
                        <w:t>Amazon.com</w:t>
                      </w:r>
                    </w:p>
                    <w:p w14:paraId="03787B6B" w14:textId="21430634" w:rsidR="00E4426B" w:rsidRDefault="00E4426B">
                      <w:r>
                        <w:t>Microsoft Corp</w:t>
                      </w:r>
                    </w:p>
                    <w:p w14:paraId="0FB4B00D" w14:textId="77777777" w:rsidR="00E4426B" w:rsidRDefault="00E4426B"/>
                    <w:p w14:paraId="2A962923" w14:textId="77777777" w:rsidR="00E4426B" w:rsidRDefault="00E4426B"/>
                  </w:txbxContent>
                </v:textbox>
              </v:shape>
            </w:pict>
          </mc:Fallback>
        </mc:AlternateContent>
      </w:r>
      <w:r w:rsidRPr="00E4426B">
        <w:rPr>
          <w:noProof/>
        </w:rPr>
        <w:drawing>
          <wp:inline distT="0" distB="0" distL="0" distR="0" wp14:anchorId="3850D815" wp14:editId="2D6EF95C">
            <wp:extent cx="4817968" cy="1987826"/>
            <wp:effectExtent l="0" t="0" r="1905" b="0"/>
            <wp:docPr id="1647726204" name="Picture 1" descr="A graph of a line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7726204" name="Picture 1" descr="A graph of a line graph&#10;&#10;AI-generated content may be incorrect."/>
                    <pic:cNvPicPr/>
                  </pic:nvPicPr>
                  <pic:blipFill>
                    <a:blip r:embed="rId9"/>
                    <a:stretch>
                      <a:fillRect/>
                    </a:stretch>
                  </pic:blipFill>
                  <pic:spPr>
                    <a:xfrm>
                      <a:off x="0" y="0"/>
                      <a:ext cx="4854877" cy="2003054"/>
                    </a:xfrm>
                    <a:prstGeom prst="rect">
                      <a:avLst/>
                    </a:prstGeom>
                  </pic:spPr>
                </pic:pic>
              </a:graphicData>
            </a:graphic>
          </wp:inline>
        </w:drawing>
      </w:r>
    </w:p>
    <w:p w14:paraId="75E74995" w14:textId="6410940A" w:rsidR="00E4426B" w:rsidRDefault="00E4426B" w:rsidP="007E4957">
      <w:pPr>
        <w:pStyle w:val="Caption"/>
        <w:jc w:val="center"/>
      </w:pPr>
      <w:r w:rsidRPr="007E4957">
        <w:rPr>
          <w:color w:val="auto"/>
        </w:rPr>
        <w:t xml:space="preserve">Figure </w:t>
      </w:r>
      <w:r w:rsidRPr="007E4957">
        <w:rPr>
          <w:color w:val="auto"/>
        </w:rPr>
        <w:fldChar w:fldCharType="begin"/>
      </w:r>
      <w:r w:rsidRPr="007E4957">
        <w:rPr>
          <w:color w:val="auto"/>
        </w:rPr>
        <w:instrText xml:space="preserve"> SEQ Figure \* ARABIC </w:instrText>
      </w:r>
      <w:r w:rsidRPr="007E4957">
        <w:rPr>
          <w:color w:val="auto"/>
        </w:rPr>
        <w:fldChar w:fldCharType="separate"/>
      </w:r>
      <w:r w:rsidR="00962AD9">
        <w:rPr>
          <w:noProof/>
          <w:color w:val="auto"/>
        </w:rPr>
        <w:t>1</w:t>
      </w:r>
      <w:r w:rsidRPr="007E4957">
        <w:rPr>
          <w:color w:val="auto"/>
        </w:rPr>
        <w:fldChar w:fldCharType="end"/>
      </w:r>
      <w:r w:rsidRPr="007E4957">
        <w:rPr>
          <w:color w:val="auto"/>
        </w:rPr>
        <w:t>: Stock Prices of Nvidia Corp, Alphabet Inc (Google), Amazon and Microsoft Corp</w:t>
      </w:r>
      <w:r w:rsidR="001A62CA">
        <w:rPr>
          <w:color w:val="auto"/>
        </w:rPr>
        <w:t xml:space="preserve"> (Google </w:t>
      </w:r>
      <w:r w:rsidR="0025769A">
        <w:rPr>
          <w:color w:val="auto"/>
        </w:rPr>
        <w:t>Finance</w:t>
      </w:r>
      <w:r w:rsidR="001A62CA">
        <w:rPr>
          <w:color w:val="auto"/>
        </w:rPr>
        <w:t>, 2025)</w:t>
      </w:r>
    </w:p>
    <w:p w14:paraId="0853AD22" w14:textId="584570F3" w:rsidR="007C39EF" w:rsidRDefault="007C39EF" w:rsidP="00B11B0B">
      <w:pPr>
        <w:jc w:val="both"/>
      </w:pPr>
      <w:r>
        <w:t xml:space="preserve">A study written by Jang </w:t>
      </w:r>
      <w:r w:rsidR="00454B6D">
        <w:t xml:space="preserve">(2025) </w:t>
      </w:r>
      <w:r>
        <w:t>concluded that the AI bubble is selective in nature, only notable in Nvidia Corp and Tesla due to their explosive price behaviour and volatility pattern consistent with bubble dynamics. In contrast, other major AI-associated companies like Alphabet, Meta and Microsoft display no speculative trading patterns (Jang</w:t>
      </w:r>
      <w:r w:rsidR="00454B6D">
        <w:t>, 2025</w:t>
      </w:r>
      <w:r>
        <w:t xml:space="preserve">). This concludes that AI hype is firm-specific rather than systematic. </w:t>
      </w:r>
    </w:p>
    <w:p w14:paraId="6E1D5C7B" w14:textId="77777777" w:rsidR="00A661DD" w:rsidRDefault="00A661DD" w:rsidP="00B11B0B">
      <w:pPr>
        <w:jc w:val="both"/>
      </w:pPr>
      <w:r>
        <w:t xml:space="preserve">The empirical evidence highlights the investor sentiment around tech companies and the use of volume trading as investor sentiment. However, behavioural economists have also identified Google Search Volume Index as a proxy to measure investor attention influencing stock market behaviour (Raza et al., 2024). </w:t>
      </w:r>
      <w:r w:rsidR="00B32B1E" w:rsidRPr="002F19D1">
        <w:t>Da, Engelberg and Gao</w:t>
      </w:r>
      <w:r w:rsidR="00B32B1E">
        <w:t xml:space="preserve"> (</w:t>
      </w:r>
      <w:r w:rsidR="00B32B1E" w:rsidRPr="002F19D1">
        <w:t>2011</w:t>
      </w:r>
      <w:r w:rsidR="00B32B1E">
        <w:t xml:space="preserve">) studied the implications of investor attention and stock prices using Google search frequency. The authors found that the search volume index is correlated with existing investor sentiment proxies like volume traded and turnover. Hence, an increase in SVI is linked to higher prices over the 2 weeks, indicating temporary price pressure and capturing attention-related trading. </w:t>
      </w:r>
    </w:p>
    <w:p w14:paraId="1B9A0803" w14:textId="70E293FA" w:rsidR="00B11B0B" w:rsidRPr="00B11B0B" w:rsidRDefault="00B32B1E" w:rsidP="00B11B0B">
      <w:pPr>
        <w:jc w:val="both"/>
      </w:pPr>
      <w:r>
        <w:t xml:space="preserve">Figure </w:t>
      </w:r>
      <w:r w:rsidR="00A661DD">
        <w:t>2</w:t>
      </w:r>
      <w:r>
        <w:t xml:space="preserve"> shows that normal and abnormal SVI increase around IPO (Initial Price Offering) event sharply with heightened trading volume, turnover and media coverage</w:t>
      </w:r>
      <w:r w:rsidR="00DD0B6E">
        <w:t xml:space="preserve"> (Da et al., 2011)</w:t>
      </w:r>
      <w:r>
        <w:t xml:space="preserve">. </w:t>
      </w:r>
      <w:r w:rsidR="001B56DA">
        <w:rPr>
          <w:noProof/>
        </w:rPr>
        <w:drawing>
          <wp:anchor distT="0" distB="0" distL="114300" distR="114300" simplePos="0" relativeHeight="251669504" behindDoc="0" locked="0" layoutInCell="1" allowOverlap="1" wp14:anchorId="03BF8B79" wp14:editId="4C9EA453">
            <wp:simplePos x="0" y="0"/>
            <wp:positionH relativeFrom="margin">
              <wp:posOffset>2969097</wp:posOffset>
            </wp:positionH>
            <wp:positionV relativeFrom="paragraph">
              <wp:posOffset>425865</wp:posOffset>
            </wp:positionV>
            <wp:extent cx="2898775" cy="2000250"/>
            <wp:effectExtent l="0" t="0" r="0" b="0"/>
            <wp:wrapTopAndBottom/>
            <wp:docPr id="1768580621" name="Picture 2" descr="Details are in the caption following the 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Details are in the caption following the image"/>
                    <pic:cNvPicPr>
                      <a:picLocks noChangeAspect="1" noChangeArrowheads="1"/>
                    </pic:cNvPicPr>
                  </pic:nvPicPr>
                  <pic:blipFill rotWithShape="1">
                    <a:blip r:embed="rId10" cstate="print">
                      <a:extLst>
                        <a:ext uri="{28A0092B-C50C-407E-A947-70E740481C1C}">
                          <a14:useLocalDpi xmlns:a14="http://schemas.microsoft.com/office/drawing/2010/main" val="0"/>
                        </a:ext>
                      </a:extLst>
                    </a:blip>
                    <a:srcRect t="49352"/>
                    <a:stretch>
                      <a:fillRect/>
                    </a:stretch>
                  </pic:blipFill>
                  <pic:spPr bwMode="auto">
                    <a:xfrm>
                      <a:off x="0" y="0"/>
                      <a:ext cx="2898775" cy="200025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1B56DA">
        <w:rPr>
          <w:noProof/>
        </w:rPr>
        <mc:AlternateContent>
          <mc:Choice Requires="wps">
            <w:drawing>
              <wp:anchor distT="0" distB="0" distL="114300" distR="114300" simplePos="0" relativeHeight="251660288" behindDoc="0" locked="0" layoutInCell="1" allowOverlap="1" wp14:anchorId="680AF36A" wp14:editId="22036F83">
                <wp:simplePos x="0" y="0"/>
                <wp:positionH relativeFrom="margin">
                  <wp:posOffset>-184779</wp:posOffset>
                </wp:positionH>
                <wp:positionV relativeFrom="paragraph">
                  <wp:posOffset>2674677</wp:posOffset>
                </wp:positionV>
                <wp:extent cx="6107430" cy="635"/>
                <wp:effectExtent l="0" t="0" r="7620" b="0"/>
                <wp:wrapTopAndBottom/>
                <wp:docPr id="276799794" name="Text Box 1"/>
                <wp:cNvGraphicFramePr/>
                <a:graphic xmlns:a="http://schemas.openxmlformats.org/drawingml/2006/main">
                  <a:graphicData uri="http://schemas.microsoft.com/office/word/2010/wordprocessingShape">
                    <wps:wsp>
                      <wps:cNvSpPr txBox="1"/>
                      <wps:spPr>
                        <a:xfrm>
                          <a:off x="0" y="0"/>
                          <a:ext cx="6107430" cy="635"/>
                        </a:xfrm>
                        <a:prstGeom prst="rect">
                          <a:avLst/>
                        </a:prstGeom>
                        <a:solidFill>
                          <a:prstClr val="white"/>
                        </a:solidFill>
                        <a:ln>
                          <a:noFill/>
                        </a:ln>
                      </wps:spPr>
                      <wps:txbx>
                        <w:txbxContent>
                          <w:p w14:paraId="55D763DA" w14:textId="3421115D" w:rsidR="004415C5" w:rsidRPr="00DD0B6E" w:rsidRDefault="006B0C5B" w:rsidP="004415C5">
                            <w:pPr>
                              <w:pStyle w:val="Caption"/>
                              <w:rPr>
                                <w:color w:val="auto"/>
                              </w:rPr>
                            </w:pPr>
                            <w:r w:rsidRPr="00DD0B6E">
                              <w:rPr>
                                <w:color w:val="auto"/>
                              </w:rPr>
                              <w:t xml:space="preserve">Figure </w:t>
                            </w:r>
                            <w:r w:rsidRPr="00DD0B6E">
                              <w:rPr>
                                <w:color w:val="auto"/>
                              </w:rPr>
                              <w:fldChar w:fldCharType="begin"/>
                            </w:r>
                            <w:r w:rsidRPr="00DD0B6E">
                              <w:rPr>
                                <w:color w:val="auto"/>
                              </w:rPr>
                              <w:instrText xml:space="preserve"> SEQ Figure \* ARABIC </w:instrText>
                            </w:r>
                            <w:r w:rsidRPr="00DD0B6E">
                              <w:rPr>
                                <w:color w:val="auto"/>
                              </w:rPr>
                              <w:fldChar w:fldCharType="separate"/>
                            </w:r>
                            <w:r w:rsidR="00962AD9">
                              <w:rPr>
                                <w:noProof/>
                                <w:color w:val="auto"/>
                              </w:rPr>
                              <w:t>2</w:t>
                            </w:r>
                            <w:r w:rsidRPr="00DD0B6E">
                              <w:rPr>
                                <w:color w:val="auto"/>
                              </w:rPr>
                              <w:fldChar w:fldCharType="end"/>
                            </w:r>
                            <w:r w:rsidRPr="00DD0B6E">
                              <w:rPr>
                                <w:color w:val="auto"/>
                              </w:rPr>
                              <w:t>:</w:t>
                            </w:r>
                            <w:r w:rsidR="002B249E" w:rsidRPr="00DD0B6E">
                              <w:rPr>
                                <w:color w:val="auto"/>
                              </w:rPr>
                              <w:t xml:space="preserve"> Normal and Abnormal</w:t>
                            </w:r>
                            <w:r w:rsidRPr="00DD0B6E">
                              <w:rPr>
                                <w:color w:val="auto"/>
                              </w:rPr>
                              <w:t xml:space="preserve"> </w:t>
                            </w:r>
                            <w:r w:rsidR="002B249E" w:rsidRPr="00DD0B6E">
                              <w:rPr>
                                <w:color w:val="auto"/>
                              </w:rPr>
                              <w:t>Search Volume Intensity (</w:t>
                            </w:r>
                            <w:r w:rsidRPr="00DD0B6E">
                              <w:rPr>
                                <w:color w:val="auto"/>
                              </w:rPr>
                              <w:t>SVI</w:t>
                            </w:r>
                            <w:r w:rsidR="002B249E" w:rsidRPr="00DD0B6E">
                              <w:rPr>
                                <w:color w:val="auto"/>
                              </w:rPr>
                              <w:t>)</w:t>
                            </w:r>
                            <w:r w:rsidRPr="00DD0B6E">
                              <w:rPr>
                                <w:color w:val="auto"/>
                              </w:rPr>
                              <w:t xml:space="preserve"> around </w:t>
                            </w:r>
                            <w:r w:rsidR="002B249E" w:rsidRPr="00DD0B6E">
                              <w:rPr>
                                <w:color w:val="auto"/>
                              </w:rPr>
                              <w:t xml:space="preserve">(Initial Public Offering) </w:t>
                            </w:r>
                            <w:r w:rsidRPr="00DD0B6E">
                              <w:rPr>
                                <w:color w:val="auto"/>
                              </w:rPr>
                              <w:t>IPO</w:t>
                            </w:r>
                            <w:r w:rsidR="002B249E" w:rsidRPr="00DD0B6E">
                              <w:rPr>
                                <w:color w:val="auto"/>
                              </w:rPr>
                              <w:t xml:space="preserve"> events</w:t>
                            </w:r>
                            <w:r w:rsidR="00DD0B6E" w:rsidRPr="00DD0B6E">
                              <w:rPr>
                                <w:color w:val="auto"/>
                              </w:rPr>
                              <w:t xml:space="preserve">   </w:t>
                            </w:r>
                            <w:r w:rsidR="004415C5" w:rsidRPr="00DD0B6E">
                              <w:rPr>
                                <w:color w:val="auto"/>
                              </w:rPr>
                              <w:t>(Da et al., 2011)</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 w14:anchorId="680AF36A" id="Text Box 1" o:spid="_x0000_s1031" type="#_x0000_t202" style="position:absolute;left:0;text-align:left;margin-left:-14.55pt;margin-top:210.6pt;width:480.9pt;height:.05pt;z-index:251660288;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" stroked="f">
                <v:textbox style="mso-fit-shape-to-text:t" inset="0,0,0,0">
                  <w:txbxContent>
                    <w:p w14:paraId="55D763DA" w14:textId="3421115D" w:rsidR="004415C5" w:rsidRPr="00DD0B6E" w:rsidRDefault="006B0C5B" w:rsidP="004415C5">
                      <w:pPr>
                        <w:pStyle w:val="Caption"/>
                        <w:rPr>
                          <w:color w:val="auto"/>
                        </w:rPr>
                      </w:pPr>
                      <w:r w:rsidRPr="00DD0B6E">
                        <w:rPr>
                          <w:color w:val="auto"/>
                        </w:rPr>
                        <w:t xml:space="preserve">Figure </w:t>
                      </w:r>
                      <w:r w:rsidRPr="00DD0B6E">
                        <w:rPr>
                          <w:color w:val="auto"/>
                        </w:rPr>
                        <w:fldChar w:fldCharType="begin"/>
                      </w:r>
                      <w:r w:rsidRPr="00DD0B6E">
                        <w:rPr>
                          <w:color w:val="auto"/>
                        </w:rPr>
                        <w:instrText xml:space="preserve"> SEQ Figure \* ARABIC </w:instrText>
                      </w:r>
                      <w:r w:rsidRPr="00DD0B6E">
                        <w:rPr>
                          <w:color w:val="auto"/>
                        </w:rPr>
                        <w:fldChar w:fldCharType="separate"/>
                      </w:r>
                      <w:r w:rsidR="00962AD9">
                        <w:rPr>
                          <w:noProof/>
                          <w:color w:val="auto"/>
                        </w:rPr>
                        <w:t>2</w:t>
                      </w:r>
                      <w:r w:rsidRPr="00DD0B6E">
                        <w:rPr>
                          <w:color w:val="auto"/>
                        </w:rPr>
                        <w:fldChar w:fldCharType="end"/>
                      </w:r>
                      <w:r w:rsidRPr="00DD0B6E">
                        <w:rPr>
                          <w:color w:val="auto"/>
                        </w:rPr>
                        <w:t>:</w:t>
                      </w:r>
                      <w:r w:rsidR="002B249E" w:rsidRPr="00DD0B6E">
                        <w:rPr>
                          <w:color w:val="auto"/>
                        </w:rPr>
                        <w:t xml:space="preserve"> Normal and Abnormal</w:t>
                      </w:r>
                      <w:r w:rsidRPr="00DD0B6E">
                        <w:rPr>
                          <w:color w:val="auto"/>
                        </w:rPr>
                        <w:t xml:space="preserve"> </w:t>
                      </w:r>
                      <w:r w:rsidR="002B249E" w:rsidRPr="00DD0B6E">
                        <w:rPr>
                          <w:color w:val="auto"/>
                        </w:rPr>
                        <w:t>Search Volume Intensity (</w:t>
                      </w:r>
                      <w:r w:rsidRPr="00DD0B6E">
                        <w:rPr>
                          <w:color w:val="auto"/>
                        </w:rPr>
                        <w:t>SVI</w:t>
                      </w:r>
                      <w:r w:rsidR="002B249E" w:rsidRPr="00DD0B6E">
                        <w:rPr>
                          <w:color w:val="auto"/>
                        </w:rPr>
                        <w:t>)</w:t>
                      </w:r>
                      <w:r w:rsidRPr="00DD0B6E">
                        <w:rPr>
                          <w:color w:val="auto"/>
                        </w:rPr>
                        <w:t xml:space="preserve"> around </w:t>
                      </w:r>
                      <w:r w:rsidR="002B249E" w:rsidRPr="00DD0B6E">
                        <w:rPr>
                          <w:color w:val="auto"/>
                        </w:rPr>
                        <w:t xml:space="preserve">(Initial Public Offering) </w:t>
                      </w:r>
                      <w:r w:rsidRPr="00DD0B6E">
                        <w:rPr>
                          <w:color w:val="auto"/>
                        </w:rPr>
                        <w:t>IPO</w:t>
                      </w:r>
                      <w:r w:rsidR="002B249E" w:rsidRPr="00DD0B6E">
                        <w:rPr>
                          <w:color w:val="auto"/>
                        </w:rPr>
                        <w:t xml:space="preserve"> events</w:t>
                      </w:r>
                      <w:r w:rsidR="00DD0B6E" w:rsidRPr="00DD0B6E">
                        <w:rPr>
                          <w:color w:val="auto"/>
                        </w:rPr>
                        <w:t xml:space="preserve">   </w:t>
                      </w:r>
                      <w:r w:rsidR="004415C5" w:rsidRPr="00DD0B6E">
                        <w:rPr>
                          <w:color w:val="auto"/>
                        </w:rPr>
                        <w:t>(Da et al., 2011)</w:t>
                      </w:r>
                    </w:p>
                  </w:txbxContent>
                </v:textbox>
                <w10:wrap type="topAndBottom" anchorx="margin"/>
              </v:shape>
            </w:pict>
          </mc:Fallback>
        </mc:AlternateContent>
      </w:r>
      <w:r w:rsidR="001B56DA">
        <w:rPr>
          <w:noProof/>
        </w:rPr>
        <w:drawing>
          <wp:anchor distT="0" distB="0" distL="114300" distR="114300" simplePos="0" relativeHeight="251658240" behindDoc="0" locked="0" layoutInCell="1" allowOverlap="1" wp14:anchorId="141B0FEF" wp14:editId="36AE0265">
            <wp:simplePos x="0" y="0"/>
            <wp:positionH relativeFrom="margin">
              <wp:posOffset>-261620</wp:posOffset>
            </wp:positionH>
            <wp:positionV relativeFrom="paragraph">
              <wp:posOffset>452755</wp:posOffset>
            </wp:positionV>
            <wp:extent cx="3068320" cy="2082165"/>
            <wp:effectExtent l="0" t="0" r="0" b="0"/>
            <wp:wrapTopAndBottom/>
            <wp:docPr id="289517839" name="Picture 2" descr="Details are in the caption following the 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Details are in the caption following the image"/>
                    <pic:cNvPicPr>
                      <a:picLocks noChangeAspect="1" noChangeArrowheads="1"/>
                    </pic:cNvPicPr>
                  </pic:nvPicPr>
                  <pic:blipFill rotWithShape="1">
                    <a:blip r:embed="rId11" cstate="print">
                      <a:extLst>
                        <a:ext uri="{28A0092B-C50C-407E-A947-70E740481C1C}">
                          <a14:useLocalDpi xmlns:a14="http://schemas.microsoft.com/office/drawing/2010/main" val="0"/>
                        </a:ext>
                      </a:extLst>
                    </a:blip>
                    <a:srcRect b="50209"/>
                    <a:stretch>
                      <a:fillRect/>
                    </a:stretch>
                  </pic:blipFill>
                  <pic:spPr bwMode="auto">
                    <a:xfrm>
                      <a:off x="0" y="0"/>
                      <a:ext cx="3068320" cy="2082165"/>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A661DD">
        <w:t>Collectively, the above literature underscores the relevance of trading volume and online search behaviour in explaining investor sentiment and attention influence market dynamics.</w:t>
      </w:r>
    </w:p>
    <w:p w14:paraId="1AD5442C" w14:textId="7184DFE6" w:rsidR="006B0C5B" w:rsidRPr="001A62CA" w:rsidRDefault="003D62D8" w:rsidP="00250483">
      <w:pPr>
        <w:pStyle w:val="Heading1"/>
        <w:numPr>
          <w:ilvl w:val="0"/>
          <w:numId w:val="6"/>
        </w:numPr>
        <w:rPr>
          <w:sz w:val="24"/>
          <w:szCs w:val="24"/>
        </w:rPr>
      </w:pPr>
      <w:bookmarkStart w:id="3" w:name="_Toc220361235"/>
      <w:r w:rsidRPr="001A62CA">
        <w:rPr>
          <w:sz w:val="24"/>
          <w:szCs w:val="24"/>
        </w:rPr>
        <w:lastRenderedPageBreak/>
        <w:t>Data Collection</w:t>
      </w:r>
      <w:bookmarkEnd w:id="3"/>
      <w:r w:rsidR="007E4957" w:rsidRPr="001A62CA">
        <w:rPr>
          <w:sz w:val="24"/>
          <w:szCs w:val="24"/>
        </w:rPr>
        <w:t xml:space="preserve"> </w:t>
      </w:r>
    </w:p>
    <w:p w14:paraId="38357135" w14:textId="71061AA3" w:rsidR="007053EA" w:rsidRDefault="007053EA" w:rsidP="00386326">
      <w:pPr>
        <w:jc w:val="both"/>
      </w:pPr>
      <w:r>
        <w:t xml:space="preserve">This study uses a quantitative approach to investigate how investor attention influences speculative trading during the period of technological hype from January 2019 to December 2024. It </w:t>
      </w:r>
      <w:r w:rsidR="009671F2">
        <w:t>uses</w:t>
      </w:r>
      <w:r>
        <w:t xml:space="preserve"> the daily volume of firms listed on the  Nasdaq-100 and the FTSE-100, sourced from the London Stock Exchange Group </w:t>
      </w:r>
      <w:r w:rsidR="00091BE4">
        <w:t>via the</w:t>
      </w:r>
      <w:r>
        <w:t xml:space="preserve"> Eikon API. The Nasdaq-100 serves as a technology-focused index with AI exposure, while the FTSE-100 act as a diversified control group. Only firms continuously listed throughout the sample period are included. Investor attention is measured using region-specific Google Trends data on AI-related Keywords, ensuring geographic alignment </w:t>
      </w:r>
      <w:r w:rsidR="00091BE4">
        <w:t>across markets</w:t>
      </w:r>
      <w:r>
        <w:t xml:space="preserve">. </w:t>
      </w:r>
    </w:p>
    <w:p w14:paraId="35998B10" w14:textId="31391D98" w:rsidR="007053EA" w:rsidRDefault="007053EA" w:rsidP="00386326">
      <w:pPr>
        <w:jc w:val="both"/>
        <w:rPr>
          <w:rFonts w:eastAsiaTheme="minorEastAsia"/>
        </w:rPr>
      </w:pPr>
      <w:r>
        <w:t xml:space="preserve">Dependent Variables: </w:t>
      </w:r>
      <m:oMath>
        <m:sSub>
          <m:sSubPr>
            <m:ctrlPr>
              <w:rPr>
                <w:rFonts w:ascii="Cambria Math" w:hAnsi="Cambria Math"/>
                <w:i/>
              </w:rPr>
            </m:ctrlPr>
          </m:sSubPr>
          <m:e>
            <m:r>
              <w:rPr>
                <w:rFonts w:ascii="Cambria Math" w:hAnsi="Cambria Math"/>
              </w:rPr>
              <m:t>Monthly_Volume</m:t>
            </m:r>
          </m:e>
          <m:sub>
            <m:r>
              <w:rPr>
                <w:rFonts w:ascii="Cambria Math" w:hAnsi="Cambria Math"/>
              </w:rPr>
              <m:t>NAS100</m:t>
            </m:r>
          </m:sub>
        </m:sSub>
        <m:r>
          <w:rPr>
            <w:rFonts w:ascii="Cambria Math" w:hAnsi="Cambria Math"/>
          </w:rPr>
          <m:t xml:space="preserve"> and  </m:t>
        </m:r>
        <m:sSub>
          <m:sSubPr>
            <m:ctrlPr>
              <w:rPr>
                <w:rFonts w:ascii="Cambria Math" w:hAnsi="Cambria Math"/>
                <w:i/>
              </w:rPr>
            </m:ctrlPr>
          </m:sSubPr>
          <m:e>
            <m:r>
              <w:rPr>
                <w:rFonts w:ascii="Cambria Math" w:hAnsi="Cambria Math"/>
              </w:rPr>
              <m:t>Monthly_Volume</m:t>
            </m:r>
          </m:e>
          <m:sub>
            <m:r>
              <w:rPr>
                <w:rFonts w:ascii="Cambria Math" w:hAnsi="Cambria Math"/>
              </w:rPr>
              <m:t>^FTSE</m:t>
            </m:r>
          </m:sub>
        </m:sSub>
        <m:r>
          <w:rPr>
            <w:rFonts w:ascii="Cambria Math" w:hAnsi="Cambria Math"/>
          </w:rPr>
          <m:t xml:space="preserve"> </m:t>
        </m:r>
      </m:oMath>
    </w:p>
    <w:p w14:paraId="779BC566" w14:textId="618595EE" w:rsidR="007053EA" w:rsidRDefault="007053EA" w:rsidP="00386326">
      <w:pPr>
        <w:jc w:val="both"/>
        <w:rPr>
          <w:rFonts w:eastAsiaTheme="minorEastAsia"/>
        </w:rPr>
      </w:pPr>
      <w:r>
        <w:rPr>
          <w:rFonts w:eastAsiaTheme="minorEastAsia"/>
        </w:rPr>
        <w:t xml:space="preserve">Independent Variables: </w:t>
      </w:r>
    </w:p>
    <w:tbl>
      <w:tblPr>
        <w:tblStyle w:val="TableGrid"/>
        <w:tblW w:w="7875" w:type="dxa"/>
        <w:tblInd w:w="568" w:type="dxa"/>
        <w:tblLook w:val="04A0" w:firstRow="1" w:lastRow="0" w:firstColumn="1" w:lastColumn="0" w:noHBand="0" w:noVBand="1"/>
      </w:tblPr>
      <w:tblGrid>
        <w:gridCol w:w="1310"/>
        <w:gridCol w:w="1320"/>
        <w:gridCol w:w="1312"/>
        <w:gridCol w:w="1313"/>
        <w:gridCol w:w="1310"/>
        <w:gridCol w:w="1310"/>
      </w:tblGrid>
      <w:tr w:rsidR="00091BE4" w14:paraId="50D4494A" w14:textId="42B89632" w:rsidTr="00091BE4">
        <w:trPr>
          <w:trHeight w:val="219"/>
        </w:trPr>
        <w:tc>
          <w:tcPr>
            <w:tcW w:w="1310" w:type="dxa"/>
          </w:tcPr>
          <w:p w14:paraId="50E6DFE8" w14:textId="0A4035B7" w:rsidR="00091BE4" w:rsidRDefault="00000000" w:rsidP="00091BE4">
            <w:pPr>
              <w:jc w:val="both"/>
            </w:pPr>
            <m:oMathPara>
              <m:oMath>
                <m:sSub>
                  <m:sSubPr>
                    <m:ctrlPr>
                      <w:rPr>
                        <w:rFonts w:ascii="Cambria Math" w:hAnsi="Cambria Math"/>
                        <w:i/>
                      </w:rPr>
                    </m:ctrlPr>
                  </m:sSubPr>
                  <m:e>
                    <m:r>
                      <w:rPr>
                        <w:rFonts w:ascii="Cambria Math" w:hAnsi="Cambria Math"/>
                      </w:rPr>
                      <m:t>β</m:t>
                    </m:r>
                  </m:e>
                  <m:sub>
                    <m:r>
                      <w:rPr>
                        <w:rFonts w:ascii="Cambria Math" w:hAnsi="Cambria Math"/>
                      </w:rPr>
                      <m:t>1</m:t>
                    </m:r>
                  </m:sub>
                </m:sSub>
              </m:oMath>
            </m:oMathPara>
          </w:p>
        </w:tc>
        <w:tc>
          <w:tcPr>
            <w:tcW w:w="1320" w:type="dxa"/>
          </w:tcPr>
          <w:p w14:paraId="442895CE" w14:textId="7DB307CC" w:rsidR="00091BE4" w:rsidRDefault="00000000" w:rsidP="00091BE4">
            <w:pPr>
              <w:jc w:val="both"/>
            </w:pPr>
            <m:oMathPara>
              <m:oMath>
                <m:sSub>
                  <m:sSubPr>
                    <m:ctrlPr>
                      <w:rPr>
                        <w:rFonts w:ascii="Cambria Math" w:hAnsi="Cambria Math"/>
                        <w:i/>
                      </w:rPr>
                    </m:ctrlPr>
                  </m:sSubPr>
                  <m:e>
                    <m:r>
                      <w:rPr>
                        <w:rFonts w:ascii="Cambria Math" w:hAnsi="Cambria Math"/>
                      </w:rPr>
                      <m:t>β</m:t>
                    </m:r>
                  </m:e>
                  <m:sub>
                    <m:r>
                      <w:rPr>
                        <w:rFonts w:ascii="Cambria Math" w:hAnsi="Cambria Math"/>
                      </w:rPr>
                      <m:t>2</m:t>
                    </m:r>
                  </m:sub>
                </m:sSub>
              </m:oMath>
            </m:oMathPara>
          </w:p>
        </w:tc>
        <w:tc>
          <w:tcPr>
            <w:tcW w:w="1312" w:type="dxa"/>
          </w:tcPr>
          <w:p w14:paraId="6407E776" w14:textId="091D3947" w:rsidR="00091BE4" w:rsidRDefault="00000000" w:rsidP="00091BE4">
            <w:pPr>
              <w:jc w:val="both"/>
            </w:pPr>
            <m:oMathPara>
              <m:oMath>
                <m:sSub>
                  <m:sSubPr>
                    <m:ctrlPr>
                      <w:rPr>
                        <w:rFonts w:ascii="Cambria Math" w:hAnsi="Cambria Math"/>
                        <w:i/>
                      </w:rPr>
                    </m:ctrlPr>
                  </m:sSubPr>
                  <m:e>
                    <m:r>
                      <w:rPr>
                        <w:rFonts w:ascii="Cambria Math" w:hAnsi="Cambria Math"/>
                      </w:rPr>
                      <m:t>β</m:t>
                    </m:r>
                  </m:e>
                  <m:sub>
                    <m:r>
                      <w:rPr>
                        <w:rFonts w:ascii="Cambria Math" w:hAnsi="Cambria Math"/>
                      </w:rPr>
                      <m:t>3</m:t>
                    </m:r>
                  </m:sub>
                </m:sSub>
              </m:oMath>
            </m:oMathPara>
          </w:p>
        </w:tc>
        <w:tc>
          <w:tcPr>
            <w:tcW w:w="1313" w:type="dxa"/>
          </w:tcPr>
          <w:p w14:paraId="1E477BBA" w14:textId="2AF5AB14" w:rsidR="00091BE4" w:rsidRDefault="00000000" w:rsidP="00091BE4">
            <w:pPr>
              <w:jc w:val="both"/>
            </w:pPr>
            <m:oMathPara>
              <m:oMath>
                <m:sSub>
                  <m:sSubPr>
                    <m:ctrlPr>
                      <w:rPr>
                        <w:rFonts w:ascii="Cambria Math" w:hAnsi="Cambria Math"/>
                        <w:i/>
                      </w:rPr>
                    </m:ctrlPr>
                  </m:sSubPr>
                  <m:e>
                    <m:r>
                      <w:rPr>
                        <w:rFonts w:ascii="Cambria Math" w:hAnsi="Cambria Math"/>
                      </w:rPr>
                      <m:t>β</m:t>
                    </m:r>
                  </m:e>
                  <m:sub>
                    <m:r>
                      <w:rPr>
                        <w:rFonts w:ascii="Cambria Math" w:hAnsi="Cambria Math"/>
                      </w:rPr>
                      <m:t>4</m:t>
                    </m:r>
                  </m:sub>
                </m:sSub>
              </m:oMath>
            </m:oMathPara>
          </w:p>
        </w:tc>
        <w:tc>
          <w:tcPr>
            <w:tcW w:w="1310" w:type="dxa"/>
          </w:tcPr>
          <w:p w14:paraId="37624A97" w14:textId="74DE0702" w:rsidR="00091BE4" w:rsidRDefault="00000000" w:rsidP="00091BE4">
            <w:pPr>
              <w:jc w:val="both"/>
            </w:pPr>
            <m:oMathPara>
              <m:oMath>
                <m:sSub>
                  <m:sSubPr>
                    <m:ctrlPr>
                      <w:rPr>
                        <w:rFonts w:ascii="Cambria Math" w:hAnsi="Cambria Math"/>
                        <w:i/>
                      </w:rPr>
                    </m:ctrlPr>
                  </m:sSubPr>
                  <m:e>
                    <m:r>
                      <w:rPr>
                        <w:rFonts w:ascii="Cambria Math" w:hAnsi="Cambria Math"/>
                      </w:rPr>
                      <m:t>β</m:t>
                    </m:r>
                  </m:e>
                  <m:sub>
                    <m:r>
                      <w:rPr>
                        <w:rFonts w:ascii="Cambria Math" w:hAnsi="Cambria Math"/>
                      </w:rPr>
                      <m:t>5</m:t>
                    </m:r>
                  </m:sub>
                </m:sSub>
              </m:oMath>
            </m:oMathPara>
          </w:p>
        </w:tc>
        <w:tc>
          <w:tcPr>
            <w:tcW w:w="1310" w:type="dxa"/>
          </w:tcPr>
          <w:p w14:paraId="3E66E5BD" w14:textId="7B8BDFA4" w:rsidR="00091BE4" w:rsidRPr="004C0857" w:rsidRDefault="00000000" w:rsidP="00091BE4">
            <w:pPr>
              <w:jc w:val="both"/>
              <w:rPr>
                <w:rFonts w:ascii="Aptos Display" w:eastAsia="Times New Roman" w:hAnsi="Aptos Display" w:cs="Times New Roman"/>
              </w:rPr>
            </w:pPr>
            <m:oMathPara>
              <m:oMath>
                <m:sSub>
                  <m:sSubPr>
                    <m:ctrlPr>
                      <w:rPr>
                        <w:rFonts w:ascii="Cambria Math" w:hAnsi="Cambria Math"/>
                        <w:i/>
                      </w:rPr>
                    </m:ctrlPr>
                  </m:sSubPr>
                  <m:e>
                    <m:r>
                      <w:rPr>
                        <w:rFonts w:ascii="Cambria Math" w:hAnsi="Cambria Math"/>
                      </w:rPr>
                      <m:t>β</m:t>
                    </m:r>
                  </m:e>
                  <m:sub>
                    <m:r>
                      <w:rPr>
                        <w:rFonts w:ascii="Cambria Math" w:hAnsi="Cambria Math"/>
                      </w:rPr>
                      <m:t>6</m:t>
                    </m:r>
                  </m:sub>
                </m:sSub>
              </m:oMath>
            </m:oMathPara>
          </w:p>
        </w:tc>
      </w:tr>
      <w:tr w:rsidR="00091BE4" w14:paraId="7B5F519B" w14:textId="0C885AE1" w:rsidTr="00091BE4">
        <w:trPr>
          <w:trHeight w:val="438"/>
        </w:trPr>
        <w:tc>
          <w:tcPr>
            <w:tcW w:w="1310" w:type="dxa"/>
          </w:tcPr>
          <w:p w14:paraId="26919CF4" w14:textId="4AC1A9D1" w:rsidR="00091BE4" w:rsidRDefault="00091BE4" w:rsidP="00091BE4">
            <w:pPr>
              <w:jc w:val="center"/>
            </w:pPr>
            <w:r>
              <w:t>AI Bubble</w:t>
            </w:r>
          </w:p>
        </w:tc>
        <w:tc>
          <w:tcPr>
            <w:tcW w:w="1320" w:type="dxa"/>
          </w:tcPr>
          <w:p w14:paraId="3B3EF6B6" w14:textId="5706CA07" w:rsidR="00091BE4" w:rsidRDefault="00091BE4" w:rsidP="00091BE4">
            <w:pPr>
              <w:jc w:val="center"/>
            </w:pPr>
            <w:r>
              <w:t>Artificial Intelligence</w:t>
            </w:r>
          </w:p>
        </w:tc>
        <w:tc>
          <w:tcPr>
            <w:tcW w:w="1312" w:type="dxa"/>
          </w:tcPr>
          <w:p w14:paraId="798B7530" w14:textId="7FCA0893" w:rsidR="00091BE4" w:rsidRDefault="00091BE4" w:rsidP="00091BE4">
            <w:pPr>
              <w:jc w:val="center"/>
            </w:pPr>
            <w:r>
              <w:t>Generative AI</w:t>
            </w:r>
          </w:p>
        </w:tc>
        <w:tc>
          <w:tcPr>
            <w:tcW w:w="1313" w:type="dxa"/>
          </w:tcPr>
          <w:p w14:paraId="761BA0CE" w14:textId="5BA2F516" w:rsidR="00091BE4" w:rsidRDefault="00091BE4" w:rsidP="00091BE4">
            <w:pPr>
              <w:jc w:val="center"/>
            </w:pPr>
            <w:r>
              <w:t>Tech Companies</w:t>
            </w:r>
          </w:p>
        </w:tc>
        <w:tc>
          <w:tcPr>
            <w:tcW w:w="1310" w:type="dxa"/>
          </w:tcPr>
          <w:p w14:paraId="1CF4EE1B" w14:textId="2807EE0B" w:rsidR="00091BE4" w:rsidRDefault="00091BE4" w:rsidP="00091BE4">
            <w:pPr>
              <w:jc w:val="center"/>
            </w:pPr>
            <w:r>
              <w:t>AI trade</w:t>
            </w:r>
          </w:p>
        </w:tc>
        <w:tc>
          <w:tcPr>
            <w:tcW w:w="1310" w:type="dxa"/>
          </w:tcPr>
          <w:p w14:paraId="66132DB2" w14:textId="03C7D1FE" w:rsidR="00091BE4" w:rsidRDefault="00091BE4" w:rsidP="00347FE4">
            <w:pPr>
              <w:keepNext/>
              <w:jc w:val="center"/>
            </w:pPr>
            <w:r>
              <w:t>Tech Bubble</w:t>
            </w:r>
          </w:p>
        </w:tc>
      </w:tr>
    </w:tbl>
    <w:p w14:paraId="5C457399" w14:textId="4F1AC35C" w:rsidR="00347FE4" w:rsidRPr="00347FE4" w:rsidRDefault="00347FE4" w:rsidP="00347FE4">
      <w:pPr>
        <w:pStyle w:val="Caption"/>
        <w:jc w:val="center"/>
        <w:rPr>
          <w:color w:val="auto"/>
        </w:rPr>
      </w:pPr>
      <w:r w:rsidRPr="00347FE4">
        <w:rPr>
          <w:color w:val="auto"/>
        </w:rPr>
        <w:t xml:space="preserve">Table </w:t>
      </w:r>
      <w:r w:rsidR="00250483">
        <w:rPr>
          <w:color w:val="auto"/>
        </w:rPr>
        <w:fldChar w:fldCharType="begin"/>
      </w:r>
      <w:r w:rsidR="00250483">
        <w:rPr>
          <w:color w:val="auto"/>
        </w:rPr>
        <w:instrText xml:space="preserve"> SEQ Table \* ARABIC </w:instrText>
      </w:r>
      <w:r w:rsidR="00250483">
        <w:rPr>
          <w:color w:val="auto"/>
        </w:rPr>
        <w:fldChar w:fldCharType="separate"/>
      </w:r>
      <w:r w:rsidR="00250483">
        <w:rPr>
          <w:noProof/>
          <w:color w:val="auto"/>
        </w:rPr>
        <w:t>1</w:t>
      </w:r>
      <w:r w:rsidR="00250483">
        <w:rPr>
          <w:color w:val="auto"/>
        </w:rPr>
        <w:fldChar w:fldCharType="end"/>
      </w:r>
      <w:r w:rsidRPr="00347FE4">
        <w:rPr>
          <w:color w:val="auto"/>
        </w:rPr>
        <w:t>: Google Trends Keywords</w:t>
      </w:r>
    </w:p>
    <w:p w14:paraId="304D8AF7" w14:textId="5EF58E4D" w:rsidR="00B0790D" w:rsidRPr="00B0790D" w:rsidRDefault="00347FE4" w:rsidP="00250483">
      <w:pPr>
        <w:pStyle w:val="Heading1"/>
        <w:numPr>
          <w:ilvl w:val="0"/>
          <w:numId w:val="6"/>
        </w:numPr>
        <w:rPr>
          <w:sz w:val="24"/>
          <w:szCs w:val="24"/>
        </w:rPr>
      </w:pPr>
      <w:r>
        <w:rPr>
          <w:sz w:val="24"/>
          <w:szCs w:val="24"/>
        </w:rPr>
        <w:t xml:space="preserve"> </w:t>
      </w:r>
      <w:bookmarkStart w:id="4" w:name="_Toc220361236"/>
      <w:r w:rsidR="00B0790D">
        <w:rPr>
          <w:sz w:val="24"/>
          <w:szCs w:val="24"/>
        </w:rPr>
        <w:t>Methodology</w:t>
      </w:r>
      <w:bookmarkEnd w:id="4"/>
    </w:p>
    <w:p w14:paraId="7FE4FB28" w14:textId="3F74E2BC" w:rsidR="00B0790D" w:rsidRDefault="00B0790D" w:rsidP="00091BE4">
      <w:pPr>
        <w:jc w:val="center"/>
        <w:rPr>
          <w:b/>
          <w:bCs/>
          <w:i/>
          <w:iCs/>
        </w:rPr>
      </w:pPr>
      <w:r w:rsidRPr="001A199D">
        <w:rPr>
          <w:b/>
          <w:bCs/>
          <w:i/>
          <w:iCs/>
        </w:rPr>
        <w:t>H</w:t>
      </w:r>
      <w:r w:rsidR="00091BE4">
        <w:rPr>
          <w:b/>
          <w:bCs/>
          <w:i/>
          <w:iCs/>
        </w:rPr>
        <w:t>1</w:t>
      </w:r>
      <w:r w:rsidRPr="001A199D">
        <w:rPr>
          <w:b/>
          <w:bCs/>
          <w:i/>
          <w:iCs/>
        </w:rPr>
        <w:t xml:space="preserve">: </w:t>
      </w:r>
      <w:r w:rsidR="00912F9C">
        <w:rPr>
          <w:b/>
          <w:bCs/>
          <w:i/>
          <w:iCs/>
        </w:rPr>
        <w:t>Are</w:t>
      </w:r>
      <w:r w:rsidR="009766A4">
        <w:rPr>
          <w:b/>
          <w:bCs/>
          <w:i/>
          <w:iCs/>
        </w:rPr>
        <w:t xml:space="preserve"> the Monthly Volume of Nasdaq-100 companies influenced more by Google Trend Data than FTSE-100 companies</w:t>
      </w:r>
    </w:p>
    <w:p w14:paraId="54A6BC2F" w14:textId="62FC7121" w:rsidR="006478B8" w:rsidRPr="006478B8" w:rsidRDefault="006478B8" w:rsidP="006478B8">
      <w:r>
        <w:t xml:space="preserve">The hypothesis evaluates whether AI-related Google tends reflect data effects in Nasdaq-100 trading volume more than FTSE-100. </w:t>
      </w:r>
    </w:p>
    <w:p w14:paraId="63C358A0" w14:textId="6FF7BD49" w:rsidR="00347FE4" w:rsidRPr="001A62CA" w:rsidRDefault="00347FE4" w:rsidP="001A62CA">
      <w:pPr>
        <w:pStyle w:val="Heading1"/>
        <w:numPr>
          <w:ilvl w:val="0"/>
          <w:numId w:val="5"/>
        </w:numPr>
        <w:rPr>
          <w:sz w:val="22"/>
          <w:szCs w:val="22"/>
        </w:rPr>
      </w:pPr>
      <w:bookmarkStart w:id="5" w:name="_Toc220361237"/>
      <w:r w:rsidRPr="001A62CA">
        <w:rPr>
          <w:sz w:val="22"/>
          <w:szCs w:val="22"/>
        </w:rPr>
        <w:t>Converting Daily Volume to Monthly Volume</w:t>
      </w:r>
      <w:bookmarkEnd w:id="5"/>
    </w:p>
    <w:p w14:paraId="129C7B86" w14:textId="1EB98353" w:rsidR="00486706" w:rsidRDefault="00347FE4" w:rsidP="007909B6">
      <w:pPr>
        <w:ind w:left="360"/>
      </w:pPr>
      <w:r>
        <w:t xml:space="preserve">Firstly, the data obtained for 75 Nasdaq-100 companies is in daily frequency, and the data obtained from Google Trends is in monthly frequency. Hence, before fitting the model, the financial </w:t>
      </w:r>
      <w:r w:rsidR="00486706">
        <w:t>variables are</w:t>
      </w:r>
      <w:r>
        <w:t xml:space="preserve"> first summed across the tickers for </w:t>
      </w:r>
      <w:r w:rsidR="00486706">
        <w:t>days in each month,</w:t>
      </w:r>
      <w:r>
        <w:t xml:space="preserve"> i.e., the January 2019 observations for each company are added up</w:t>
      </w:r>
      <w:r w:rsidR="00486706">
        <w:t xml:space="preserve"> for every company.</w:t>
      </w:r>
    </w:p>
    <w:p w14:paraId="006A4914" w14:textId="179F8261" w:rsidR="007909B6" w:rsidRPr="007909B6" w:rsidRDefault="001A62CA" w:rsidP="007909B6">
      <w:pPr>
        <w:ind w:left="360"/>
      </w:pPr>
      <w:r>
        <w:rPr>
          <w:noProof/>
        </w:rPr>
        <mc:AlternateContent>
          <mc:Choice Requires="wps">
            <w:drawing>
              <wp:anchor distT="0" distB="0" distL="114300" distR="114300" simplePos="0" relativeHeight="251679744" behindDoc="0" locked="0" layoutInCell="1" allowOverlap="1" wp14:anchorId="5D5982DA" wp14:editId="6CA2E91E">
                <wp:simplePos x="0" y="0"/>
                <wp:positionH relativeFrom="column">
                  <wp:posOffset>4935166</wp:posOffset>
                </wp:positionH>
                <wp:positionV relativeFrom="paragraph">
                  <wp:posOffset>940003</wp:posOffset>
                </wp:positionV>
                <wp:extent cx="914400" cy="914400"/>
                <wp:effectExtent l="0" t="0" r="0" b="0"/>
                <wp:wrapNone/>
                <wp:docPr id="252396511" name="Text Box 8"/>
                <wp:cNvGraphicFramePr/>
                <a:graphic xmlns:a="http://schemas.openxmlformats.org/drawingml/2006/main">
                  <a:graphicData uri="http://schemas.microsoft.com/office/word/2010/wordprocessingShape">
                    <wps:wsp>
                      <wps:cNvSpPr txBox="1"/>
                      <wps:spPr>
                        <a:xfrm>
                          <a:off x="0" y="0"/>
                          <a:ext cx="914400" cy="914400"/>
                        </a:xfrm>
                        <a:prstGeom prst="rect">
                          <a:avLst/>
                        </a:prstGeom>
                        <a:noFill/>
                        <a:ln w="6350">
                          <a:noFill/>
                        </a:ln>
                      </wps:spPr>
                      <wps:txbx>
                        <w:txbxContent>
                          <w:p w14:paraId="1BCFDFD9" w14:textId="5F562FF6" w:rsidR="001A62CA" w:rsidRDefault="001A62CA">
                            <w:r>
                              <w:t>(</w:t>
                            </w:r>
                            <w:r w:rsidR="00250483">
                              <w:t>4.1)</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noAutofit/>
                      </wps:bodyPr>
                    </wps:wsp>
                  </a:graphicData>
                </a:graphic>
              </wp:anchor>
            </w:drawing>
          </mc:Choice>
          <mc:Fallback>
            <w:pict>
              <v:shape w14:anchorId="5D5982DA" id="Text Box 8" o:spid="_x0000_s1032" type="#_x0000_t202" style="position:absolute;left:0;text-align:left;margin-left:388.6pt;margin-top:74pt;width:1in;height:1in;z-index:251679744;visibility:visible;mso-wrap-style:non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" filled="f" stroked="f" strokeweight=".5pt">
                <v:textbox>
                  <w:txbxContent>
                    <w:p w14:paraId="1BCFDFD9" w14:textId="5F562FF6" w:rsidR="001A62CA" w:rsidRDefault="001A62CA">
                      <w:r>
                        <w:t>(</w:t>
                      </w:r>
                      <w:r w:rsidR="00250483">
                        <w:t>4.1)</w:t>
                      </w:r>
                    </w:p>
                  </w:txbxContent>
                </v:textbox>
              </v:shape>
            </w:pict>
          </mc:Fallback>
        </mc:AlternateContent>
      </w:r>
      <w:r w:rsidR="007909B6">
        <w:t>Let:</w:t>
      </w:r>
    </w:p>
    <w:p w14:paraId="122546D9" w14:textId="2B2A58C6" w:rsidR="00486706" w:rsidRPr="00486706" w:rsidRDefault="00486706" w:rsidP="00DB2CDE">
      <w:pPr>
        <w:spacing w:after="0"/>
        <w:ind w:left="360"/>
        <w:rPr>
          <w:rFonts w:eastAsiaTheme="minorEastAsia"/>
        </w:rPr>
      </w:pPr>
      <m:oMathPara>
        <m:oMathParaPr>
          <m:jc m:val="left"/>
        </m:oMathParaPr>
        <m:oMath>
          <m:r>
            <w:rPr>
              <w:rFonts w:ascii="Cambria Math" w:eastAsiaTheme="minorEastAsia" w:hAnsi="Cambria Math"/>
            </w:rPr>
            <m:t xml:space="preserve">i=1, …, N index firm </m:t>
          </m:r>
          <m:d>
            <m:dPr>
              <m:ctrlPr>
                <w:rPr>
                  <w:rFonts w:ascii="Cambria Math" w:eastAsiaTheme="minorEastAsia" w:hAnsi="Cambria Math"/>
                  <w:i/>
                </w:rPr>
              </m:ctrlPr>
            </m:dPr>
            <m:e>
              <m:r>
                <w:rPr>
                  <w:rFonts w:ascii="Cambria Math" w:eastAsiaTheme="minorEastAsia" w:hAnsi="Cambria Math"/>
                </w:rPr>
                <m:t>N=75</m:t>
              </m:r>
            </m:e>
          </m:d>
        </m:oMath>
      </m:oMathPara>
    </w:p>
    <w:p w14:paraId="77475222" w14:textId="77777777" w:rsidR="00486706" w:rsidRPr="00486706" w:rsidRDefault="00486706" w:rsidP="00DB2CDE">
      <w:pPr>
        <w:spacing w:after="0"/>
        <w:ind w:left="360"/>
        <w:rPr>
          <w:rFonts w:eastAsiaTheme="minorEastAsia"/>
        </w:rPr>
      </w:pPr>
      <m:oMathPara>
        <m:oMathParaPr>
          <m:jc m:val="left"/>
        </m:oMathParaPr>
        <m:oMath>
          <m:r>
            <w:rPr>
              <w:rFonts w:ascii="Cambria Math" w:eastAsiaTheme="minorEastAsia" w:hAnsi="Cambria Math"/>
            </w:rPr>
            <m:t xml:space="preserve"> d∊</m:t>
          </m:r>
          <m:sSub>
            <m:sSubPr>
              <m:ctrlPr>
                <w:rPr>
                  <w:rFonts w:ascii="Cambria Math" w:eastAsiaTheme="minorEastAsia" w:hAnsi="Cambria Math"/>
                  <w:i/>
                </w:rPr>
              </m:ctrlPr>
            </m:sSubPr>
            <m:e>
              <m:r>
                <w:rPr>
                  <w:rFonts w:ascii="Cambria Math" w:eastAsiaTheme="minorEastAsia" w:hAnsi="Cambria Math"/>
                </w:rPr>
                <m:t>D</m:t>
              </m:r>
            </m:e>
            <m:sub>
              <m:r>
                <w:rPr>
                  <w:rFonts w:ascii="Cambria Math" w:eastAsiaTheme="minorEastAsia" w:hAnsi="Cambria Math"/>
                </w:rPr>
                <m:t>m</m:t>
              </m:r>
            </m:sub>
          </m:sSub>
          <m:r>
            <w:rPr>
              <w:rFonts w:ascii="Cambria Math" w:eastAsiaTheme="minorEastAsia" w:hAnsi="Cambria Math"/>
            </w:rPr>
            <m:t>index trading days with month m</m:t>
          </m:r>
        </m:oMath>
      </m:oMathPara>
    </w:p>
    <w:p w14:paraId="72694A8A" w14:textId="0626CEA0" w:rsidR="00486706" w:rsidRPr="00486706" w:rsidRDefault="00486706" w:rsidP="00DB2CDE">
      <w:pPr>
        <w:spacing w:after="0"/>
        <w:ind w:left="360"/>
        <w:rPr>
          <w:rFonts w:eastAsiaTheme="minorEastAsia"/>
        </w:rPr>
      </w:pPr>
      <m:oMathPara>
        <m:oMathParaPr>
          <m:jc m:val="left"/>
        </m:oMathParaPr>
        <m:oMath>
          <m:r>
            <w:rPr>
              <w:rFonts w:ascii="Cambria Math" w:eastAsiaTheme="minorEastAsia" w:hAnsi="Cambria Math"/>
            </w:rPr>
            <m:t xml:space="preserve"> </m:t>
          </m:r>
          <m:sSub>
            <m:sSubPr>
              <m:ctrlPr>
                <w:rPr>
                  <w:rFonts w:ascii="Cambria Math" w:eastAsiaTheme="minorEastAsia" w:hAnsi="Cambria Math"/>
                  <w:i/>
                </w:rPr>
              </m:ctrlPr>
            </m:sSubPr>
            <m:e>
              <m:r>
                <w:rPr>
                  <w:rFonts w:ascii="Cambria Math" w:eastAsiaTheme="minorEastAsia" w:hAnsi="Cambria Math"/>
                </w:rPr>
                <m:t>V</m:t>
              </m:r>
            </m:e>
            <m:sub>
              <m:r>
                <w:rPr>
                  <w:rFonts w:ascii="Cambria Math" w:eastAsiaTheme="minorEastAsia" w:hAnsi="Cambria Math"/>
                </w:rPr>
                <m:t>i,d</m:t>
              </m:r>
            </m:sub>
          </m:sSub>
          <m:r>
            <w:rPr>
              <w:rFonts w:ascii="Cambria Math" w:eastAsiaTheme="minorEastAsia" w:hAnsi="Cambria Math"/>
            </w:rPr>
            <m:t>denote the daily volume of firm i on day d</m:t>
          </m:r>
        </m:oMath>
      </m:oMathPara>
    </w:p>
    <w:p w14:paraId="5085E5B6" w14:textId="49C43140" w:rsidR="000D0FE9" w:rsidRPr="00DB2CDE" w:rsidRDefault="00000000" w:rsidP="00DB2CDE">
      <w:pPr>
        <w:spacing w:after="0"/>
        <w:ind w:left="360"/>
        <w:rPr>
          <w:rFonts w:eastAsiaTheme="minorEastAsia"/>
        </w:rPr>
      </w:pPr>
      <m:oMathPara>
        <m:oMath>
          <m:sSub>
            <m:sSubPr>
              <m:ctrlPr>
                <w:rPr>
                  <w:rFonts w:ascii="Cambria Math" w:hAnsi="Cambria Math"/>
                  <w:i/>
                </w:rPr>
              </m:ctrlPr>
            </m:sSubPr>
            <m:e>
              <m:r>
                <w:rPr>
                  <w:rFonts w:ascii="Cambria Math" w:hAnsi="Cambria Math"/>
                </w:rPr>
                <m:t>Vol</m:t>
              </m:r>
            </m:e>
            <m:sub>
              <m:r>
                <w:rPr>
                  <w:rFonts w:ascii="Cambria Math" w:hAnsi="Cambria Math"/>
                </w:rPr>
                <m:t>m</m:t>
              </m:r>
            </m:sub>
          </m:sSub>
          <m:r>
            <w:rPr>
              <w:rFonts w:ascii="Cambria Math" w:hAnsi="Cambria Math"/>
            </w:rPr>
            <m:t xml:space="preserve">=Monthly Aggregated Volume= </m:t>
          </m:r>
          <m:nary>
            <m:naryPr>
              <m:chr m:val="∑"/>
              <m:limLoc m:val="undOvr"/>
              <m:ctrlPr>
                <w:rPr>
                  <w:rFonts w:ascii="Cambria Math" w:hAnsi="Cambria Math"/>
                  <w:i/>
                </w:rPr>
              </m:ctrlPr>
            </m:naryPr>
            <m:sub>
              <m:r>
                <w:rPr>
                  <w:rFonts w:ascii="Cambria Math" w:hAnsi="Cambria Math"/>
                </w:rPr>
                <m:t>i=1</m:t>
              </m:r>
            </m:sub>
            <m:sup>
              <m:r>
                <w:rPr>
                  <w:rFonts w:ascii="Cambria Math" w:hAnsi="Cambria Math"/>
                </w:rPr>
                <m:t>N</m:t>
              </m:r>
            </m:sup>
            <m:e>
              <m:nary>
                <m:naryPr>
                  <m:chr m:val="∑"/>
                  <m:limLoc m:val="undOvr"/>
                  <m:supHide m:val="1"/>
                  <m:ctrlPr>
                    <w:rPr>
                      <w:rFonts w:ascii="Cambria Math" w:hAnsi="Cambria Math"/>
                      <w:i/>
                    </w:rPr>
                  </m:ctrlPr>
                </m:naryPr>
                <m:sub>
                  <m:r>
                    <w:rPr>
                      <w:rFonts w:ascii="Cambria Math" w:eastAsiaTheme="minorEastAsia" w:hAnsi="Cambria Math"/>
                    </w:rPr>
                    <m:t>d∊</m:t>
                  </m:r>
                  <m:sSub>
                    <m:sSubPr>
                      <m:ctrlPr>
                        <w:rPr>
                          <w:rFonts w:ascii="Cambria Math" w:eastAsiaTheme="minorEastAsia" w:hAnsi="Cambria Math"/>
                          <w:i/>
                        </w:rPr>
                      </m:ctrlPr>
                    </m:sSubPr>
                    <m:e>
                      <m:r>
                        <w:rPr>
                          <w:rFonts w:ascii="Cambria Math" w:eastAsiaTheme="minorEastAsia" w:hAnsi="Cambria Math"/>
                        </w:rPr>
                        <m:t>D</m:t>
                      </m:r>
                    </m:e>
                    <m:sub>
                      <m:r>
                        <w:rPr>
                          <w:rFonts w:ascii="Cambria Math" w:eastAsiaTheme="minorEastAsia" w:hAnsi="Cambria Math"/>
                        </w:rPr>
                        <m:t>m</m:t>
                      </m:r>
                    </m:sub>
                  </m:sSub>
                </m:sub>
                <m:sup/>
                <m:e>
                  <m:sSub>
                    <m:sSubPr>
                      <m:ctrlPr>
                        <w:rPr>
                          <w:rFonts w:ascii="Cambria Math" w:eastAsiaTheme="minorEastAsia" w:hAnsi="Cambria Math"/>
                          <w:i/>
                        </w:rPr>
                      </m:ctrlPr>
                    </m:sSubPr>
                    <m:e>
                      <m:r>
                        <w:rPr>
                          <w:rFonts w:ascii="Cambria Math" w:eastAsiaTheme="minorEastAsia" w:hAnsi="Cambria Math"/>
                        </w:rPr>
                        <m:t>V</m:t>
                      </m:r>
                    </m:e>
                    <m:sub>
                      <m:r>
                        <w:rPr>
                          <w:rFonts w:ascii="Cambria Math" w:eastAsiaTheme="minorEastAsia" w:hAnsi="Cambria Math"/>
                        </w:rPr>
                        <m:t>i,d</m:t>
                      </m:r>
                    </m:sub>
                  </m:sSub>
                </m:e>
              </m:nary>
            </m:e>
          </m:nary>
        </m:oMath>
      </m:oMathPara>
    </w:p>
    <w:p w14:paraId="6FD9126F" w14:textId="7CE8DEAA" w:rsidR="00347FE4" w:rsidRPr="001A62CA" w:rsidRDefault="00405FD1" w:rsidP="001A62CA">
      <w:pPr>
        <w:pStyle w:val="Heading1"/>
        <w:numPr>
          <w:ilvl w:val="0"/>
          <w:numId w:val="5"/>
        </w:numPr>
        <w:rPr>
          <w:sz w:val="22"/>
          <w:szCs w:val="22"/>
        </w:rPr>
      </w:pPr>
      <w:bookmarkStart w:id="6" w:name="_Toc220361238"/>
      <w:r w:rsidRPr="001A62CA">
        <w:rPr>
          <w:sz w:val="22"/>
          <w:szCs w:val="22"/>
        </w:rPr>
        <w:t>Normalised Z-</w:t>
      </w:r>
      <w:r w:rsidR="00347FE4" w:rsidRPr="001A62CA">
        <w:rPr>
          <w:sz w:val="22"/>
          <w:szCs w:val="22"/>
        </w:rPr>
        <w:t>Volume</w:t>
      </w:r>
      <w:r w:rsidRPr="001A62CA">
        <w:rPr>
          <w:sz w:val="22"/>
          <w:szCs w:val="22"/>
        </w:rPr>
        <w:t xml:space="preserve"> Scores</w:t>
      </w:r>
      <w:bookmarkEnd w:id="6"/>
      <w:r w:rsidR="00347FE4" w:rsidRPr="001A62CA">
        <w:rPr>
          <w:sz w:val="22"/>
          <w:szCs w:val="22"/>
        </w:rPr>
        <w:t xml:space="preserve"> </w:t>
      </w:r>
    </w:p>
    <w:p w14:paraId="1AAB3837" w14:textId="7A47F456" w:rsidR="00486706" w:rsidRDefault="001E1332" w:rsidP="000D0FE9">
      <w:pPr>
        <w:ind w:left="360"/>
        <w:jc w:val="both"/>
      </w:pPr>
      <w:r>
        <w:rPr>
          <w:noProof/>
        </w:rPr>
        <mc:AlternateContent>
          <mc:Choice Requires="wps">
            <w:drawing>
              <wp:anchor distT="0" distB="0" distL="114300" distR="114300" simplePos="0" relativeHeight="251681792" behindDoc="0" locked="0" layoutInCell="1" allowOverlap="1" wp14:anchorId="737AB837" wp14:editId="519FC9DB">
                <wp:simplePos x="0" y="0"/>
                <wp:positionH relativeFrom="column">
                  <wp:posOffset>5207081</wp:posOffset>
                </wp:positionH>
                <wp:positionV relativeFrom="paragraph">
                  <wp:posOffset>1023674</wp:posOffset>
                </wp:positionV>
                <wp:extent cx="914400" cy="914400"/>
                <wp:effectExtent l="0" t="0" r="0" b="0"/>
                <wp:wrapNone/>
                <wp:docPr id="1500796452" name="Text Box 8"/>
                <wp:cNvGraphicFramePr/>
                <a:graphic xmlns:a="http://schemas.openxmlformats.org/drawingml/2006/main">
                  <a:graphicData uri="http://schemas.microsoft.com/office/word/2010/wordprocessingShape">
                    <wps:wsp>
                      <wps:cNvSpPr txBox="1"/>
                      <wps:spPr>
                        <a:xfrm>
                          <a:off x="0" y="0"/>
                          <a:ext cx="914400" cy="914400"/>
                        </a:xfrm>
                        <a:prstGeom prst="rect">
                          <a:avLst/>
                        </a:prstGeom>
                        <a:noFill/>
                        <a:ln w="6350">
                          <a:noFill/>
                        </a:ln>
                      </wps:spPr>
                      <wps:txbx>
                        <w:txbxContent>
                          <w:p w14:paraId="3B1E4954" w14:textId="6CABA265" w:rsidR="00250483" w:rsidRDefault="00250483" w:rsidP="00250483">
                            <w:r>
                              <w:t>(4.2)</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noAutofit/>
                      </wps:bodyPr>
                    </wps:wsp>
                  </a:graphicData>
                </a:graphic>
              </wp:anchor>
            </w:drawing>
          </mc:Choice>
          <mc:Fallback>
            <w:pict>
              <v:shape w14:anchorId="737AB837" id="_x0000_s1033" type="#_x0000_t202" style="position:absolute;left:0;text-align:left;margin-left:410pt;margin-top:80.6pt;width:1in;height:1in;z-index:251681792;visibility:visible;mso-wrap-style:non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" filled="f" stroked="f" strokeweight=".5pt">
                <v:textbox>
                  <w:txbxContent>
                    <w:p w14:paraId="3B1E4954" w14:textId="6CABA265" w:rsidR="00250483" w:rsidRDefault="00250483" w:rsidP="00250483">
                      <w:r>
                        <w:t>(4.2)</w:t>
                      </w:r>
                    </w:p>
                  </w:txbxContent>
                </v:textbox>
              </v:shape>
            </w:pict>
          </mc:Fallback>
        </mc:AlternateContent>
      </w:r>
      <w:r w:rsidR="000D0FE9">
        <w:t>A</w:t>
      </w:r>
      <w:r w:rsidR="009671F2">
        <w:t>fter the monthly aggregation of volume, rather than using the natural logarithm of volume across the firm</w:t>
      </w:r>
      <w:r w:rsidR="000D0FE9">
        <w:t>, normalised volume z-scores are used. Log-transformed trading volume captures overall market liquidity but does not distinguish normal from speculative trading (Karpoff</w:t>
      </w:r>
      <w:r>
        <w:t xml:space="preserve"> et al.</w:t>
      </w:r>
      <w:r w:rsidR="000D0FE9">
        <w:t>,</w:t>
      </w:r>
      <w:r>
        <w:t xml:space="preserve"> 2008</w:t>
      </w:r>
      <w:r w:rsidR="000D0FE9">
        <w:t xml:space="preserve">). As the aim of the study is understand abnormal trading activity influenced by AI hype, deriving a bubble formation or speculative trading. </w:t>
      </w:r>
    </w:p>
    <w:p w14:paraId="47728E16" w14:textId="77777777" w:rsidR="00405FD1" w:rsidRPr="00405FD1" w:rsidRDefault="000D0FE9" w:rsidP="000D0FE9">
      <w:pPr>
        <w:ind w:left="360"/>
        <w:jc w:val="both"/>
        <w:rPr>
          <w:rFonts w:eastAsiaTheme="minorEastAsia"/>
        </w:rPr>
      </w:pPr>
      <m:oMathPara>
        <m:oMath>
          <m:r>
            <w:rPr>
              <w:rFonts w:ascii="Cambria Math" w:hAnsi="Cambria Math"/>
            </w:rPr>
            <m:t>Z-</m:t>
          </m:r>
          <m:sSub>
            <m:sSubPr>
              <m:ctrlPr>
                <w:rPr>
                  <w:rFonts w:ascii="Cambria Math" w:hAnsi="Cambria Math"/>
                  <w:i/>
                </w:rPr>
              </m:ctrlPr>
            </m:sSubPr>
            <m:e>
              <m:r>
                <w:rPr>
                  <w:rFonts w:ascii="Cambria Math" w:hAnsi="Cambria Math"/>
                </w:rPr>
                <m:t>Vol</m:t>
              </m:r>
            </m:e>
            <m:sub>
              <m:r>
                <w:rPr>
                  <w:rFonts w:ascii="Cambria Math" w:hAnsi="Cambria Math"/>
                </w:rPr>
                <m:t>m</m:t>
              </m:r>
            </m:sub>
          </m:sSub>
          <m:r>
            <w:rPr>
              <w:rFonts w:ascii="Cambria Math" w:hAnsi="Cambria Math"/>
            </w:rPr>
            <m:t>=</m:t>
          </m:r>
          <m:f>
            <m:fPr>
              <m:ctrlPr>
                <w:rPr>
                  <w:rFonts w:ascii="Cambria Math" w:hAnsi="Cambria Math"/>
                  <w:i/>
                </w:rPr>
              </m:ctrlPr>
            </m:fPr>
            <m:num>
              <m:sSub>
                <m:sSubPr>
                  <m:ctrlPr>
                    <w:rPr>
                      <w:rFonts w:ascii="Cambria Math" w:hAnsi="Cambria Math"/>
                      <w:i/>
                    </w:rPr>
                  </m:ctrlPr>
                </m:sSubPr>
                <m:e>
                  <m:r>
                    <w:rPr>
                      <w:rFonts w:ascii="Cambria Math" w:hAnsi="Cambria Math"/>
                    </w:rPr>
                    <m:t>Vol</m:t>
                  </m:r>
                </m:e>
                <m:sub>
                  <m:r>
                    <w:rPr>
                      <w:rFonts w:ascii="Cambria Math" w:hAnsi="Cambria Math"/>
                    </w:rPr>
                    <m:t>m</m:t>
                  </m:r>
                </m:sub>
              </m:sSub>
              <m:r>
                <w:rPr>
                  <w:rFonts w:ascii="Cambria Math" w:hAnsi="Cambria Math"/>
                </w:rPr>
                <m:t>-μ</m:t>
              </m:r>
            </m:num>
            <m:den>
              <m:r>
                <w:rPr>
                  <w:rFonts w:ascii="Cambria Math" w:hAnsi="Cambria Math"/>
                </w:rPr>
                <m:t>σ</m:t>
              </m:r>
            </m:den>
          </m:f>
          <m:r>
            <w:rPr>
              <w:rFonts w:ascii="Cambria Math" w:hAnsi="Cambria Math"/>
            </w:rPr>
            <m:t xml:space="preserve">, </m:t>
          </m:r>
        </m:oMath>
      </m:oMathPara>
    </w:p>
    <w:p w14:paraId="169B7DA7" w14:textId="60F581BF" w:rsidR="00BD4BF1" w:rsidRDefault="000D0FE9" w:rsidP="00405FD1">
      <w:pPr>
        <w:ind w:left="360"/>
        <w:jc w:val="center"/>
        <w:rPr>
          <w:rFonts w:eastAsiaTheme="minorEastAsia"/>
        </w:rPr>
      </w:pPr>
      <m:oMath>
        <m:r>
          <w:rPr>
            <w:rFonts w:ascii="Cambria Math" w:hAnsi="Cambria Math"/>
          </w:rPr>
          <w:lastRenderedPageBreak/>
          <m:t xml:space="preserve">where μ= </m:t>
        </m:r>
        <m:f>
          <m:fPr>
            <m:ctrlPr>
              <w:rPr>
                <w:rFonts w:ascii="Cambria Math" w:hAnsi="Cambria Math"/>
                <w:i/>
              </w:rPr>
            </m:ctrlPr>
          </m:fPr>
          <m:num>
            <m:r>
              <w:rPr>
                <w:rFonts w:ascii="Cambria Math" w:hAnsi="Cambria Math"/>
              </w:rPr>
              <m:t>1</m:t>
            </m:r>
          </m:num>
          <m:den>
            <m:r>
              <w:rPr>
                <w:rFonts w:ascii="Cambria Math" w:hAnsi="Cambria Math"/>
              </w:rPr>
              <m:t>T</m:t>
            </m:r>
          </m:den>
        </m:f>
        <m:nary>
          <m:naryPr>
            <m:chr m:val="∑"/>
            <m:limLoc m:val="undOvr"/>
            <m:ctrlPr>
              <w:rPr>
                <w:rFonts w:ascii="Cambria Math" w:eastAsiaTheme="minorEastAsia" w:hAnsi="Cambria Math"/>
                <w:i/>
              </w:rPr>
            </m:ctrlPr>
          </m:naryPr>
          <m:sub>
            <m:r>
              <w:rPr>
                <w:rFonts w:ascii="Cambria Math" w:eastAsiaTheme="minorEastAsia" w:hAnsi="Cambria Math"/>
              </w:rPr>
              <m:t>m=1</m:t>
            </m:r>
          </m:sub>
          <m:sup>
            <m:r>
              <w:rPr>
                <w:rFonts w:ascii="Cambria Math" w:eastAsiaTheme="minorEastAsia" w:hAnsi="Cambria Math"/>
              </w:rPr>
              <m:t>T</m:t>
            </m:r>
          </m:sup>
          <m:e>
            <m:sSub>
              <m:sSubPr>
                <m:ctrlPr>
                  <w:rPr>
                    <w:rFonts w:ascii="Cambria Math" w:hAnsi="Cambria Math"/>
                    <w:i/>
                  </w:rPr>
                </m:ctrlPr>
              </m:sSubPr>
              <m:e>
                <m:r>
                  <w:rPr>
                    <w:rFonts w:ascii="Cambria Math" w:hAnsi="Cambria Math"/>
                  </w:rPr>
                  <m:t>Vol</m:t>
                </m:r>
              </m:e>
              <m:sub>
                <m:r>
                  <w:rPr>
                    <w:rFonts w:ascii="Cambria Math" w:hAnsi="Cambria Math"/>
                  </w:rPr>
                  <m:t>m</m:t>
                </m:r>
              </m:sub>
            </m:sSub>
          </m:e>
        </m:nary>
        <m:r>
          <w:rPr>
            <w:rFonts w:ascii="Cambria Math" w:eastAsiaTheme="minorEastAsia" w:hAnsi="Cambria Math"/>
          </w:rPr>
          <m:t>,</m:t>
        </m:r>
      </m:oMath>
      <w:r>
        <w:rPr>
          <w:rFonts w:eastAsiaTheme="minorEastAsia"/>
        </w:rPr>
        <w:t xml:space="preserve"> </w:t>
      </w:r>
      <m:oMath>
        <m:r>
          <w:rPr>
            <w:rFonts w:ascii="Cambria Math" w:eastAsiaTheme="minorEastAsia" w:hAnsi="Cambria Math"/>
          </w:rPr>
          <m:t xml:space="preserve">     σ=</m:t>
        </m:r>
        <m:rad>
          <m:radPr>
            <m:degHide m:val="1"/>
            <m:ctrlPr>
              <w:rPr>
                <w:rFonts w:ascii="Cambria Math" w:eastAsiaTheme="minorEastAsia" w:hAnsi="Cambria Math"/>
                <w:i/>
              </w:rPr>
            </m:ctrlPr>
          </m:radPr>
          <m:deg/>
          <m:e>
            <m:f>
              <m:fPr>
                <m:ctrlPr>
                  <w:rPr>
                    <w:rFonts w:ascii="Cambria Math" w:eastAsiaTheme="minorEastAsia" w:hAnsi="Cambria Math"/>
                    <w:i/>
                  </w:rPr>
                </m:ctrlPr>
              </m:fPr>
              <m:num>
                <m:r>
                  <w:rPr>
                    <w:rFonts w:ascii="Cambria Math" w:eastAsiaTheme="minorEastAsia" w:hAnsi="Cambria Math"/>
                  </w:rPr>
                  <m:t>1</m:t>
                </m:r>
              </m:num>
              <m:den>
                <m:r>
                  <w:rPr>
                    <w:rFonts w:ascii="Cambria Math" w:eastAsiaTheme="minorEastAsia" w:hAnsi="Cambria Math"/>
                  </w:rPr>
                  <m:t>T-1</m:t>
                </m:r>
              </m:den>
            </m:f>
            <m:nary>
              <m:naryPr>
                <m:chr m:val="∑"/>
                <m:limLoc m:val="undOvr"/>
                <m:ctrlPr>
                  <w:rPr>
                    <w:rFonts w:ascii="Cambria Math" w:eastAsiaTheme="minorEastAsia" w:hAnsi="Cambria Math"/>
                    <w:i/>
                  </w:rPr>
                </m:ctrlPr>
              </m:naryPr>
              <m:sub>
                <m:r>
                  <w:rPr>
                    <w:rFonts w:ascii="Cambria Math" w:eastAsiaTheme="minorEastAsia" w:hAnsi="Cambria Math"/>
                  </w:rPr>
                  <m:t>m=1</m:t>
                </m:r>
              </m:sub>
              <m:sup>
                <m:r>
                  <w:rPr>
                    <w:rFonts w:ascii="Cambria Math" w:eastAsiaTheme="minorEastAsia" w:hAnsi="Cambria Math"/>
                  </w:rPr>
                  <m:t>T</m:t>
                </m:r>
              </m:sup>
              <m:e>
                <m:sSup>
                  <m:sSupPr>
                    <m:ctrlPr>
                      <w:rPr>
                        <w:rFonts w:ascii="Cambria Math" w:hAnsi="Cambria Math"/>
                        <w:i/>
                      </w:rPr>
                    </m:ctrlPr>
                  </m:sSupPr>
                  <m:e>
                    <m:sSub>
                      <m:sSubPr>
                        <m:ctrlPr>
                          <w:rPr>
                            <w:rFonts w:ascii="Cambria Math" w:hAnsi="Cambria Math"/>
                            <w:i/>
                          </w:rPr>
                        </m:ctrlPr>
                      </m:sSubPr>
                      <m:e>
                        <m:r>
                          <w:rPr>
                            <w:rFonts w:ascii="Cambria Math" w:hAnsi="Cambria Math"/>
                          </w:rPr>
                          <m:t>(Vol</m:t>
                        </m:r>
                      </m:e>
                      <m:sub>
                        <m:r>
                          <w:rPr>
                            <w:rFonts w:ascii="Cambria Math" w:hAnsi="Cambria Math"/>
                          </w:rPr>
                          <m:t>m</m:t>
                        </m:r>
                      </m:sub>
                    </m:sSub>
                    <m:r>
                      <w:rPr>
                        <w:rFonts w:ascii="Cambria Math" w:hAnsi="Cambria Math"/>
                      </w:rPr>
                      <m:t>-μ)</m:t>
                    </m:r>
                  </m:e>
                  <m:sup>
                    <m:r>
                      <w:rPr>
                        <w:rFonts w:ascii="Cambria Math" w:hAnsi="Cambria Math"/>
                      </w:rPr>
                      <m:t>2</m:t>
                    </m:r>
                  </m:sup>
                </m:sSup>
              </m:e>
            </m:nary>
          </m:e>
        </m:rad>
      </m:oMath>
    </w:p>
    <w:p w14:paraId="7C68531B" w14:textId="58E04C3F" w:rsidR="009C35CE" w:rsidRPr="001A62CA" w:rsidRDefault="009C35CE" w:rsidP="009C35CE">
      <w:pPr>
        <w:ind w:left="360"/>
        <w:rPr>
          <w:rFonts w:eastAsiaTheme="minorEastAsia"/>
          <w:b/>
          <w:bCs/>
        </w:rPr>
      </w:pPr>
      <w:r w:rsidRPr="001A62CA">
        <w:rPr>
          <w:rFonts w:eastAsiaTheme="minorEastAsia"/>
          <w:b/>
          <w:bCs/>
        </w:rPr>
        <w:t>Interpretation:</w:t>
      </w:r>
    </w:p>
    <w:tbl>
      <w:tblPr>
        <w:tblStyle w:val="TableGrid"/>
        <w:tblW w:w="0" w:type="auto"/>
        <w:tblInd w:w="360" w:type="dxa"/>
        <w:tblLook w:val="04A0" w:firstRow="1" w:lastRow="0" w:firstColumn="1" w:lastColumn="0" w:noHBand="0" w:noVBand="1"/>
      </w:tblPr>
      <w:tblGrid>
        <w:gridCol w:w="2868"/>
        <w:gridCol w:w="2868"/>
        <w:gridCol w:w="2920"/>
      </w:tblGrid>
      <w:tr w:rsidR="009C35CE" w14:paraId="31FCD03D" w14:textId="77777777" w:rsidTr="00EF6F86">
        <w:tc>
          <w:tcPr>
            <w:tcW w:w="2868" w:type="dxa"/>
          </w:tcPr>
          <w:p w14:paraId="39BC6DC8" w14:textId="0B3675C0" w:rsidR="009C35CE" w:rsidRPr="009C35CE" w:rsidRDefault="00EF6F86" w:rsidP="009C35CE">
            <w:pPr>
              <w:jc w:val="center"/>
              <w:rPr>
                <w:rFonts w:eastAsiaTheme="minorEastAsia"/>
                <w:b/>
                <w:bCs/>
                <w:i/>
                <w:iCs/>
              </w:rPr>
            </w:pPr>
            <w:r>
              <w:rPr>
                <w:rFonts w:eastAsiaTheme="minorEastAsia"/>
                <w:b/>
                <w:bCs/>
                <w:i/>
                <w:iCs/>
              </w:rPr>
              <w:t>Date</w:t>
            </w:r>
          </w:p>
        </w:tc>
        <w:tc>
          <w:tcPr>
            <w:tcW w:w="2868" w:type="dxa"/>
          </w:tcPr>
          <w:p w14:paraId="0CCC5CAA" w14:textId="1C6950D6" w:rsidR="009C35CE" w:rsidRPr="009C35CE" w:rsidRDefault="009C35CE" w:rsidP="009C35CE">
            <w:pPr>
              <w:jc w:val="center"/>
              <w:rPr>
                <w:rFonts w:eastAsiaTheme="minorEastAsia"/>
                <w:b/>
                <w:bCs/>
                <w:i/>
                <w:iCs/>
              </w:rPr>
            </w:pPr>
            <w:r w:rsidRPr="009C35CE">
              <w:rPr>
                <w:rFonts w:eastAsiaTheme="minorEastAsia"/>
                <w:b/>
                <w:bCs/>
                <w:i/>
                <w:iCs/>
              </w:rPr>
              <w:t>Z-score</w:t>
            </w:r>
            <w:r w:rsidR="0063422A">
              <w:rPr>
                <w:rFonts w:eastAsiaTheme="minorEastAsia"/>
                <w:b/>
                <w:bCs/>
                <w:i/>
                <w:iCs/>
              </w:rPr>
              <w:t xml:space="preserve"> of NAS100 Firms</w:t>
            </w:r>
          </w:p>
        </w:tc>
        <w:tc>
          <w:tcPr>
            <w:tcW w:w="2920" w:type="dxa"/>
          </w:tcPr>
          <w:p w14:paraId="170B926B" w14:textId="19CAF26E" w:rsidR="009C35CE" w:rsidRPr="009C35CE" w:rsidRDefault="009C35CE" w:rsidP="009C35CE">
            <w:pPr>
              <w:jc w:val="center"/>
              <w:rPr>
                <w:rFonts w:eastAsiaTheme="minorEastAsia"/>
                <w:b/>
                <w:bCs/>
                <w:i/>
                <w:iCs/>
              </w:rPr>
            </w:pPr>
            <w:r w:rsidRPr="009C35CE">
              <w:rPr>
                <w:rFonts w:eastAsiaTheme="minorEastAsia"/>
                <w:b/>
                <w:bCs/>
                <w:i/>
                <w:iCs/>
              </w:rPr>
              <w:t>Interpretation</w:t>
            </w:r>
          </w:p>
        </w:tc>
      </w:tr>
      <w:tr w:rsidR="009C35CE" w14:paraId="5E0F1910" w14:textId="77777777" w:rsidTr="00EF6F86">
        <w:tc>
          <w:tcPr>
            <w:tcW w:w="2868" w:type="dxa"/>
          </w:tcPr>
          <w:p w14:paraId="4ACD84EF" w14:textId="669215B2" w:rsidR="009C35CE" w:rsidRDefault="00EF6F86" w:rsidP="009E16E2">
            <w:pPr>
              <w:jc w:val="center"/>
              <w:rPr>
                <w:rFonts w:eastAsiaTheme="minorEastAsia"/>
              </w:rPr>
            </w:pPr>
            <w:r>
              <w:rPr>
                <w:rFonts w:eastAsiaTheme="minorEastAsia"/>
              </w:rPr>
              <w:t>2019-01-31</w:t>
            </w:r>
          </w:p>
        </w:tc>
        <w:tc>
          <w:tcPr>
            <w:tcW w:w="2868" w:type="dxa"/>
          </w:tcPr>
          <w:p w14:paraId="49719752" w14:textId="7CD342BD" w:rsidR="009C35CE" w:rsidRDefault="00EF6F86" w:rsidP="009E16E2">
            <w:pPr>
              <w:jc w:val="center"/>
              <w:rPr>
                <w:rFonts w:eastAsiaTheme="minorEastAsia"/>
              </w:rPr>
            </w:pPr>
            <w:r>
              <w:rPr>
                <w:rFonts w:eastAsiaTheme="minorEastAsia"/>
              </w:rPr>
              <w:t>2.67</w:t>
            </w:r>
          </w:p>
        </w:tc>
        <w:tc>
          <w:tcPr>
            <w:tcW w:w="2920" w:type="dxa"/>
          </w:tcPr>
          <w:p w14:paraId="25C6FE1B" w14:textId="14474FC4" w:rsidR="009C35CE" w:rsidRDefault="00EF6F86" w:rsidP="009E16E2">
            <w:pPr>
              <w:jc w:val="center"/>
              <w:rPr>
                <w:rFonts w:eastAsiaTheme="minorEastAsia"/>
              </w:rPr>
            </w:pPr>
            <w:r>
              <w:rPr>
                <w:rFonts w:eastAsiaTheme="minorEastAsia"/>
              </w:rPr>
              <w:t>Abnormal trading compared to the sample mean</w:t>
            </w:r>
          </w:p>
        </w:tc>
      </w:tr>
      <w:tr w:rsidR="009C35CE" w14:paraId="713617B5" w14:textId="77777777" w:rsidTr="00EF6F86">
        <w:tc>
          <w:tcPr>
            <w:tcW w:w="2868" w:type="dxa"/>
          </w:tcPr>
          <w:p w14:paraId="0441710E" w14:textId="75316DC4" w:rsidR="009C35CE" w:rsidRDefault="00EF6F86" w:rsidP="009E16E2">
            <w:pPr>
              <w:jc w:val="center"/>
              <w:rPr>
                <w:rFonts w:eastAsiaTheme="minorEastAsia"/>
              </w:rPr>
            </w:pPr>
            <w:r>
              <w:rPr>
                <w:rFonts w:eastAsiaTheme="minorEastAsia"/>
              </w:rPr>
              <w:t>2019 -02-28</w:t>
            </w:r>
          </w:p>
        </w:tc>
        <w:tc>
          <w:tcPr>
            <w:tcW w:w="2868" w:type="dxa"/>
          </w:tcPr>
          <w:p w14:paraId="5D9ACB53" w14:textId="55A1CE16" w:rsidR="009C35CE" w:rsidRDefault="00EF6F86" w:rsidP="009E16E2">
            <w:pPr>
              <w:jc w:val="center"/>
              <w:rPr>
                <w:rFonts w:eastAsiaTheme="minorEastAsia"/>
              </w:rPr>
            </w:pPr>
            <w:r>
              <w:rPr>
                <w:rFonts w:eastAsiaTheme="minorEastAsia"/>
              </w:rPr>
              <w:t>0.33</w:t>
            </w:r>
          </w:p>
        </w:tc>
        <w:tc>
          <w:tcPr>
            <w:tcW w:w="2920" w:type="dxa"/>
          </w:tcPr>
          <w:p w14:paraId="1677138F" w14:textId="0ECBCDD9" w:rsidR="009C35CE" w:rsidRDefault="00EF6F86" w:rsidP="009E16E2">
            <w:pPr>
              <w:jc w:val="center"/>
              <w:rPr>
                <w:rFonts w:eastAsiaTheme="minorEastAsia"/>
              </w:rPr>
            </w:pPr>
            <w:r>
              <w:rPr>
                <w:rFonts w:eastAsiaTheme="minorEastAsia"/>
              </w:rPr>
              <w:t>Moderately above the normal sample mean</w:t>
            </w:r>
          </w:p>
        </w:tc>
      </w:tr>
      <w:tr w:rsidR="00EF6F86" w14:paraId="1ACB7065" w14:textId="77777777" w:rsidTr="00EF6F86">
        <w:tc>
          <w:tcPr>
            <w:tcW w:w="2868" w:type="dxa"/>
          </w:tcPr>
          <w:p w14:paraId="4C054BD3" w14:textId="2F3CA4B4" w:rsidR="00EF6F86" w:rsidRDefault="00EF6F86" w:rsidP="009E16E2">
            <w:pPr>
              <w:jc w:val="center"/>
              <w:rPr>
                <w:rFonts w:eastAsiaTheme="minorEastAsia"/>
              </w:rPr>
            </w:pPr>
            <w:r>
              <w:rPr>
                <w:rFonts w:eastAsiaTheme="minorEastAsia"/>
              </w:rPr>
              <w:t>2019-04-30</w:t>
            </w:r>
          </w:p>
        </w:tc>
        <w:tc>
          <w:tcPr>
            <w:tcW w:w="2868" w:type="dxa"/>
          </w:tcPr>
          <w:p w14:paraId="023AC6DB" w14:textId="018153ED" w:rsidR="00EF6F86" w:rsidRDefault="0063422A" w:rsidP="009E16E2">
            <w:pPr>
              <w:jc w:val="center"/>
              <w:rPr>
                <w:rFonts w:eastAsiaTheme="minorEastAsia"/>
              </w:rPr>
            </w:pPr>
            <w:r>
              <w:rPr>
                <w:rFonts w:eastAsiaTheme="minorEastAsia"/>
              </w:rPr>
              <w:t>-0.03</w:t>
            </w:r>
          </w:p>
        </w:tc>
        <w:tc>
          <w:tcPr>
            <w:tcW w:w="2920" w:type="dxa"/>
          </w:tcPr>
          <w:p w14:paraId="23EB73EF" w14:textId="7447CDEC" w:rsidR="00EF6F86" w:rsidRDefault="001A62CA" w:rsidP="003D20D8">
            <w:pPr>
              <w:keepNext/>
              <w:jc w:val="center"/>
              <w:rPr>
                <w:rFonts w:eastAsiaTheme="minorEastAsia"/>
              </w:rPr>
            </w:pPr>
            <w:r>
              <w:rPr>
                <w:rFonts w:eastAsiaTheme="minorEastAsia"/>
              </w:rPr>
              <w:t>Less than the normal trading volume</w:t>
            </w:r>
          </w:p>
        </w:tc>
      </w:tr>
    </w:tbl>
    <w:p w14:paraId="56A031CB" w14:textId="083C8583" w:rsidR="009C35CE" w:rsidRPr="003D20D8" w:rsidRDefault="003D20D8" w:rsidP="003D20D8">
      <w:pPr>
        <w:pStyle w:val="Caption"/>
        <w:jc w:val="center"/>
        <w:rPr>
          <w:rFonts w:eastAsiaTheme="minorEastAsia"/>
          <w:color w:val="auto"/>
        </w:rPr>
      </w:pPr>
      <w:r w:rsidRPr="003D20D8">
        <w:rPr>
          <w:color w:val="auto"/>
        </w:rPr>
        <w:t xml:space="preserve">Table </w:t>
      </w:r>
      <w:r w:rsidR="00250483">
        <w:rPr>
          <w:color w:val="auto"/>
        </w:rPr>
        <w:fldChar w:fldCharType="begin"/>
      </w:r>
      <w:r w:rsidR="00250483">
        <w:rPr>
          <w:color w:val="auto"/>
        </w:rPr>
        <w:instrText xml:space="preserve"> SEQ Table \* ARABIC </w:instrText>
      </w:r>
      <w:r w:rsidR="00250483">
        <w:rPr>
          <w:color w:val="auto"/>
        </w:rPr>
        <w:fldChar w:fldCharType="separate"/>
      </w:r>
      <w:r w:rsidR="00250483">
        <w:rPr>
          <w:noProof/>
          <w:color w:val="auto"/>
        </w:rPr>
        <w:t>2</w:t>
      </w:r>
      <w:r w:rsidR="00250483">
        <w:rPr>
          <w:color w:val="auto"/>
        </w:rPr>
        <w:fldChar w:fldCharType="end"/>
      </w:r>
      <w:r>
        <w:rPr>
          <w:color w:val="auto"/>
        </w:rPr>
        <w:t>: Monthly Z-Scores of NASDAQ-100 aggregated firms and interpretation</w:t>
      </w:r>
    </w:p>
    <w:p w14:paraId="0078EAFB" w14:textId="7BA8BFE2" w:rsidR="00347FE4" w:rsidRPr="00250483" w:rsidRDefault="00347FE4" w:rsidP="00250483">
      <w:pPr>
        <w:pStyle w:val="Heading1"/>
        <w:numPr>
          <w:ilvl w:val="0"/>
          <w:numId w:val="5"/>
        </w:numPr>
        <w:rPr>
          <w:sz w:val="22"/>
          <w:szCs w:val="22"/>
        </w:rPr>
      </w:pPr>
      <w:bookmarkStart w:id="7" w:name="_Toc220361239"/>
      <w:r w:rsidRPr="00250483">
        <w:rPr>
          <w:sz w:val="22"/>
          <w:szCs w:val="22"/>
        </w:rPr>
        <w:t>Indexing</w:t>
      </w:r>
      <w:bookmarkEnd w:id="7"/>
      <w:r w:rsidRPr="00250483">
        <w:rPr>
          <w:sz w:val="22"/>
          <w:szCs w:val="22"/>
        </w:rPr>
        <w:t xml:space="preserve"> </w:t>
      </w:r>
    </w:p>
    <w:p w14:paraId="41B13A04" w14:textId="063056DA" w:rsidR="00405FD1" w:rsidRDefault="00405FD1" w:rsidP="0063422A">
      <w:pPr>
        <w:ind w:left="360"/>
        <w:jc w:val="both"/>
      </w:pPr>
      <w:r>
        <w:t>The normalised z-scores are computed for both indices</w:t>
      </w:r>
      <w:r w:rsidR="009C35CE">
        <w:t>;</w:t>
      </w:r>
      <w:r>
        <w:t xml:space="preserve"> however, the dimensions of the financial panel dataset </w:t>
      </w:r>
      <w:r w:rsidR="009C35CE">
        <w:t xml:space="preserve">and the non-financial dataset remain inconsistent. </w:t>
      </w:r>
      <w:r w:rsidR="0063422A">
        <w:t>Hence</w:t>
      </w:r>
      <w:r w:rsidR="00E55B24">
        <w:t>, the monthly Normalised Z-scores are agg</w:t>
      </w:r>
      <w:r w:rsidR="0063422A">
        <w:t>regated across the months</w:t>
      </w:r>
      <w:r w:rsidR="006478B8">
        <w:t xml:space="preserve">. </w:t>
      </w:r>
      <w:r w:rsidR="0063422A">
        <w:t xml:space="preserve">This means it assumes equal weight to all the firms' volume z-scores across the same months. </w:t>
      </w:r>
    </w:p>
    <w:p w14:paraId="27B0312D" w14:textId="1AD8368E" w:rsidR="0063422A" w:rsidRDefault="00250483" w:rsidP="0063422A">
      <w:pPr>
        <w:ind w:left="360"/>
        <w:jc w:val="both"/>
      </w:pPr>
      <w:r>
        <w:rPr>
          <w:noProof/>
        </w:rPr>
        <mc:AlternateContent>
          <mc:Choice Requires="wps">
            <w:drawing>
              <wp:anchor distT="0" distB="0" distL="114300" distR="114300" simplePos="0" relativeHeight="251683840" behindDoc="0" locked="0" layoutInCell="1" allowOverlap="1" wp14:anchorId="4BF10026" wp14:editId="6213EEB9">
                <wp:simplePos x="0" y="0"/>
                <wp:positionH relativeFrom="column">
                  <wp:posOffset>5175115</wp:posOffset>
                </wp:positionH>
                <wp:positionV relativeFrom="paragraph">
                  <wp:posOffset>910847</wp:posOffset>
                </wp:positionV>
                <wp:extent cx="914400" cy="914400"/>
                <wp:effectExtent l="0" t="0" r="0" b="0"/>
                <wp:wrapNone/>
                <wp:docPr id="826678724" name="Text Box 8"/>
                <wp:cNvGraphicFramePr/>
                <a:graphic xmlns:a="http://schemas.openxmlformats.org/drawingml/2006/main">
                  <a:graphicData uri="http://schemas.microsoft.com/office/word/2010/wordprocessingShape">
                    <wps:wsp>
                      <wps:cNvSpPr txBox="1"/>
                      <wps:spPr>
                        <a:xfrm>
                          <a:off x="0" y="0"/>
                          <a:ext cx="914400" cy="914400"/>
                        </a:xfrm>
                        <a:prstGeom prst="rect">
                          <a:avLst/>
                        </a:prstGeom>
                        <a:noFill/>
                        <a:ln w="6350">
                          <a:noFill/>
                        </a:ln>
                      </wps:spPr>
                      <wps:txbx>
                        <w:txbxContent>
                          <w:p w14:paraId="41E1D1B1" w14:textId="1B6F17B6" w:rsidR="00250483" w:rsidRDefault="00250483" w:rsidP="00250483">
                            <w:r>
                              <w:t>(4.3)</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noAutofit/>
                      </wps:bodyPr>
                    </wps:wsp>
                  </a:graphicData>
                </a:graphic>
              </wp:anchor>
            </w:drawing>
          </mc:Choice>
          <mc:Fallback>
            <w:pict>
              <v:shape w14:anchorId="4BF10026" id="_x0000_s1034" type="#_x0000_t202" style="position:absolute;left:0;text-align:left;margin-left:407.5pt;margin-top:71.7pt;width:1in;height:1in;z-index:251683840;visibility:visible;mso-wrap-style:non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" filled="f" stroked="f" strokeweight=".5pt">
                <v:textbox>
                  <w:txbxContent>
                    <w:p w14:paraId="41E1D1B1" w14:textId="1B6F17B6" w:rsidR="00250483" w:rsidRDefault="00250483" w:rsidP="00250483">
                      <w:r>
                        <w:t>(4.3)</w:t>
                      </w:r>
                    </w:p>
                  </w:txbxContent>
                </v:textbox>
              </v:shape>
            </w:pict>
          </mc:Fallback>
        </mc:AlternateContent>
      </w:r>
      <w:r w:rsidR="0063422A">
        <w:t>Let:</w:t>
      </w:r>
    </w:p>
    <w:p w14:paraId="2EAFCAC1" w14:textId="1DBEE0BC" w:rsidR="0063422A" w:rsidRPr="0063422A" w:rsidRDefault="0063422A" w:rsidP="002D7B59">
      <w:pPr>
        <w:spacing w:after="0"/>
        <w:ind w:left="360"/>
        <w:jc w:val="both"/>
        <w:rPr>
          <w:rFonts w:eastAsiaTheme="minorEastAsia"/>
        </w:rPr>
      </w:pPr>
      <m:oMathPara>
        <m:oMathParaPr>
          <m:jc m:val="left"/>
        </m:oMathParaPr>
        <m:oMath>
          <m:r>
            <w:rPr>
              <w:rFonts w:ascii="Cambria Math" w:hAnsi="Cambria Math"/>
            </w:rPr>
            <m:t xml:space="preserve">i=1, …, </m:t>
          </m:r>
          <m:sSub>
            <m:sSubPr>
              <m:ctrlPr>
                <w:rPr>
                  <w:rFonts w:ascii="Cambria Math" w:hAnsi="Cambria Math"/>
                  <w:i/>
                </w:rPr>
              </m:ctrlPr>
            </m:sSubPr>
            <m:e>
              <m:r>
                <w:rPr>
                  <w:rFonts w:ascii="Cambria Math" w:hAnsi="Cambria Math"/>
                </w:rPr>
                <m:t>N</m:t>
              </m:r>
            </m:e>
            <m:sub>
              <m:r>
                <w:rPr>
                  <w:rFonts w:ascii="Cambria Math" w:hAnsi="Cambria Math"/>
                </w:rPr>
                <m:t>t</m:t>
              </m:r>
            </m:sub>
          </m:sSub>
          <m:r>
            <w:rPr>
              <w:rFonts w:ascii="Cambria Math" w:hAnsi="Cambria Math"/>
            </w:rPr>
            <m:t xml:space="preserve"> index firms at month t </m:t>
          </m:r>
          <m:d>
            <m:dPr>
              <m:ctrlPr>
                <w:rPr>
                  <w:rFonts w:ascii="Cambria Math" w:hAnsi="Cambria Math"/>
                  <w:i/>
                </w:rPr>
              </m:ctrlPr>
            </m:dPr>
            <m:e>
              <m:r>
                <w:rPr>
                  <w:rFonts w:ascii="Cambria Math" w:hAnsi="Cambria Math"/>
                </w:rPr>
                <m:t>N=75</m:t>
              </m:r>
            </m:e>
          </m:d>
        </m:oMath>
      </m:oMathPara>
    </w:p>
    <w:p w14:paraId="2DE0ED97" w14:textId="290794BF" w:rsidR="0063422A" w:rsidRPr="0063422A" w:rsidRDefault="0063422A" w:rsidP="002D7B59">
      <w:pPr>
        <w:spacing w:after="0"/>
        <w:ind w:left="360"/>
        <w:jc w:val="both"/>
        <w:rPr>
          <w:rFonts w:eastAsiaTheme="minorEastAsia"/>
        </w:rPr>
      </w:pPr>
      <m:oMathPara>
        <m:oMathParaPr>
          <m:jc m:val="left"/>
        </m:oMathParaPr>
        <m:oMath>
          <m:r>
            <w:rPr>
              <w:rFonts w:ascii="Cambria Math" w:hAnsi="Cambria Math"/>
            </w:rPr>
            <m:t xml:space="preserve"> t=1, …, T index months</m:t>
          </m:r>
        </m:oMath>
      </m:oMathPara>
    </w:p>
    <w:p w14:paraId="4CD55CB6" w14:textId="442EC1BB" w:rsidR="0063422A" w:rsidRPr="0063422A" w:rsidRDefault="0063422A" w:rsidP="002D7B59">
      <w:pPr>
        <w:spacing w:after="0"/>
        <w:ind w:left="360"/>
        <w:jc w:val="both"/>
        <w:rPr>
          <w:rFonts w:eastAsiaTheme="minorEastAsia"/>
        </w:rPr>
      </w:pPr>
      <m:oMathPara>
        <m:oMathParaPr>
          <m:jc m:val="left"/>
        </m:oMathParaPr>
        <m:oMath>
          <m:r>
            <w:rPr>
              <w:rFonts w:ascii="Cambria Math" w:hAnsi="Cambria Math"/>
            </w:rPr>
            <m:t xml:space="preserve"> </m:t>
          </m:r>
          <m:sSub>
            <m:sSubPr>
              <m:ctrlPr>
                <w:rPr>
                  <w:rFonts w:ascii="Cambria Math" w:hAnsi="Cambria Math"/>
                  <w:i/>
                </w:rPr>
              </m:ctrlPr>
            </m:sSubPr>
            <m:e>
              <m:r>
                <w:rPr>
                  <w:rFonts w:ascii="Cambria Math" w:hAnsi="Cambria Math"/>
                </w:rPr>
                <m:t>Z</m:t>
              </m:r>
            </m:e>
            <m:sub>
              <m:r>
                <w:rPr>
                  <w:rFonts w:ascii="Cambria Math" w:hAnsi="Cambria Math"/>
                </w:rPr>
                <m:t xml:space="preserve">i,t </m:t>
              </m:r>
            </m:sub>
          </m:sSub>
          <m:r>
            <w:rPr>
              <w:rFonts w:ascii="Cambria Math" w:hAnsi="Cambria Math"/>
            </w:rPr>
            <m:t xml:space="preserve">denote Volume Z-scores for stock i in month t </m:t>
          </m:r>
        </m:oMath>
      </m:oMathPara>
    </w:p>
    <w:p w14:paraId="5879B81A" w14:textId="7D64C411" w:rsidR="0063422A" w:rsidRPr="007909B6" w:rsidRDefault="00000000" w:rsidP="002D7B59">
      <w:pPr>
        <w:spacing w:after="0"/>
        <w:jc w:val="both"/>
        <w:rPr>
          <w:rFonts w:eastAsiaTheme="minorEastAsia"/>
        </w:rPr>
      </w:pPr>
      <m:oMathPara>
        <m:oMathParaPr>
          <m:jc m:val="center"/>
        </m:oMathParaPr>
        <m:oMath>
          <m:sSub>
            <m:sSubPr>
              <m:ctrlPr>
                <w:rPr>
                  <w:rFonts w:ascii="Cambria Math" w:eastAsiaTheme="minorEastAsia" w:hAnsi="Cambria Math"/>
                  <w:i/>
                </w:rPr>
              </m:ctrlPr>
            </m:sSubPr>
            <m:e>
              <m:r>
                <w:rPr>
                  <w:rFonts w:ascii="Cambria Math" w:eastAsiaTheme="minorEastAsia" w:hAnsi="Cambria Math"/>
                </w:rPr>
                <m:t>Volume_Index</m:t>
              </m:r>
            </m:e>
            <m:sub>
              <m:r>
                <w:rPr>
                  <w:rFonts w:ascii="Cambria Math" w:eastAsiaTheme="minorEastAsia" w:hAnsi="Cambria Math"/>
                </w:rPr>
                <m:t>t</m:t>
              </m:r>
            </m:sub>
          </m:sSub>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1</m:t>
              </m:r>
            </m:num>
            <m:den>
              <m:r>
                <w:rPr>
                  <w:rFonts w:ascii="Cambria Math" w:eastAsiaTheme="minorEastAsia" w:hAnsi="Cambria Math"/>
                </w:rPr>
                <m:t>N</m:t>
              </m:r>
            </m:den>
          </m:f>
          <m:nary>
            <m:naryPr>
              <m:chr m:val="∑"/>
              <m:limLoc m:val="undOvr"/>
              <m:ctrlPr>
                <w:rPr>
                  <w:rFonts w:ascii="Cambria Math" w:eastAsiaTheme="minorEastAsia" w:hAnsi="Cambria Math"/>
                  <w:i/>
                </w:rPr>
              </m:ctrlPr>
            </m:naryPr>
            <m:sub>
              <m:r>
                <w:rPr>
                  <w:rFonts w:ascii="Cambria Math" w:eastAsiaTheme="minorEastAsia" w:hAnsi="Cambria Math"/>
                </w:rPr>
                <m:t>i=1</m:t>
              </m:r>
            </m:sub>
            <m:sup>
              <m:sSub>
                <m:sSubPr>
                  <m:ctrlPr>
                    <w:rPr>
                      <w:rFonts w:ascii="Cambria Math" w:eastAsiaTheme="minorEastAsia" w:hAnsi="Cambria Math"/>
                      <w:i/>
                    </w:rPr>
                  </m:ctrlPr>
                </m:sSubPr>
                <m:e>
                  <m:r>
                    <w:rPr>
                      <w:rFonts w:ascii="Cambria Math" w:eastAsiaTheme="minorEastAsia" w:hAnsi="Cambria Math"/>
                    </w:rPr>
                    <m:t>N</m:t>
                  </m:r>
                </m:e>
                <m:sub>
                  <m:r>
                    <w:rPr>
                      <w:rFonts w:ascii="Cambria Math" w:eastAsiaTheme="minorEastAsia" w:hAnsi="Cambria Math"/>
                    </w:rPr>
                    <m:t>t</m:t>
                  </m:r>
                </m:sub>
              </m:sSub>
            </m:sup>
            <m:e>
              <m:sSub>
                <m:sSubPr>
                  <m:ctrlPr>
                    <w:rPr>
                      <w:rFonts w:ascii="Cambria Math" w:hAnsi="Cambria Math"/>
                      <w:i/>
                    </w:rPr>
                  </m:ctrlPr>
                </m:sSubPr>
                <m:e>
                  <m:r>
                    <w:rPr>
                      <w:rFonts w:ascii="Cambria Math" w:hAnsi="Cambria Math"/>
                    </w:rPr>
                    <m:t>Z</m:t>
                  </m:r>
                </m:e>
                <m:sub>
                  <m:r>
                    <w:rPr>
                      <w:rFonts w:ascii="Cambria Math" w:hAnsi="Cambria Math"/>
                    </w:rPr>
                    <m:t xml:space="preserve">i,t </m:t>
                  </m:r>
                </m:sub>
              </m:sSub>
            </m:e>
          </m:nary>
        </m:oMath>
      </m:oMathPara>
    </w:p>
    <w:p w14:paraId="39432358" w14:textId="1B461FF5" w:rsidR="0063422A" w:rsidRPr="007909B6" w:rsidRDefault="007909B6" w:rsidP="007909B6">
      <w:pPr>
        <w:jc w:val="both"/>
        <w:rPr>
          <w:rFonts w:eastAsiaTheme="minorEastAsia"/>
        </w:rPr>
      </w:pPr>
      <w:r>
        <w:rPr>
          <w:rFonts w:eastAsiaTheme="minorEastAsia"/>
        </w:rPr>
        <w:t xml:space="preserve">         The volume index is created for the FTSE-100 stocks as well.</w:t>
      </w:r>
    </w:p>
    <w:p w14:paraId="3ED1024C" w14:textId="7A813330" w:rsidR="00347FE4" w:rsidRPr="00250483" w:rsidRDefault="00347FE4" w:rsidP="00250483">
      <w:pPr>
        <w:pStyle w:val="Heading1"/>
        <w:numPr>
          <w:ilvl w:val="0"/>
          <w:numId w:val="5"/>
        </w:numPr>
        <w:rPr>
          <w:sz w:val="22"/>
          <w:szCs w:val="22"/>
        </w:rPr>
      </w:pPr>
      <w:bookmarkStart w:id="8" w:name="_Toc220361240"/>
      <w:r w:rsidRPr="00250483">
        <w:rPr>
          <w:sz w:val="22"/>
          <w:szCs w:val="22"/>
        </w:rPr>
        <w:t>Multicollinearity</w:t>
      </w:r>
      <w:bookmarkEnd w:id="8"/>
      <w:r w:rsidRPr="00250483">
        <w:rPr>
          <w:sz w:val="22"/>
          <w:szCs w:val="22"/>
        </w:rPr>
        <w:t xml:space="preserve"> </w:t>
      </w:r>
    </w:p>
    <w:p w14:paraId="212D7FF4" w14:textId="4E680C11" w:rsidR="007909B6" w:rsidRDefault="00250483" w:rsidP="002D7B59">
      <w:pPr>
        <w:ind w:left="360"/>
        <w:jc w:val="both"/>
      </w:pPr>
      <w:r>
        <w:rPr>
          <w:noProof/>
        </w:rPr>
        <mc:AlternateContent>
          <mc:Choice Requires="wps">
            <w:drawing>
              <wp:anchor distT="0" distB="0" distL="114300" distR="114300" simplePos="0" relativeHeight="251685888" behindDoc="0" locked="0" layoutInCell="1" allowOverlap="1" wp14:anchorId="0D5593C8" wp14:editId="1CF37306">
                <wp:simplePos x="0" y="0"/>
                <wp:positionH relativeFrom="column">
                  <wp:posOffset>5135691</wp:posOffset>
                </wp:positionH>
                <wp:positionV relativeFrom="paragraph">
                  <wp:posOffset>855345</wp:posOffset>
                </wp:positionV>
                <wp:extent cx="914400" cy="914400"/>
                <wp:effectExtent l="0" t="0" r="0" b="0"/>
                <wp:wrapNone/>
                <wp:docPr id="692305873" name="Text Box 8"/>
                <wp:cNvGraphicFramePr/>
                <a:graphic xmlns:a="http://schemas.openxmlformats.org/drawingml/2006/main">
                  <a:graphicData uri="http://schemas.microsoft.com/office/word/2010/wordprocessingShape">
                    <wps:wsp>
                      <wps:cNvSpPr txBox="1"/>
                      <wps:spPr>
                        <a:xfrm>
                          <a:off x="0" y="0"/>
                          <a:ext cx="914400" cy="914400"/>
                        </a:xfrm>
                        <a:prstGeom prst="rect">
                          <a:avLst/>
                        </a:prstGeom>
                        <a:noFill/>
                        <a:ln w="6350">
                          <a:noFill/>
                        </a:ln>
                      </wps:spPr>
                      <wps:txbx>
                        <w:txbxContent>
                          <w:p w14:paraId="634D8D4A" w14:textId="21BB9B66" w:rsidR="00250483" w:rsidRDefault="00250483" w:rsidP="00250483">
                            <w:r>
                              <w:t>(4.4)</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noAutofit/>
                      </wps:bodyPr>
                    </wps:wsp>
                  </a:graphicData>
                </a:graphic>
              </wp:anchor>
            </w:drawing>
          </mc:Choice>
          <mc:Fallback>
            <w:pict>
              <v:shape w14:anchorId="0D5593C8" id="_x0000_s1035" type="#_x0000_t202" style="position:absolute;left:0;text-align:left;margin-left:404.4pt;margin-top:67.35pt;width:1in;height:1in;z-index:251685888;visibility:visible;mso-wrap-style:non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" filled="f" stroked="f" strokeweight=".5pt">
                <v:textbox>
                  <w:txbxContent>
                    <w:p w14:paraId="634D8D4A" w14:textId="21BB9B66" w:rsidR="00250483" w:rsidRDefault="00250483" w:rsidP="00250483">
                      <w:r>
                        <w:t>(4.4)</w:t>
                      </w:r>
                    </w:p>
                  </w:txbxContent>
                </v:textbox>
              </v:shape>
            </w:pict>
          </mc:Fallback>
        </mc:AlternateContent>
      </w:r>
      <w:r w:rsidR="007909B6">
        <w:t>T</w:t>
      </w:r>
      <w:r w:rsidR="002D7B59">
        <w:t>esting for multicollinearity is essential for model fitting, as my time series regression uses OLS estimation (Ordinary Least Squares). I computed the Pearson Correlation coefficient for every pair of regressors</w:t>
      </w:r>
      <m:oMath>
        <m:sSub>
          <m:sSubPr>
            <m:ctrlPr>
              <w:rPr>
                <w:rFonts w:ascii="Cambria Math" w:hAnsi="Cambria Math"/>
                <w:i/>
              </w:rPr>
            </m:ctrlPr>
          </m:sSubPr>
          <m:e>
            <m:r>
              <w:rPr>
                <w:rFonts w:ascii="Cambria Math" w:hAnsi="Cambria Math"/>
              </w:rPr>
              <m:t>x</m:t>
            </m:r>
          </m:e>
          <m:sub>
            <m:r>
              <w:rPr>
                <w:rFonts w:ascii="Cambria Math" w:hAnsi="Cambria Math"/>
              </w:rPr>
              <m:t>j</m:t>
            </m:r>
          </m:sub>
        </m:sSub>
        <m:r>
          <w:rPr>
            <w:rFonts w:ascii="Cambria Math" w:hAnsi="Cambria Math"/>
          </w:rPr>
          <m:t xml:space="preserve">, </m:t>
        </m:r>
        <m:sSub>
          <m:sSubPr>
            <m:ctrlPr>
              <w:rPr>
                <w:rFonts w:ascii="Cambria Math" w:hAnsi="Cambria Math"/>
                <w:i/>
              </w:rPr>
            </m:ctrlPr>
          </m:sSubPr>
          <m:e>
            <m:r>
              <w:rPr>
                <w:rFonts w:ascii="Cambria Math" w:hAnsi="Cambria Math"/>
              </w:rPr>
              <m:t>x</m:t>
            </m:r>
          </m:e>
          <m:sub>
            <m:r>
              <w:rPr>
                <w:rFonts w:ascii="Cambria Math" w:hAnsi="Cambria Math"/>
              </w:rPr>
              <m:t>k</m:t>
            </m:r>
          </m:sub>
        </m:sSub>
      </m:oMath>
      <w:r w:rsidR="002D7B59">
        <w:t>:</w:t>
      </w:r>
    </w:p>
    <w:p w14:paraId="3882538F" w14:textId="1D9C0FB6" w:rsidR="002D7B59" w:rsidRPr="002D7B59" w:rsidRDefault="00000000" w:rsidP="002D7B59">
      <w:pPr>
        <w:ind w:left="360"/>
        <w:jc w:val="both"/>
        <w:rPr>
          <w:rFonts w:eastAsiaTheme="minorEastAsia"/>
        </w:rPr>
      </w:pPr>
      <m:oMathPara>
        <m:oMath>
          <m:sSub>
            <m:sSubPr>
              <m:ctrlPr>
                <w:rPr>
                  <w:rFonts w:ascii="Cambria Math" w:hAnsi="Cambria Math"/>
                  <w:i/>
                </w:rPr>
              </m:ctrlPr>
            </m:sSubPr>
            <m:e>
              <m:r>
                <w:rPr>
                  <w:rFonts w:ascii="Cambria Math" w:hAnsi="Cambria Math"/>
                </w:rPr>
                <m:t>ρ</m:t>
              </m:r>
            </m:e>
            <m:sub>
              <m:r>
                <w:rPr>
                  <w:rFonts w:ascii="Cambria Math" w:hAnsi="Cambria Math"/>
                </w:rPr>
                <m:t>jk</m:t>
              </m:r>
            </m:sub>
          </m:sSub>
          <m:r>
            <w:rPr>
              <w:rFonts w:ascii="Cambria Math" w:hAnsi="Cambria Math"/>
            </w:rPr>
            <m:t>=</m:t>
          </m:r>
          <m:f>
            <m:fPr>
              <m:ctrlPr>
                <w:rPr>
                  <w:rFonts w:ascii="Cambria Math" w:hAnsi="Cambria Math"/>
                  <w:i/>
                </w:rPr>
              </m:ctrlPr>
            </m:fPr>
            <m:num>
              <m:r>
                <w:rPr>
                  <w:rFonts w:ascii="Cambria Math" w:hAnsi="Cambria Math"/>
                </w:rPr>
                <m:t>Cov</m:t>
              </m:r>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j</m:t>
                      </m:r>
                    </m:sub>
                  </m:sSub>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k</m:t>
                      </m:r>
                    </m:sub>
                  </m:sSub>
                </m:e>
              </m:d>
            </m:num>
            <m:den>
              <m:rad>
                <m:radPr>
                  <m:degHide m:val="1"/>
                  <m:ctrlPr>
                    <w:rPr>
                      <w:rFonts w:ascii="Cambria Math" w:hAnsi="Cambria Math"/>
                      <w:i/>
                    </w:rPr>
                  </m:ctrlPr>
                </m:radPr>
                <m:deg/>
                <m:e>
                  <m:r>
                    <w:rPr>
                      <w:rFonts w:ascii="Cambria Math" w:hAnsi="Cambria Math"/>
                    </w:rPr>
                    <m:t>Var(</m:t>
                  </m:r>
                  <m:sSub>
                    <m:sSubPr>
                      <m:ctrlPr>
                        <w:rPr>
                          <w:rFonts w:ascii="Cambria Math" w:hAnsi="Cambria Math"/>
                          <w:i/>
                        </w:rPr>
                      </m:ctrlPr>
                    </m:sSubPr>
                    <m:e>
                      <m:r>
                        <w:rPr>
                          <w:rFonts w:ascii="Cambria Math" w:hAnsi="Cambria Math"/>
                        </w:rPr>
                        <m:t>x</m:t>
                      </m:r>
                    </m:e>
                    <m:sub>
                      <m:r>
                        <w:rPr>
                          <w:rFonts w:ascii="Cambria Math" w:hAnsi="Cambria Math"/>
                        </w:rPr>
                        <m:t>i</m:t>
                      </m:r>
                    </m:sub>
                  </m:sSub>
                  <m:r>
                    <w:rPr>
                      <w:rFonts w:ascii="Cambria Math" w:hAnsi="Cambria Math"/>
                    </w:rPr>
                    <m:t>)Var(</m:t>
                  </m:r>
                  <m:sSub>
                    <m:sSubPr>
                      <m:ctrlPr>
                        <w:rPr>
                          <w:rFonts w:ascii="Cambria Math" w:hAnsi="Cambria Math"/>
                          <w:i/>
                        </w:rPr>
                      </m:ctrlPr>
                    </m:sSubPr>
                    <m:e>
                      <m:r>
                        <w:rPr>
                          <w:rFonts w:ascii="Cambria Math" w:hAnsi="Cambria Math"/>
                        </w:rPr>
                        <m:t>x</m:t>
                      </m:r>
                    </m:e>
                    <m:sub>
                      <m:r>
                        <w:rPr>
                          <w:rFonts w:ascii="Cambria Math" w:hAnsi="Cambria Math"/>
                        </w:rPr>
                        <m:t>k)</m:t>
                      </m:r>
                    </m:sub>
                  </m:sSub>
                </m:e>
              </m:rad>
            </m:den>
          </m:f>
        </m:oMath>
      </m:oMathPara>
    </w:p>
    <w:p w14:paraId="0B4B79F4" w14:textId="32FA7BB1" w:rsidR="00DB2CDE" w:rsidRDefault="00DB2CDE" w:rsidP="00DB2CDE">
      <w:pPr>
        <w:jc w:val="both"/>
      </w:pPr>
      <w:r>
        <w:t xml:space="preserve">Correlation matrices (see </w:t>
      </w:r>
      <w:r w:rsidR="006478B8">
        <w:t>tables</w:t>
      </w:r>
      <w:r>
        <w:t xml:space="preserve"> 3 &amp;4) for both the USA and UK Google Trends datasets reveal strong correlation among keywords: Artificial Intelligence, AI bubble, AI Trade, and Generative AI, indicating substantial multicollinearity, reflecting overlap of informational content. Multicollinearity inflates the standard errors of the estimators,</w:t>
      </w:r>
      <w:r w:rsidR="006478B8">
        <w:t xml:space="preserve"> </w:t>
      </w:r>
      <w:r>
        <w:t xml:space="preserve">giving misleading p-values (Brookes, 2019). To address this, a composite AI index for non-financial data is constructed. </w:t>
      </w:r>
    </w:p>
    <w:p w14:paraId="5FB006AC" w14:textId="7E5B34CF" w:rsidR="002D7B59" w:rsidRPr="002D7B59" w:rsidRDefault="002D7B59" w:rsidP="002D7B59">
      <w:pPr>
        <w:jc w:val="both"/>
        <w:rPr>
          <w:rFonts w:eastAsiaTheme="minorEastAsia"/>
        </w:rPr>
      </w:pPr>
    </w:p>
    <w:p w14:paraId="5966BF4D" w14:textId="77777777" w:rsidR="003D20D8" w:rsidRDefault="003D20D8" w:rsidP="003D20D8">
      <w:pPr>
        <w:keepNext/>
      </w:pPr>
      <w:r w:rsidRPr="003D20D8">
        <w:rPr>
          <w:noProof/>
        </w:rPr>
        <w:lastRenderedPageBreak/>
        <w:drawing>
          <wp:inline distT="0" distB="0" distL="0" distR="0" wp14:anchorId="40D4E0B9" wp14:editId="5C678C51">
            <wp:extent cx="5731510" cy="1687830"/>
            <wp:effectExtent l="0" t="0" r="2540" b="7620"/>
            <wp:docPr id="1321966250" name="Picture 1" descr="A screenshot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1966250" name="Picture 1" descr="A screenshot of a graph&#10;&#10;AI-generated content may be incorrect."/>
                    <pic:cNvPicPr/>
                  </pic:nvPicPr>
                  <pic:blipFill>
                    <a:blip r:embed="rId12"/>
                    <a:stretch>
                      <a:fillRect/>
                    </a:stretch>
                  </pic:blipFill>
                  <pic:spPr>
                    <a:xfrm>
                      <a:off x="0" y="0"/>
                      <a:ext cx="5731510" cy="1687830"/>
                    </a:xfrm>
                    <a:prstGeom prst="rect">
                      <a:avLst/>
                    </a:prstGeom>
                  </pic:spPr>
                </pic:pic>
              </a:graphicData>
            </a:graphic>
          </wp:inline>
        </w:drawing>
      </w:r>
    </w:p>
    <w:p w14:paraId="633F0BE4" w14:textId="63C6845D" w:rsidR="00BD4BF1" w:rsidRDefault="003D20D8" w:rsidP="003D20D8">
      <w:pPr>
        <w:pStyle w:val="Caption"/>
        <w:jc w:val="center"/>
        <w:rPr>
          <w:color w:val="auto"/>
        </w:rPr>
      </w:pPr>
      <w:r w:rsidRPr="003D20D8">
        <w:rPr>
          <w:color w:val="auto"/>
        </w:rPr>
        <w:t xml:space="preserve">Table </w:t>
      </w:r>
      <w:r w:rsidR="00250483">
        <w:rPr>
          <w:color w:val="auto"/>
        </w:rPr>
        <w:fldChar w:fldCharType="begin"/>
      </w:r>
      <w:r w:rsidR="00250483">
        <w:rPr>
          <w:color w:val="auto"/>
        </w:rPr>
        <w:instrText xml:space="preserve"> SEQ Table \* ARABIC </w:instrText>
      </w:r>
      <w:r w:rsidR="00250483">
        <w:rPr>
          <w:color w:val="auto"/>
        </w:rPr>
        <w:fldChar w:fldCharType="separate"/>
      </w:r>
      <w:r w:rsidR="00250483">
        <w:rPr>
          <w:noProof/>
          <w:color w:val="auto"/>
        </w:rPr>
        <w:t>3</w:t>
      </w:r>
      <w:r w:rsidR="00250483">
        <w:rPr>
          <w:color w:val="auto"/>
        </w:rPr>
        <w:fldChar w:fldCharType="end"/>
      </w:r>
      <w:r w:rsidRPr="003D20D8">
        <w:rPr>
          <w:color w:val="auto"/>
        </w:rPr>
        <w:t xml:space="preserve">: Correlation Matrix of Google Trends Data on AI keywords from </w:t>
      </w:r>
      <w:r>
        <w:rPr>
          <w:color w:val="auto"/>
        </w:rPr>
        <w:t xml:space="preserve">the </w:t>
      </w:r>
      <w:r w:rsidRPr="003D20D8">
        <w:rPr>
          <w:color w:val="auto"/>
        </w:rPr>
        <w:t>USA</w:t>
      </w:r>
    </w:p>
    <w:p w14:paraId="637C35EB" w14:textId="77777777" w:rsidR="003D20D8" w:rsidRDefault="003D20D8" w:rsidP="003D20D8">
      <w:pPr>
        <w:keepNext/>
      </w:pPr>
      <w:r w:rsidRPr="003D20D8">
        <w:rPr>
          <w:noProof/>
        </w:rPr>
        <w:drawing>
          <wp:inline distT="0" distB="0" distL="0" distR="0" wp14:anchorId="61B44793" wp14:editId="531D3E18">
            <wp:extent cx="5731510" cy="1759585"/>
            <wp:effectExtent l="0" t="0" r="2540" b="0"/>
            <wp:docPr id="1107521508" name="Picture 1" descr="A screenshot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7521508" name="Picture 1" descr="A screenshot of a graph&#10;&#10;AI-generated content may be incorrect."/>
                    <pic:cNvPicPr/>
                  </pic:nvPicPr>
                  <pic:blipFill>
                    <a:blip r:embed="rId13"/>
                    <a:stretch>
                      <a:fillRect/>
                    </a:stretch>
                  </pic:blipFill>
                  <pic:spPr>
                    <a:xfrm>
                      <a:off x="0" y="0"/>
                      <a:ext cx="5731510" cy="1759585"/>
                    </a:xfrm>
                    <a:prstGeom prst="rect">
                      <a:avLst/>
                    </a:prstGeom>
                  </pic:spPr>
                </pic:pic>
              </a:graphicData>
            </a:graphic>
          </wp:inline>
        </w:drawing>
      </w:r>
    </w:p>
    <w:p w14:paraId="13DBC161" w14:textId="4F5B26E1" w:rsidR="003D20D8" w:rsidRPr="003D20D8" w:rsidRDefault="003D20D8" w:rsidP="003D20D8">
      <w:pPr>
        <w:pStyle w:val="Caption"/>
        <w:jc w:val="center"/>
        <w:rPr>
          <w:color w:val="auto"/>
        </w:rPr>
      </w:pPr>
      <w:r w:rsidRPr="003D20D8">
        <w:rPr>
          <w:color w:val="auto"/>
        </w:rPr>
        <w:t xml:space="preserve">Table </w:t>
      </w:r>
      <w:r w:rsidR="00250483">
        <w:rPr>
          <w:color w:val="auto"/>
        </w:rPr>
        <w:fldChar w:fldCharType="begin"/>
      </w:r>
      <w:r w:rsidR="00250483">
        <w:rPr>
          <w:color w:val="auto"/>
        </w:rPr>
        <w:instrText xml:space="preserve"> SEQ Table \* ARABIC </w:instrText>
      </w:r>
      <w:r w:rsidR="00250483">
        <w:rPr>
          <w:color w:val="auto"/>
        </w:rPr>
        <w:fldChar w:fldCharType="separate"/>
      </w:r>
      <w:r w:rsidR="00250483">
        <w:rPr>
          <w:noProof/>
          <w:color w:val="auto"/>
        </w:rPr>
        <w:t>4</w:t>
      </w:r>
      <w:r w:rsidR="00250483">
        <w:rPr>
          <w:color w:val="auto"/>
        </w:rPr>
        <w:fldChar w:fldCharType="end"/>
      </w:r>
      <w:r>
        <w:rPr>
          <w:color w:val="auto"/>
        </w:rPr>
        <w:t>: Correlation Matrix of Google Trends Data on AI keywords from the UK</w:t>
      </w:r>
    </w:p>
    <w:p w14:paraId="7E431B1E" w14:textId="2AECC6EF" w:rsidR="005C459E" w:rsidRPr="00250483" w:rsidRDefault="009F216C" w:rsidP="00250483">
      <w:pPr>
        <w:pStyle w:val="Heading1"/>
        <w:numPr>
          <w:ilvl w:val="0"/>
          <w:numId w:val="5"/>
        </w:numPr>
        <w:rPr>
          <w:sz w:val="22"/>
          <w:szCs w:val="22"/>
        </w:rPr>
      </w:pPr>
      <w:bookmarkStart w:id="9" w:name="_Toc220361241"/>
      <w:r w:rsidRPr="00250483">
        <w:rPr>
          <w:sz w:val="22"/>
          <w:szCs w:val="22"/>
        </w:rPr>
        <w:t>Principal Component Analysis Indexing</w:t>
      </w:r>
      <w:bookmarkEnd w:id="9"/>
    </w:p>
    <w:p w14:paraId="0EBA63F3" w14:textId="4C8EA8DD" w:rsidR="009F216C" w:rsidRDefault="009F216C" w:rsidP="009F216C">
      <w:r>
        <w:t xml:space="preserve">The above correlation in the non-financial data are supressed following Broker (2019), Principal Component Analysis. </w:t>
      </w:r>
    </w:p>
    <w:p w14:paraId="16F736C3" w14:textId="641B1F78" w:rsidR="009F216C" w:rsidRDefault="00250483" w:rsidP="009F216C">
      <w:pPr>
        <w:rPr>
          <w:rFonts w:eastAsiaTheme="minorEastAsia"/>
        </w:rPr>
      </w:pPr>
      <w:r>
        <w:rPr>
          <w:noProof/>
        </w:rPr>
        <mc:AlternateContent>
          <mc:Choice Requires="wps">
            <w:drawing>
              <wp:anchor distT="0" distB="0" distL="114300" distR="114300" simplePos="0" relativeHeight="251689984" behindDoc="0" locked="0" layoutInCell="1" allowOverlap="1" wp14:anchorId="77376783" wp14:editId="2C35BF44">
                <wp:simplePos x="0" y="0"/>
                <wp:positionH relativeFrom="column">
                  <wp:posOffset>4935166</wp:posOffset>
                </wp:positionH>
                <wp:positionV relativeFrom="paragraph">
                  <wp:posOffset>296775</wp:posOffset>
                </wp:positionV>
                <wp:extent cx="914400" cy="428017"/>
                <wp:effectExtent l="0" t="0" r="0" b="0"/>
                <wp:wrapNone/>
                <wp:docPr id="1993528440" name="Text Box 8"/>
                <wp:cNvGraphicFramePr/>
                <a:graphic xmlns:a="http://schemas.openxmlformats.org/drawingml/2006/main">
                  <a:graphicData uri="http://schemas.microsoft.com/office/word/2010/wordprocessingShape">
                    <wps:wsp>
                      <wps:cNvSpPr txBox="1"/>
                      <wps:spPr>
                        <a:xfrm>
                          <a:off x="0" y="0"/>
                          <a:ext cx="914400" cy="428017"/>
                        </a:xfrm>
                        <a:prstGeom prst="rect">
                          <a:avLst/>
                        </a:prstGeom>
                        <a:noFill/>
                        <a:ln w="6350">
                          <a:noFill/>
                        </a:ln>
                      </wps:spPr>
                      <wps:txbx>
                        <w:txbxContent>
                          <w:p w14:paraId="569C7DA0" w14:textId="77777777" w:rsidR="00250483" w:rsidRDefault="00250483" w:rsidP="00250483">
                            <w:r>
                              <w:t>(4.5)</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77376783" id="_x0000_s1036" type="#_x0000_t202" style="position:absolute;margin-left:388.6pt;margin-top:23.35pt;width:1in;height:33.7pt;z-index:251689984;visibility:visible;mso-wrap-style:non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" filled="f" stroked="f" strokeweight=".5pt">
                <v:textbox>
                  <w:txbxContent>
                    <w:p w14:paraId="569C7DA0" w14:textId="77777777" w:rsidR="00250483" w:rsidRDefault="00250483" w:rsidP="00250483">
                      <w:r>
                        <w:t>(4.5)</w:t>
                      </w:r>
                    </w:p>
                  </w:txbxContent>
                </v:textbox>
              </v:shape>
            </w:pict>
          </mc:Fallback>
        </mc:AlternateContent>
      </w:r>
      <w:r w:rsidR="009F216C">
        <w:t xml:space="preserve">Let </w:t>
      </w:r>
      <m:oMath>
        <m:r>
          <w:rPr>
            <w:rFonts w:ascii="Cambria Math" w:hAnsi="Cambria Math"/>
          </w:rPr>
          <m:t>A</m:t>
        </m:r>
      </m:oMath>
      <w:r w:rsidR="009F216C">
        <w:rPr>
          <w:rFonts w:eastAsiaTheme="minorEastAsia"/>
        </w:rPr>
        <w:t xml:space="preserve"> denote the standard AI keywords data. Firstly, a covariance matrix is computed </w:t>
      </w:r>
    </w:p>
    <w:p w14:paraId="0C150748" w14:textId="4AE109DF" w:rsidR="009F216C" w:rsidRPr="009F216C" w:rsidRDefault="00000000" w:rsidP="009F216C">
      <w:pPr>
        <w:rPr>
          <w:rFonts w:eastAsiaTheme="minorEastAsia"/>
        </w:rPr>
      </w:pPr>
      <m:oMathPara>
        <m:oMath>
          <m:nary>
            <m:naryPr>
              <m:chr m:val="∑"/>
              <m:limLoc m:val="undOvr"/>
              <m:subHide m:val="1"/>
              <m:supHide m:val="1"/>
              <m:ctrlPr>
                <w:rPr>
                  <w:rFonts w:ascii="Cambria Math" w:hAnsi="Cambria Math"/>
                  <w:i/>
                </w:rPr>
              </m:ctrlPr>
            </m:naryPr>
            <m:sub/>
            <m:sup/>
            <m:e>
              <m:f>
                <m:fPr>
                  <m:ctrlPr>
                    <w:rPr>
                      <w:rFonts w:ascii="Cambria Math" w:hAnsi="Cambria Math"/>
                      <w:i/>
                    </w:rPr>
                  </m:ctrlPr>
                </m:fPr>
                <m:num>
                  <m:r>
                    <w:rPr>
                      <w:rFonts w:ascii="Cambria Math" w:hAnsi="Cambria Math"/>
                    </w:rPr>
                    <m:t>1</m:t>
                  </m:r>
                </m:num>
                <m:den>
                  <m:r>
                    <w:rPr>
                      <w:rFonts w:ascii="Cambria Math" w:hAnsi="Cambria Math"/>
                    </w:rPr>
                    <m:t>n-1</m:t>
                  </m:r>
                </m:den>
              </m:f>
              <m:sSup>
                <m:sSupPr>
                  <m:ctrlPr>
                    <w:rPr>
                      <w:rFonts w:ascii="Cambria Math" w:hAnsi="Cambria Math"/>
                      <w:i/>
                    </w:rPr>
                  </m:ctrlPr>
                </m:sSupPr>
                <m:e>
                  <m:r>
                    <w:rPr>
                      <w:rFonts w:ascii="Cambria Math" w:hAnsi="Cambria Math"/>
                    </w:rPr>
                    <m:t>A</m:t>
                  </m:r>
                </m:e>
                <m:sup>
                  <m:r>
                    <w:rPr>
                      <w:rFonts w:ascii="Cambria Math" w:hAnsi="Cambria Math"/>
                    </w:rPr>
                    <m:t>T</m:t>
                  </m:r>
                </m:sup>
              </m:sSup>
              <m:r>
                <w:rPr>
                  <w:rFonts w:ascii="Cambria Math" w:hAnsi="Cambria Math"/>
                </w:rPr>
                <m:t>A,</m:t>
              </m:r>
            </m:e>
          </m:nary>
          <m:r>
            <w:rPr>
              <w:rFonts w:ascii="Cambria Math" w:hAnsi="Cambria Math"/>
            </w:rPr>
            <m:t xml:space="preserve"> (n=months)</m:t>
          </m:r>
        </m:oMath>
      </m:oMathPara>
    </w:p>
    <w:p w14:paraId="71468B27" w14:textId="7F931FC6" w:rsidR="009F216C" w:rsidRDefault="00250483" w:rsidP="000468E5">
      <w:pPr>
        <w:rPr>
          <w:rFonts w:eastAsiaTheme="minorEastAsia"/>
        </w:rPr>
      </w:pPr>
      <w:r>
        <w:rPr>
          <w:noProof/>
        </w:rPr>
        <mc:AlternateContent>
          <mc:Choice Requires="wps">
            <w:drawing>
              <wp:anchor distT="0" distB="0" distL="114300" distR="114300" simplePos="0" relativeHeight="251692032" behindDoc="0" locked="0" layoutInCell="1" allowOverlap="1" wp14:anchorId="0B079785" wp14:editId="10C92717">
                <wp:simplePos x="0" y="0"/>
                <wp:positionH relativeFrom="column">
                  <wp:posOffset>4941151</wp:posOffset>
                </wp:positionH>
                <wp:positionV relativeFrom="paragraph">
                  <wp:posOffset>291046</wp:posOffset>
                </wp:positionV>
                <wp:extent cx="914400" cy="428017"/>
                <wp:effectExtent l="0" t="0" r="0" b="0"/>
                <wp:wrapNone/>
                <wp:docPr id="1380508414" name="Text Box 8"/>
                <wp:cNvGraphicFramePr/>
                <a:graphic xmlns:a="http://schemas.openxmlformats.org/drawingml/2006/main">
                  <a:graphicData uri="http://schemas.microsoft.com/office/word/2010/wordprocessingShape">
                    <wps:wsp>
                      <wps:cNvSpPr txBox="1"/>
                      <wps:spPr>
                        <a:xfrm>
                          <a:off x="0" y="0"/>
                          <a:ext cx="914400" cy="428017"/>
                        </a:xfrm>
                        <a:prstGeom prst="rect">
                          <a:avLst/>
                        </a:prstGeom>
                        <a:noFill/>
                        <a:ln w="6350">
                          <a:noFill/>
                        </a:ln>
                      </wps:spPr>
                      <wps:txbx>
                        <w:txbxContent>
                          <w:p w14:paraId="3F0D9B38" w14:textId="36223850" w:rsidR="00250483" w:rsidRDefault="00250483" w:rsidP="00250483">
                            <w:r>
                              <w:t>(4.6)</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0B079785" id="_x0000_s1037" type="#_x0000_t202" style="position:absolute;margin-left:389.05pt;margin-top:22.9pt;width:1in;height:33.7pt;z-index:251692032;visibility:visible;mso-wrap-style:non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" filled="f" stroked="f" strokeweight=".5pt">
                <v:textbox>
                  <w:txbxContent>
                    <w:p w14:paraId="3F0D9B38" w14:textId="36223850" w:rsidR="00250483" w:rsidRDefault="00250483" w:rsidP="00250483">
                      <w:r>
                        <w:t>(4.6)</w:t>
                      </w:r>
                    </w:p>
                  </w:txbxContent>
                </v:textbox>
              </v:shape>
            </w:pict>
          </mc:Fallback>
        </mc:AlternateContent>
      </w:r>
      <w:r>
        <w:rPr>
          <w:noProof/>
        </w:rPr>
        <mc:AlternateContent>
          <mc:Choice Requires="wps">
            <w:drawing>
              <wp:anchor distT="0" distB="0" distL="114300" distR="114300" simplePos="0" relativeHeight="251687936" behindDoc="0" locked="0" layoutInCell="1" allowOverlap="1" wp14:anchorId="764EA177" wp14:editId="48F5F605">
                <wp:simplePos x="0" y="0"/>
                <wp:positionH relativeFrom="column">
                  <wp:posOffset>4980021</wp:posOffset>
                </wp:positionH>
                <wp:positionV relativeFrom="paragraph">
                  <wp:posOffset>1094889</wp:posOffset>
                </wp:positionV>
                <wp:extent cx="914400" cy="914400"/>
                <wp:effectExtent l="0" t="0" r="0" b="0"/>
                <wp:wrapNone/>
                <wp:docPr id="1158852499" name="Text Box 8"/>
                <wp:cNvGraphicFramePr/>
                <a:graphic xmlns:a="http://schemas.openxmlformats.org/drawingml/2006/main">
                  <a:graphicData uri="http://schemas.microsoft.com/office/word/2010/wordprocessingShape">
                    <wps:wsp>
                      <wps:cNvSpPr txBox="1"/>
                      <wps:spPr>
                        <a:xfrm>
                          <a:off x="0" y="0"/>
                          <a:ext cx="914400" cy="914400"/>
                        </a:xfrm>
                        <a:prstGeom prst="rect">
                          <a:avLst/>
                        </a:prstGeom>
                        <a:noFill/>
                        <a:ln w="6350">
                          <a:noFill/>
                        </a:ln>
                      </wps:spPr>
                      <wps:txbx>
                        <w:txbxContent>
                          <w:p w14:paraId="2C7CA349" w14:textId="2D325C7B" w:rsidR="00250483" w:rsidRDefault="00250483" w:rsidP="00250483">
                            <w:r>
                              <w:t>(4.7)</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noAutofit/>
                      </wps:bodyPr>
                    </wps:wsp>
                  </a:graphicData>
                </a:graphic>
              </wp:anchor>
            </w:drawing>
          </mc:Choice>
          <mc:Fallback>
            <w:pict>
              <v:shape w14:anchorId="764EA177" id="_x0000_s1038" type="#_x0000_t202" style="position:absolute;margin-left:392.15pt;margin-top:86.2pt;width:1in;height:1in;z-index:251687936;visibility:visible;mso-wrap-style:non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" filled="f" stroked="f" strokeweight=".5pt">
                <v:textbox>
                  <w:txbxContent>
                    <w:p w14:paraId="2C7CA349" w14:textId="2D325C7B" w:rsidR="00250483" w:rsidRDefault="00250483" w:rsidP="00250483">
                      <w:r>
                        <w:t>(4.7)</w:t>
                      </w:r>
                    </w:p>
                  </w:txbxContent>
                </v:textbox>
              </v:shape>
            </w:pict>
          </mc:Fallback>
        </mc:AlternateContent>
      </w:r>
      <w:r w:rsidR="009F216C">
        <w:rPr>
          <w:rFonts w:eastAsiaTheme="minorEastAsia"/>
        </w:rPr>
        <w:t xml:space="preserve">Then the principal component is obtained by the eigenvalue problem </w:t>
      </w:r>
    </w:p>
    <w:p w14:paraId="5EBBEBD6" w14:textId="77777777" w:rsidR="009F216C" w:rsidRPr="009F216C" w:rsidRDefault="00000000" w:rsidP="000468E5">
      <w:pPr>
        <w:rPr>
          <w:rFonts w:eastAsiaTheme="minorEastAsia"/>
        </w:rPr>
      </w:pPr>
      <m:oMathPara>
        <m:oMath>
          <m:nary>
            <m:naryPr>
              <m:chr m:val="∑"/>
              <m:limLoc m:val="undOvr"/>
              <m:subHide m:val="1"/>
              <m:supHide m:val="1"/>
              <m:ctrlPr>
                <w:rPr>
                  <w:rFonts w:ascii="Cambria Math" w:hAnsi="Cambria Math"/>
                  <w:i/>
                </w:rPr>
              </m:ctrlPr>
            </m:naryPr>
            <m:sub/>
            <m:sup/>
            <m:e>
              <m:sSub>
                <m:sSubPr>
                  <m:ctrlPr>
                    <w:rPr>
                      <w:rFonts w:ascii="Cambria Math" w:hAnsi="Cambria Math"/>
                      <w:i/>
                    </w:rPr>
                  </m:ctrlPr>
                </m:sSubPr>
                <m:e>
                  <m:r>
                    <w:rPr>
                      <w:rFonts w:ascii="Cambria Math" w:hAnsi="Cambria Math"/>
                    </w:rPr>
                    <m:t>v</m:t>
                  </m:r>
                </m:e>
                <m:sub>
                  <m:r>
                    <w:rPr>
                      <w:rFonts w:ascii="Cambria Math" w:hAnsi="Cambria Math"/>
                    </w:rPr>
                    <m:t>k</m:t>
                  </m:r>
                </m:sub>
              </m:sSub>
              <m:r>
                <w:rPr>
                  <w:rFonts w:ascii="Cambria Math" w:hAnsi="Cambria Math"/>
                </w:rPr>
                <m:t>=</m:t>
              </m:r>
              <m:sSub>
                <m:sSubPr>
                  <m:ctrlPr>
                    <w:rPr>
                      <w:rFonts w:ascii="Cambria Math" w:hAnsi="Cambria Math"/>
                      <w:i/>
                    </w:rPr>
                  </m:ctrlPr>
                </m:sSubPr>
                <m:e>
                  <m:r>
                    <w:rPr>
                      <w:rFonts w:ascii="Cambria Math" w:hAnsi="Cambria Math"/>
                    </w:rPr>
                    <m:t>λ</m:t>
                  </m:r>
                </m:e>
                <m:sub>
                  <m:r>
                    <w:rPr>
                      <w:rFonts w:ascii="Cambria Math" w:hAnsi="Cambria Math"/>
                    </w:rPr>
                    <m:t>k</m:t>
                  </m:r>
                </m:sub>
              </m:sSub>
              <m:sSub>
                <m:sSubPr>
                  <m:ctrlPr>
                    <w:rPr>
                      <w:rFonts w:ascii="Cambria Math" w:hAnsi="Cambria Math"/>
                      <w:i/>
                    </w:rPr>
                  </m:ctrlPr>
                </m:sSubPr>
                <m:e>
                  <m:r>
                    <w:rPr>
                      <w:rFonts w:ascii="Cambria Math" w:hAnsi="Cambria Math"/>
                    </w:rPr>
                    <m:t>v</m:t>
                  </m:r>
                </m:e>
                <m:sub>
                  <m:r>
                    <w:rPr>
                      <w:rFonts w:ascii="Cambria Math" w:hAnsi="Cambria Math"/>
                    </w:rPr>
                    <m:t>k</m:t>
                  </m:r>
                </m:sub>
              </m:sSub>
              <m:r>
                <w:rPr>
                  <w:rFonts w:ascii="Cambria Math" w:hAnsi="Cambria Math"/>
                </w:rPr>
                <m:t>,</m:t>
              </m:r>
            </m:e>
          </m:nary>
        </m:oMath>
      </m:oMathPara>
    </w:p>
    <w:p w14:paraId="747BD8FC" w14:textId="71BC636E" w:rsidR="007053EA" w:rsidRDefault="00000000" w:rsidP="000468E5">
      <w:pPr>
        <w:rPr>
          <w:rFonts w:eastAsiaTheme="minorEastAsia"/>
        </w:rPr>
      </w:pPr>
      <m:oMath>
        <m:sSub>
          <m:sSubPr>
            <m:ctrlPr>
              <w:rPr>
                <w:rFonts w:ascii="Cambria Math" w:hAnsi="Cambria Math"/>
                <w:i/>
              </w:rPr>
            </m:ctrlPr>
          </m:sSubPr>
          <m:e>
            <m:r>
              <w:rPr>
                <w:rFonts w:ascii="Cambria Math" w:hAnsi="Cambria Math"/>
              </w:rPr>
              <m:t>λ</m:t>
            </m:r>
          </m:e>
          <m:sub>
            <m:r>
              <w:rPr>
                <w:rFonts w:ascii="Cambria Math" w:hAnsi="Cambria Math"/>
              </w:rPr>
              <m:t>k</m:t>
            </m:r>
          </m:sub>
        </m:sSub>
      </m:oMath>
      <w:r w:rsidR="009F216C">
        <w:rPr>
          <w:rFonts w:eastAsiaTheme="minorEastAsia"/>
        </w:rPr>
        <w:t xml:space="preserve">measure variance. The </w:t>
      </w:r>
      <w:r w:rsidR="00DB2CDE">
        <w:rPr>
          <w:rFonts w:eastAsiaTheme="minorEastAsia"/>
        </w:rPr>
        <w:t xml:space="preserve">AI </w:t>
      </w:r>
      <w:r w:rsidR="009F216C">
        <w:rPr>
          <w:rFonts w:eastAsiaTheme="minorEastAsia"/>
        </w:rPr>
        <w:t>index i</w:t>
      </w:r>
      <w:r w:rsidR="00DB2CDE">
        <w:rPr>
          <w:rFonts w:eastAsiaTheme="minorEastAsia"/>
        </w:rPr>
        <w:t>s defined as the first principal component,</w:t>
      </w:r>
      <w:r w:rsidR="009F216C">
        <w:rPr>
          <w:rFonts w:eastAsiaTheme="minorEastAsia"/>
        </w:rPr>
        <w:t xml:space="preserve"> </w:t>
      </w:r>
    </w:p>
    <w:p w14:paraId="48FFBC72" w14:textId="77221F8D" w:rsidR="009F216C" w:rsidRPr="009F216C" w:rsidRDefault="00000000" w:rsidP="000468E5">
      <w:pPr>
        <w:rPr>
          <w:rFonts w:eastAsiaTheme="minorEastAsia"/>
        </w:rPr>
      </w:pPr>
      <m:oMathPara>
        <m:oMath>
          <m:sSub>
            <m:sSubPr>
              <m:ctrlPr>
                <w:rPr>
                  <w:rFonts w:ascii="Cambria Math" w:eastAsiaTheme="minorEastAsia" w:hAnsi="Cambria Math"/>
                  <w:i/>
                </w:rPr>
              </m:ctrlPr>
            </m:sSubPr>
            <m:e>
              <m:r>
                <w:rPr>
                  <w:rFonts w:ascii="Cambria Math" w:eastAsiaTheme="minorEastAsia" w:hAnsi="Cambria Math"/>
                </w:rPr>
                <m:t>AI</m:t>
              </m:r>
            </m:e>
            <m:sub>
              <m:r>
                <w:rPr>
                  <w:rFonts w:ascii="Cambria Math" w:eastAsiaTheme="minorEastAsia" w:hAnsi="Cambria Math"/>
                </w:rPr>
                <m:t>t</m:t>
              </m:r>
            </m:sub>
          </m:sSub>
          <m:r>
            <w:rPr>
              <w:rFonts w:ascii="Cambria Math" w:eastAsiaTheme="minorEastAsia" w:hAnsi="Cambria Math"/>
            </w:rPr>
            <m:t>=</m:t>
          </m:r>
          <m:nary>
            <m:naryPr>
              <m:chr m:val="∑"/>
              <m:limLoc m:val="undOvr"/>
              <m:ctrlPr>
                <w:rPr>
                  <w:rFonts w:ascii="Cambria Math" w:eastAsiaTheme="minorEastAsia" w:hAnsi="Cambria Math"/>
                  <w:i/>
                </w:rPr>
              </m:ctrlPr>
            </m:naryPr>
            <m:sub>
              <m:r>
                <w:rPr>
                  <w:rFonts w:ascii="Cambria Math" w:eastAsiaTheme="minorEastAsia" w:hAnsi="Cambria Math"/>
                </w:rPr>
                <m:t>j=1</m:t>
              </m:r>
            </m:sub>
            <m:sup>
              <m:r>
                <w:rPr>
                  <w:rFonts w:ascii="Cambria Math" w:eastAsiaTheme="minorEastAsia" w:hAnsi="Cambria Math"/>
                </w:rPr>
                <m:t>p</m:t>
              </m:r>
            </m:sup>
            <m:e>
              <m:sSub>
                <m:sSubPr>
                  <m:ctrlPr>
                    <w:rPr>
                      <w:rFonts w:ascii="Cambria Math" w:eastAsiaTheme="minorEastAsia" w:hAnsi="Cambria Math"/>
                      <w:i/>
                    </w:rPr>
                  </m:ctrlPr>
                </m:sSubPr>
                <m:e>
                  <m:r>
                    <w:rPr>
                      <w:rFonts w:ascii="Cambria Math" w:eastAsiaTheme="minorEastAsia" w:hAnsi="Cambria Math"/>
                    </w:rPr>
                    <m:t>A</m:t>
                  </m:r>
                </m:e>
                <m:sub>
                  <m:r>
                    <w:rPr>
                      <w:rFonts w:ascii="Cambria Math" w:eastAsiaTheme="minorEastAsia" w:hAnsi="Cambria Math"/>
                    </w:rPr>
                    <m:t>tj</m:t>
                  </m:r>
                </m:sub>
              </m:sSub>
              <m:sSub>
                <m:sSubPr>
                  <m:ctrlPr>
                    <w:rPr>
                      <w:rFonts w:ascii="Cambria Math" w:hAnsi="Cambria Math"/>
                      <w:i/>
                    </w:rPr>
                  </m:ctrlPr>
                </m:sSubPr>
                <m:e>
                  <m:r>
                    <w:rPr>
                      <w:rFonts w:ascii="Cambria Math" w:hAnsi="Cambria Math"/>
                    </w:rPr>
                    <m:t>v</m:t>
                  </m:r>
                </m:e>
                <m:sub>
                  <m:r>
                    <w:rPr>
                      <w:rFonts w:ascii="Cambria Math" w:hAnsi="Cambria Math"/>
                    </w:rPr>
                    <m:t>1j</m:t>
                  </m:r>
                </m:sub>
              </m:sSub>
            </m:e>
          </m:nary>
        </m:oMath>
      </m:oMathPara>
    </w:p>
    <w:p w14:paraId="5EB106FD" w14:textId="77777777" w:rsidR="009766A4" w:rsidRDefault="00DB2CDE" w:rsidP="000468E5">
      <w:r>
        <w:t>This basically captures the underlying common variance among the AI keywords and puts it in one single index that explains as much variation as possible across all original</w:t>
      </w:r>
      <w:r w:rsidR="00584FD9">
        <w:t xml:space="preserve"> AI-related</w:t>
      </w:r>
      <w:r>
        <w:t xml:space="preserve"> variables</w:t>
      </w:r>
      <w:r w:rsidR="00584FD9">
        <w:t xml:space="preserve">. </w:t>
      </w:r>
    </w:p>
    <w:p w14:paraId="02D4E0D9" w14:textId="1DEE3E6D" w:rsidR="007053EA" w:rsidRDefault="009766A4" w:rsidP="009766A4">
      <w:pPr>
        <w:jc w:val="both"/>
      </w:pPr>
      <w:r w:rsidRPr="009766A4">
        <w:t>To ensure that the PCA captures the underlying structure of AI</w:t>
      </w:r>
      <w:r w:rsidRPr="009766A4">
        <w:rPr>
          <w:rFonts w:ascii="Cambria Math" w:hAnsi="Cambria Math" w:cs="Cambria Math"/>
        </w:rPr>
        <w:t>‑</w:t>
      </w:r>
      <w:r w:rsidRPr="009766A4">
        <w:t>specific dynamics rather than broader technology</w:t>
      </w:r>
      <w:r w:rsidRPr="009766A4">
        <w:rPr>
          <w:rFonts w:ascii="Cambria Math" w:hAnsi="Cambria Math" w:cs="Cambria Math"/>
        </w:rPr>
        <w:t>‑</w:t>
      </w:r>
      <w:r w:rsidRPr="009766A4">
        <w:t xml:space="preserve">sector movements, the </w:t>
      </w:r>
      <w:r w:rsidRPr="009766A4">
        <w:rPr>
          <w:rFonts w:ascii="Aptos" w:hAnsi="Aptos" w:cs="Aptos"/>
        </w:rPr>
        <w:t>‘</w:t>
      </w:r>
      <w:r w:rsidRPr="009766A4">
        <w:t>Tech companies</w:t>
      </w:r>
      <w:r w:rsidRPr="009766A4">
        <w:rPr>
          <w:rFonts w:ascii="Aptos" w:hAnsi="Aptos" w:cs="Aptos"/>
        </w:rPr>
        <w:t>’</w:t>
      </w:r>
      <w:r w:rsidRPr="009766A4">
        <w:t xml:space="preserve"> variable is excluded from the PCA computation.</w:t>
      </w:r>
    </w:p>
    <w:p w14:paraId="3299490A" w14:textId="36A91C88" w:rsidR="007053EA" w:rsidRPr="00DB2CDE" w:rsidRDefault="00DB2CDE" w:rsidP="00F96F0F">
      <w:pPr>
        <w:pStyle w:val="Heading1"/>
        <w:numPr>
          <w:ilvl w:val="0"/>
          <w:numId w:val="6"/>
        </w:numPr>
        <w:rPr>
          <w:sz w:val="24"/>
          <w:szCs w:val="24"/>
        </w:rPr>
      </w:pPr>
      <w:bookmarkStart w:id="10" w:name="_Toc220361242"/>
      <w:r w:rsidRPr="00DB2CDE">
        <w:rPr>
          <w:sz w:val="24"/>
          <w:szCs w:val="24"/>
        </w:rPr>
        <w:lastRenderedPageBreak/>
        <w:t>Analysis</w:t>
      </w:r>
      <w:bookmarkEnd w:id="10"/>
    </w:p>
    <w:p w14:paraId="20A87B1A" w14:textId="0D2535D9" w:rsidR="0063422A" w:rsidRDefault="00DB2CDE" w:rsidP="009766A4">
      <w:pPr>
        <w:jc w:val="both"/>
      </w:pPr>
      <w:r>
        <w:t xml:space="preserve">The methodology </w:t>
      </w:r>
      <w:r w:rsidR="009766A4">
        <w:t xml:space="preserve">structures the data cleaning and manipulation process to engage in model formation between volume Z-Scores of both indices against their respective AI Indices. Firstly, plotting the aggregated monthly volume helps understand the difference between the companies listed on the Nasdaq-100 and the FTSE-100. </w:t>
      </w:r>
    </w:p>
    <w:p w14:paraId="4A87B8A3" w14:textId="44C869D5" w:rsidR="00962AD9" w:rsidRPr="00250483" w:rsidRDefault="00962AD9" w:rsidP="00250483">
      <w:pPr>
        <w:pStyle w:val="Heading1"/>
        <w:numPr>
          <w:ilvl w:val="0"/>
          <w:numId w:val="7"/>
        </w:numPr>
        <w:rPr>
          <w:sz w:val="22"/>
          <w:szCs w:val="22"/>
        </w:rPr>
      </w:pPr>
      <w:bookmarkStart w:id="11" w:name="_Toc220361243"/>
      <w:r w:rsidRPr="00250483">
        <w:rPr>
          <w:sz w:val="22"/>
          <w:szCs w:val="22"/>
        </w:rPr>
        <w:t>Plotting</w:t>
      </w:r>
      <w:bookmarkEnd w:id="11"/>
    </w:p>
    <w:p w14:paraId="4333CF2C" w14:textId="3EA03B41" w:rsidR="008664DB" w:rsidRDefault="008664DB" w:rsidP="000468E5">
      <w:r w:rsidRPr="008664DB">
        <w:rPr>
          <w:noProof/>
        </w:rPr>
        <w:drawing>
          <wp:inline distT="0" distB="0" distL="0" distR="0" wp14:anchorId="240E046E" wp14:editId="53CA0F4B">
            <wp:extent cx="5731510" cy="1840865"/>
            <wp:effectExtent l="0" t="0" r="2540" b="6985"/>
            <wp:docPr id="803580592" name="Picture 1" descr="A graph of a number of yea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3580592" name="Picture 1" descr="A graph of a number of years&#10;&#10;AI-generated content may be incorrect."/>
                    <pic:cNvPicPr/>
                  </pic:nvPicPr>
                  <pic:blipFill>
                    <a:blip r:embed="rId14"/>
                    <a:stretch>
                      <a:fillRect/>
                    </a:stretch>
                  </pic:blipFill>
                  <pic:spPr>
                    <a:xfrm>
                      <a:off x="0" y="0"/>
                      <a:ext cx="5731510" cy="1840865"/>
                    </a:xfrm>
                    <a:prstGeom prst="rect">
                      <a:avLst/>
                    </a:prstGeom>
                  </pic:spPr>
                </pic:pic>
              </a:graphicData>
            </a:graphic>
          </wp:inline>
        </w:drawing>
      </w:r>
    </w:p>
    <w:p w14:paraId="782B2686" w14:textId="77777777" w:rsidR="009766A4" w:rsidRDefault="009766A4" w:rsidP="009766A4">
      <w:pPr>
        <w:keepNext/>
      </w:pPr>
      <w:r w:rsidRPr="00C10C4E">
        <w:rPr>
          <w:noProof/>
        </w:rPr>
        <w:drawing>
          <wp:inline distT="0" distB="0" distL="0" distR="0" wp14:anchorId="6BA6B498" wp14:editId="083250B1">
            <wp:extent cx="5731510" cy="1825625"/>
            <wp:effectExtent l="0" t="0" r="2540" b="3175"/>
            <wp:docPr id="1557357698" name="Picture 1" descr="A graph of a number of yea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7357698" name="Picture 1" descr="A graph of a number of years&#10;&#10;AI-generated content may be incorrect."/>
                    <pic:cNvPicPr/>
                  </pic:nvPicPr>
                  <pic:blipFill>
                    <a:blip r:embed="rId15"/>
                    <a:stretch>
                      <a:fillRect/>
                    </a:stretch>
                  </pic:blipFill>
                  <pic:spPr>
                    <a:xfrm>
                      <a:off x="0" y="0"/>
                      <a:ext cx="5731510" cy="1825625"/>
                    </a:xfrm>
                    <a:prstGeom prst="rect">
                      <a:avLst/>
                    </a:prstGeom>
                  </pic:spPr>
                </pic:pic>
              </a:graphicData>
            </a:graphic>
          </wp:inline>
        </w:drawing>
      </w:r>
    </w:p>
    <w:p w14:paraId="2A71EB5A" w14:textId="5AD8FBFD" w:rsidR="009766A4" w:rsidRDefault="009766A4" w:rsidP="009766A4">
      <w:pPr>
        <w:pStyle w:val="Caption"/>
        <w:jc w:val="center"/>
        <w:rPr>
          <w:color w:val="000000" w:themeColor="text1"/>
        </w:rPr>
      </w:pPr>
      <w:r w:rsidRPr="009766A4">
        <w:rPr>
          <w:color w:val="000000" w:themeColor="text1"/>
        </w:rPr>
        <w:t xml:space="preserve">Figure </w:t>
      </w:r>
      <w:r w:rsidRPr="009766A4">
        <w:rPr>
          <w:color w:val="000000" w:themeColor="text1"/>
        </w:rPr>
        <w:fldChar w:fldCharType="begin"/>
      </w:r>
      <w:r w:rsidRPr="009766A4">
        <w:rPr>
          <w:color w:val="000000" w:themeColor="text1"/>
        </w:rPr>
        <w:instrText xml:space="preserve"> SEQ Figure \* ARABIC </w:instrText>
      </w:r>
      <w:r w:rsidRPr="009766A4">
        <w:rPr>
          <w:color w:val="000000" w:themeColor="text1"/>
        </w:rPr>
        <w:fldChar w:fldCharType="separate"/>
      </w:r>
      <w:r w:rsidR="00962AD9">
        <w:rPr>
          <w:noProof/>
          <w:color w:val="000000" w:themeColor="text1"/>
        </w:rPr>
        <w:t>3</w:t>
      </w:r>
      <w:r w:rsidRPr="009766A4">
        <w:rPr>
          <w:color w:val="000000" w:themeColor="text1"/>
        </w:rPr>
        <w:fldChar w:fldCharType="end"/>
      </w:r>
      <w:r w:rsidRPr="009766A4">
        <w:rPr>
          <w:color w:val="000000" w:themeColor="text1"/>
        </w:rPr>
        <w:t>: Monthly Volume of Respective Indices</w:t>
      </w:r>
    </w:p>
    <w:p w14:paraId="443621A6" w14:textId="2B234429" w:rsidR="009766A4" w:rsidRDefault="009766A4" w:rsidP="00D31C7E">
      <w:pPr>
        <w:jc w:val="both"/>
      </w:pPr>
      <w:r>
        <w:t>The above figures highlight the difference between the three top-performing companies in both indices. As</w:t>
      </w:r>
      <w:r w:rsidR="00912F9C">
        <w:t xml:space="preserve"> </w:t>
      </w:r>
      <w:r>
        <w:t xml:space="preserve">Nasdaq-100 is a technology-centred index, its top performers are recipients of the tech </w:t>
      </w:r>
      <w:r w:rsidR="00912F9C">
        <w:t xml:space="preserve">and entertainment </w:t>
      </w:r>
      <w:r>
        <w:t xml:space="preserve">industry, and the constituents of </w:t>
      </w:r>
      <w:r w:rsidR="00912F9C">
        <w:t xml:space="preserve">the </w:t>
      </w:r>
      <w:r>
        <w:t xml:space="preserve">FTSE-100 are from diverse sectors, the top performers vary from banking, pharmaceutical, and </w:t>
      </w:r>
      <w:r w:rsidR="00912F9C">
        <w:t xml:space="preserve">basic material sectors. The volume for the Nasdaq-100 companies reaches above $1 billion; however, UK companies mostly remain below £1 billion. </w:t>
      </w:r>
    </w:p>
    <w:p w14:paraId="1895236C" w14:textId="7F705025" w:rsidR="00912F9C" w:rsidRPr="009766A4" w:rsidRDefault="00912F9C" w:rsidP="00D31C7E">
      <w:pPr>
        <w:jc w:val="both"/>
      </w:pPr>
      <w:r>
        <w:t>The following figures show the interest of the AI-related words in the USA and the UK</w:t>
      </w:r>
      <w:r w:rsidR="00D31C7E">
        <w:t>,</w:t>
      </w:r>
      <w:r>
        <w:t xml:space="preserve"> respectively. </w:t>
      </w:r>
      <w:r w:rsidR="00D31C7E">
        <w:t>It’s</w:t>
      </w:r>
      <w:r>
        <w:t xml:space="preserve"> clear to see </w:t>
      </w:r>
      <w:r w:rsidR="00D31C7E">
        <w:t xml:space="preserve">that </w:t>
      </w:r>
      <w:r>
        <w:t>after 2023</w:t>
      </w:r>
      <w:r w:rsidR="00D31C7E">
        <w:t xml:space="preserve">, the rise of AI-related words like Generative AI, Artificial Intelligence, and AI Bubble occurred in both regions. This sparked interest is driven by the exposure of investors to ChatGPT in 2022 when it was first introduced (Jang, 2025). The co-movement, as illustrated in the plots, also supports the choice of creating a PCA index for AI-related words. </w:t>
      </w:r>
    </w:p>
    <w:p w14:paraId="35AD9A13" w14:textId="41C20C2B" w:rsidR="0063422A" w:rsidRDefault="00191424" w:rsidP="000468E5">
      <w:r w:rsidRPr="00C10C4E">
        <w:rPr>
          <w:noProof/>
        </w:rPr>
        <w:lastRenderedPageBreak/>
        <w:drawing>
          <wp:anchor distT="0" distB="0" distL="114300" distR="114300" simplePos="0" relativeHeight="251678720" behindDoc="0" locked="0" layoutInCell="1" allowOverlap="1" wp14:anchorId="2D93E348" wp14:editId="4D8223F2">
            <wp:simplePos x="0" y="0"/>
            <wp:positionH relativeFrom="margin">
              <wp:align>left</wp:align>
            </wp:positionH>
            <wp:positionV relativeFrom="paragraph">
              <wp:posOffset>2170430</wp:posOffset>
            </wp:positionV>
            <wp:extent cx="5731510" cy="2183130"/>
            <wp:effectExtent l="0" t="0" r="2540" b="7620"/>
            <wp:wrapTopAndBottom/>
            <wp:docPr id="410311084" name="Picture 1" descr="A graph of a number of peopl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0311084" name="Picture 1" descr="A graph of a number of people&#10;&#10;AI-generated content may be incorrect."/>
                    <pic:cNvPicPr/>
                  </pic:nvPicPr>
                  <pic:blipFill>
                    <a:blip r:embed="rId16" cstate="print">
                      <a:extLst>
                        <a:ext uri="{28A0092B-C50C-407E-A947-70E740481C1C}">
                          <a14:useLocalDpi xmlns:a14="http://schemas.microsoft.com/office/drawing/2010/main" val="0"/>
                        </a:ext>
                      </a:extLst>
                    </a:blip>
                    <a:stretch>
                      <a:fillRect/>
                    </a:stretch>
                  </pic:blipFill>
                  <pic:spPr>
                    <a:xfrm>
                      <a:off x="0" y="0"/>
                      <a:ext cx="5731510" cy="2183130"/>
                    </a:xfrm>
                    <a:prstGeom prst="rect">
                      <a:avLst/>
                    </a:prstGeom>
                  </pic:spPr>
                </pic:pic>
              </a:graphicData>
            </a:graphic>
          </wp:anchor>
        </w:drawing>
      </w:r>
      <w:r w:rsidR="00C10C4E" w:rsidRPr="00C10C4E">
        <w:rPr>
          <w:noProof/>
        </w:rPr>
        <w:drawing>
          <wp:inline distT="0" distB="0" distL="0" distR="0" wp14:anchorId="1BD7743F" wp14:editId="7CCB7038">
            <wp:extent cx="5731510" cy="2087880"/>
            <wp:effectExtent l="0" t="0" r="2540" b="7620"/>
            <wp:docPr id="1060249147" name="Picture 1" descr="A graph of different colored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0249147" name="Picture 1" descr="A graph of different colored lines&#10;&#10;AI-generated content may be incorrect."/>
                    <pic:cNvPicPr/>
                  </pic:nvPicPr>
                  <pic:blipFill>
                    <a:blip r:embed="rId17"/>
                    <a:stretch>
                      <a:fillRect/>
                    </a:stretch>
                  </pic:blipFill>
                  <pic:spPr>
                    <a:xfrm>
                      <a:off x="0" y="0"/>
                      <a:ext cx="5731510" cy="2087880"/>
                    </a:xfrm>
                    <a:prstGeom prst="rect">
                      <a:avLst/>
                    </a:prstGeom>
                  </pic:spPr>
                </pic:pic>
              </a:graphicData>
            </a:graphic>
          </wp:inline>
        </w:drawing>
      </w:r>
    </w:p>
    <w:p w14:paraId="29BAFEC8" w14:textId="51A39ABD" w:rsidR="00E15B9B" w:rsidRDefault="00962AD9" w:rsidP="00191424">
      <w:pPr>
        <w:pStyle w:val="Caption"/>
        <w:jc w:val="center"/>
        <w:rPr>
          <w:color w:val="000000" w:themeColor="text1"/>
        </w:rPr>
      </w:pPr>
      <w:r w:rsidRPr="00962AD9">
        <w:rPr>
          <w:color w:val="000000" w:themeColor="text1"/>
        </w:rPr>
        <w:t xml:space="preserve">Figure </w:t>
      </w:r>
      <w:r w:rsidRPr="00962AD9">
        <w:rPr>
          <w:color w:val="000000" w:themeColor="text1"/>
        </w:rPr>
        <w:fldChar w:fldCharType="begin"/>
      </w:r>
      <w:r w:rsidRPr="00962AD9">
        <w:rPr>
          <w:color w:val="000000" w:themeColor="text1"/>
        </w:rPr>
        <w:instrText xml:space="preserve"> SEQ Figure \* ARABIC </w:instrText>
      </w:r>
      <w:r w:rsidRPr="00962AD9">
        <w:rPr>
          <w:color w:val="000000" w:themeColor="text1"/>
        </w:rPr>
        <w:fldChar w:fldCharType="separate"/>
      </w:r>
      <w:r w:rsidRPr="00962AD9">
        <w:rPr>
          <w:noProof/>
          <w:color w:val="000000" w:themeColor="text1"/>
        </w:rPr>
        <w:t>4</w:t>
      </w:r>
      <w:r w:rsidRPr="00962AD9">
        <w:rPr>
          <w:color w:val="000000" w:themeColor="text1"/>
        </w:rPr>
        <w:fldChar w:fldCharType="end"/>
      </w:r>
      <w:r w:rsidRPr="00962AD9">
        <w:rPr>
          <w:color w:val="000000" w:themeColor="text1"/>
        </w:rPr>
        <w:t>: Google Trends Data across the USA and the UK region</w:t>
      </w:r>
    </w:p>
    <w:p w14:paraId="618E7A75" w14:textId="55394C0A" w:rsidR="00962AD9" w:rsidRPr="00250483" w:rsidRDefault="00962AD9" w:rsidP="00250483">
      <w:pPr>
        <w:pStyle w:val="Heading1"/>
        <w:numPr>
          <w:ilvl w:val="0"/>
          <w:numId w:val="7"/>
        </w:numPr>
        <w:rPr>
          <w:sz w:val="22"/>
          <w:szCs w:val="22"/>
        </w:rPr>
      </w:pPr>
      <w:bookmarkStart w:id="12" w:name="_Toc220361244"/>
      <w:r w:rsidRPr="00250483">
        <w:rPr>
          <w:sz w:val="22"/>
          <w:szCs w:val="22"/>
        </w:rPr>
        <w:t>Summary Statistics</w:t>
      </w:r>
      <w:bookmarkEnd w:id="12"/>
    </w:p>
    <w:tbl>
      <w:tblPr>
        <w:tblStyle w:val="TableGrid"/>
        <w:tblW w:w="0" w:type="auto"/>
        <w:tblLook w:val="04A0" w:firstRow="1" w:lastRow="0" w:firstColumn="1" w:lastColumn="0" w:noHBand="0" w:noVBand="1"/>
      </w:tblPr>
      <w:tblGrid>
        <w:gridCol w:w="1129"/>
        <w:gridCol w:w="1134"/>
        <w:gridCol w:w="1418"/>
        <w:gridCol w:w="5335"/>
      </w:tblGrid>
      <w:tr w:rsidR="00E60172" w14:paraId="32291D81" w14:textId="509F3A8C" w:rsidTr="00E84933">
        <w:trPr>
          <w:trHeight w:val="269"/>
        </w:trPr>
        <w:tc>
          <w:tcPr>
            <w:tcW w:w="9016" w:type="dxa"/>
            <w:gridSpan w:val="4"/>
          </w:tcPr>
          <w:p w14:paraId="0795F6A9" w14:textId="5EBD28A0" w:rsidR="00E60172" w:rsidRPr="00C10C4E" w:rsidRDefault="00E60172" w:rsidP="00C10C4E">
            <w:pPr>
              <w:jc w:val="center"/>
              <w:rPr>
                <w:b/>
                <w:bCs/>
              </w:rPr>
            </w:pPr>
            <w:r w:rsidRPr="00E60172">
              <w:rPr>
                <w:b/>
                <w:bCs/>
                <w:color w:val="156082" w:themeColor="accent1"/>
              </w:rPr>
              <w:t>Summary Statistics of Volume Z-Scores</w:t>
            </w:r>
          </w:p>
        </w:tc>
      </w:tr>
      <w:tr w:rsidR="00E60172" w14:paraId="23F48493" w14:textId="1F247728" w:rsidTr="00191424">
        <w:trPr>
          <w:trHeight w:val="258"/>
        </w:trPr>
        <w:tc>
          <w:tcPr>
            <w:tcW w:w="1129" w:type="dxa"/>
          </w:tcPr>
          <w:p w14:paraId="6E5DB155" w14:textId="4FDA0C56" w:rsidR="00E60172" w:rsidRPr="00E60172" w:rsidRDefault="00E60172" w:rsidP="00E60172">
            <w:pPr>
              <w:jc w:val="center"/>
              <w:rPr>
                <w:color w:val="156082" w:themeColor="accent1"/>
              </w:rPr>
            </w:pPr>
            <w:r w:rsidRPr="00E60172">
              <w:rPr>
                <w:color w:val="156082" w:themeColor="accent1"/>
              </w:rPr>
              <w:t>Statistics</w:t>
            </w:r>
          </w:p>
        </w:tc>
        <w:tc>
          <w:tcPr>
            <w:tcW w:w="1134" w:type="dxa"/>
          </w:tcPr>
          <w:p w14:paraId="1B68F10F" w14:textId="595D5FD2" w:rsidR="00E60172" w:rsidRPr="00E60172" w:rsidRDefault="00E60172" w:rsidP="00E60172">
            <w:pPr>
              <w:jc w:val="center"/>
              <w:rPr>
                <w:color w:val="156082" w:themeColor="accent1"/>
              </w:rPr>
            </w:pPr>
            <w:r w:rsidRPr="00E60172">
              <w:rPr>
                <w:color w:val="156082" w:themeColor="accent1"/>
              </w:rPr>
              <w:t>FTSE-100</w:t>
            </w:r>
          </w:p>
        </w:tc>
        <w:tc>
          <w:tcPr>
            <w:tcW w:w="1418" w:type="dxa"/>
          </w:tcPr>
          <w:p w14:paraId="7900D65E" w14:textId="573C440F" w:rsidR="00E60172" w:rsidRPr="00E60172" w:rsidRDefault="00E60172" w:rsidP="00E60172">
            <w:pPr>
              <w:jc w:val="center"/>
              <w:rPr>
                <w:color w:val="156082" w:themeColor="accent1"/>
              </w:rPr>
            </w:pPr>
            <w:r w:rsidRPr="00E60172">
              <w:rPr>
                <w:color w:val="156082" w:themeColor="accent1"/>
              </w:rPr>
              <w:t>Nasdaq-100</w:t>
            </w:r>
          </w:p>
        </w:tc>
        <w:tc>
          <w:tcPr>
            <w:tcW w:w="5335" w:type="dxa"/>
          </w:tcPr>
          <w:p w14:paraId="54FBF121" w14:textId="3A11179E" w:rsidR="00E60172" w:rsidRPr="00E60172" w:rsidRDefault="00E60172" w:rsidP="00E60172">
            <w:pPr>
              <w:jc w:val="center"/>
              <w:rPr>
                <w:color w:val="156082" w:themeColor="accent1"/>
              </w:rPr>
            </w:pPr>
            <w:r w:rsidRPr="00E60172">
              <w:rPr>
                <w:color w:val="156082" w:themeColor="accent1"/>
              </w:rPr>
              <w:t>Interpretation</w:t>
            </w:r>
          </w:p>
        </w:tc>
      </w:tr>
      <w:tr w:rsidR="00E60172" w14:paraId="66B74FE0" w14:textId="605E5049" w:rsidTr="00191424">
        <w:trPr>
          <w:trHeight w:val="269"/>
        </w:trPr>
        <w:tc>
          <w:tcPr>
            <w:tcW w:w="1129" w:type="dxa"/>
          </w:tcPr>
          <w:p w14:paraId="768EB0C0" w14:textId="788EE267" w:rsidR="00E60172" w:rsidRDefault="00E60172" w:rsidP="00E60172">
            <w:pPr>
              <w:jc w:val="center"/>
            </w:pPr>
            <w:r>
              <w:t>Mean (</w:t>
            </w:r>
            <m:oMath>
              <m:r>
                <w:rPr>
                  <w:rFonts w:ascii="Cambria Math" w:hAnsi="Cambria Math"/>
                </w:rPr>
                <m:t>μ)</m:t>
              </m:r>
            </m:oMath>
          </w:p>
        </w:tc>
        <w:tc>
          <w:tcPr>
            <w:tcW w:w="1134" w:type="dxa"/>
          </w:tcPr>
          <w:p w14:paraId="5B1F9C2D" w14:textId="2F5345EF" w:rsidR="00E60172" w:rsidRDefault="00D31786" w:rsidP="00D31786">
            <w:pPr>
              <w:jc w:val="center"/>
            </w:pPr>
            <w:r>
              <w:t>-7.40</w:t>
            </w:r>
          </w:p>
        </w:tc>
        <w:tc>
          <w:tcPr>
            <w:tcW w:w="1418" w:type="dxa"/>
          </w:tcPr>
          <w:p w14:paraId="4037D0C2" w14:textId="05FF9B2D" w:rsidR="00E60172" w:rsidRDefault="009747E5" w:rsidP="00D31786">
            <w:pPr>
              <w:jc w:val="center"/>
            </w:pPr>
            <w:r>
              <w:t>-1.36</w:t>
            </w:r>
          </w:p>
        </w:tc>
        <w:tc>
          <w:tcPr>
            <w:tcW w:w="5335" w:type="dxa"/>
          </w:tcPr>
          <w:p w14:paraId="37CC4A03" w14:textId="7AD09B14" w:rsidR="00E60172" w:rsidRDefault="00D97470" w:rsidP="00D97470">
            <w:r>
              <w:t>A negative mean indicated that, on average, the entire market (75 companies in each index ) traded below its long-run norm</w:t>
            </w:r>
          </w:p>
          <w:p w14:paraId="1D3ADD6F" w14:textId="77044B7B" w:rsidR="00D97470" w:rsidRDefault="00D97470" w:rsidP="00D97470">
            <w:r>
              <w:t xml:space="preserve">FTSE-100 has a more negative mean than Nasdaq-100, indicating it's experienced even lower trading volume than the norm. </w:t>
            </w:r>
          </w:p>
        </w:tc>
      </w:tr>
      <w:tr w:rsidR="00E60172" w14:paraId="7B17F02A" w14:textId="764DA7CA" w:rsidTr="00191424">
        <w:trPr>
          <w:trHeight w:val="258"/>
        </w:trPr>
        <w:tc>
          <w:tcPr>
            <w:tcW w:w="1129" w:type="dxa"/>
          </w:tcPr>
          <w:p w14:paraId="218022F0" w14:textId="59EA123D" w:rsidR="00E60172" w:rsidRDefault="00E60172" w:rsidP="00E60172">
            <w:pPr>
              <w:jc w:val="center"/>
            </w:pPr>
            <w:r>
              <w:t>Standard Deviation (</w:t>
            </w:r>
            <m:oMath>
              <m:r>
                <w:rPr>
                  <w:rFonts w:ascii="Cambria Math" w:hAnsi="Cambria Math"/>
                </w:rPr>
                <m:t>σ)</m:t>
              </m:r>
            </m:oMath>
          </w:p>
        </w:tc>
        <w:tc>
          <w:tcPr>
            <w:tcW w:w="1134" w:type="dxa"/>
          </w:tcPr>
          <w:p w14:paraId="4BC90D81" w14:textId="75ECAD94" w:rsidR="00E60172" w:rsidRDefault="00D31786" w:rsidP="00D31786">
            <w:pPr>
              <w:jc w:val="center"/>
            </w:pPr>
            <w:r>
              <w:t>1</w:t>
            </w:r>
          </w:p>
        </w:tc>
        <w:tc>
          <w:tcPr>
            <w:tcW w:w="1418" w:type="dxa"/>
          </w:tcPr>
          <w:p w14:paraId="041411B6" w14:textId="254763B1" w:rsidR="00E60172" w:rsidRDefault="009747E5" w:rsidP="00D31786">
            <w:pPr>
              <w:jc w:val="center"/>
            </w:pPr>
            <w:r>
              <w:t>1</w:t>
            </w:r>
          </w:p>
        </w:tc>
        <w:tc>
          <w:tcPr>
            <w:tcW w:w="5335" w:type="dxa"/>
          </w:tcPr>
          <w:p w14:paraId="1C2AE0A1" w14:textId="6A0EBA1E" w:rsidR="00E60172" w:rsidRDefault="00D97470" w:rsidP="00191424">
            <w:r>
              <w:t>The standard deviation of 1 indicated normal dispersion of deviations from the mean.</w:t>
            </w:r>
          </w:p>
        </w:tc>
      </w:tr>
      <w:tr w:rsidR="00E60172" w14:paraId="48B7A8E6" w14:textId="33F837DD" w:rsidTr="00191424">
        <w:trPr>
          <w:trHeight w:val="269"/>
        </w:trPr>
        <w:tc>
          <w:tcPr>
            <w:tcW w:w="1129" w:type="dxa"/>
          </w:tcPr>
          <w:p w14:paraId="60658772" w14:textId="174CFE4D" w:rsidR="00E60172" w:rsidRDefault="00E60172" w:rsidP="00E60172">
            <w:pPr>
              <w:jc w:val="center"/>
            </w:pPr>
            <w:r>
              <w:t>Skew</w:t>
            </w:r>
          </w:p>
        </w:tc>
        <w:tc>
          <w:tcPr>
            <w:tcW w:w="1134" w:type="dxa"/>
          </w:tcPr>
          <w:p w14:paraId="320A1AEC" w14:textId="7BC2E7FE" w:rsidR="00E60172" w:rsidRDefault="00D31786" w:rsidP="00D31786">
            <w:pPr>
              <w:jc w:val="center"/>
            </w:pPr>
            <w:r>
              <w:t>5.80</w:t>
            </w:r>
          </w:p>
        </w:tc>
        <w:tc>
          <w:tcPr>
            <w:tcW w:w="1418" w:type="dxa"/>
          </w:tcPr>
          <w:p w14:paraId="1C1B3950" w14:textId="33026D30" w:rsidR="00E60172" w:rsidRDefault="009747E5" w:rsidP="00D31786">
            <w:pPr>
              <w:jc w:val="center"/>
            </w:pPr>
            <w:r>
              <w:t>3.84</w:t>
            </w:r>
          </w:p>
        </w:tc>
        <w:tc>
          <w:tcPr>
            <w:tcW w:w="5335" w:type="dxa"/>
          </w:tcPr>
          <w:p w14:paraId="732DCF5E" w14:textId="77777777" w:rsidR="00E60172" w:rsidRDefault="00D97470" w:rsidP="00191424">
            <w:r>
              <w:t>High positive skewness shows the presence of extreme values; as such, some months had a surge in trading volume</w:t>
            </w:r>
          </w:p>
          <w:p w14:paraId="5483D5AD" w14:textId="2CFFBAB0" w:rsidR="00D97470" w:rsidRDefault="00D97470" w:rsidP="00191424">
            <w:r>
              <w:t xml:space="preserve">FTSE-100 had </w:t>
            </w:r>
            <w:r w:rsidR="00B8343A">
              <w:t xml:space="preserve">a </w:t>
            </w:r>
            <w:r>
              <w:t>heavily right-skewed distribution</w:t>
            </w:r>
            <w:r w:rsidR="00B8343A">
              <w:t>,</w:t>
            </w:r>
            <w:r>
              <w:t xml:space="preserve"> meaning </w:t>
            </w:r>
            <w:r w:rsidR="00B8343A">
              <w:t>a small number of months saw a surge when compared to the  Nasdaq-100 companies.</w:t>
            </w:r>
          </w:p>
        </w:tc>
      </w:tr>
      <w:tr w:rsidR="00E60172" w14:paraId="48B891A5" w14:textId="60A9371F" w:rsidTr="00191424">
        <w:trPr>
          <w:trHeight w:val="258"/>
        </w:trPr>
        <w:tc>
          <w:tcPr>
            <w:tcW w:w="1129" w:type="dxa"/>
          </w:tcPr>
          <w:p w14:paraId="48D75F3D" w14:textId="0D8039EC" w:rsidR="00E60172" w:rsidRDefault="00E60172" w:rsidP="00E60172">
            <w:pPr>
              <w:jc w:val="center"/>
            </w:pPr>
            <w:r>
              <w:t>Kurtosis</w:t>
            </w:r>
          </w:p>
        </w:tc>
        <w:tc>
          <w:tcPr>
            <w:tcW w:w="1134" w:type="dxa"/>
          </w:tcPr>
          <w:p w14:paraId="096D7F48" w14:textId="363CCB97" w:rsidR="00E60172" w:rsidRDefault="00D31786" w:rsidP="00D31786">
            <w:pPr>
              <w:jc w:val="center"/>
            </w:pPr>
            <w:r>
              <w:t>1.88</w:t>
            </w:r>
          </w:p>
        </w:tc>
        <w:tc>
          <w:tcPr>
            <w:tcW w:w="1418" w:type="dxa"/>
          </w:tcPr>
          <w:p w14:paraId="52C1A1DC" w14:textId="159A23DD" w:rsidR="00E60172" w:rsidRDefault="009747E5" w:rsidP="00D31786">
            <w:pPr>
              <w:jc w:val="center"/>
            </w:pPr>
            <w:r>
              <w:t>1.34</w:t>
            </w:r>
          </w:p>
        </w:tc>
        <w:tc>
          <w:tcPr>
            <w:tcW w:w="5335" w:type="dxa"/>
          </w:tcPr>
          <w:p w14:paraId="56B481F8" w14:textId="4F09D1E9" w:rsidR="00E60172" w:rsidRDefault="00D97470" w:rsidP="00250483">
            <w:pPr>
              <w:keepNext/>
            </w:pPr>
            <w:r>
              <w:t xml:space="preserve">Positive kurtosis confirms that extreme volume spikes occurred more often than </w:t>
            </w:r>
            <w:r w:rsidR="00B8343A">
              <w:t xml:space="preserve">in </w:t>
            </w:r>
            <w:r>
              <w:t>a normal distribution</w:t>
            </w:r>
            <w:r w:rsidR="00B8343A">
              <w:t>. Nasdaq-100 showed occasional high volume traded with rarer dominance of extreme bursts of high trading volume</w:t>
            </w:r>
            <w:r>
              <w:t xml:space="preserve"> </w:t>
            </w:r>
          </w:p>
        </w:tc>
      </w:tr>
    </w:tbl>
    <w:p w14:paraId="2340CAB7" w14:textId="2B41965C" w:rsidR="00E15B9B" w:rsidRPr="00250483" w:rsidRDefault="00250483" w:rsidP="00250483">
      <w:pPr>
        <w:pStyle w:val="Caption"/>
        <w:jc w:val="center"/>
        <w:rPr>
          <w:color w:val="000000" w:themeColor="text1"/>
        </w:rPr>
      </w:pPr>
      <w:r w:rsidRPr="00250483">
        <w:rPr>
          <w:color w:val="000000" w:themeColor="text1"/>
        </w:rPr>
        <w:lastRenderedPageBreak/>
        <w:t xml:space="preserve">Table </w:t>
      </w:r>
      <w:r w:rsidRPr="00250483">
        <w:rPr>
          <w:color w:val="000000" w:themeColor="text1"/>
        </w:rPr>
        <w:fldChar w:fldCharType="begin"/>
      </w:r>
      <w:r w:rsidRPr="00250483">
        <w:rPr>
          <w:color w:val="000000" w:themeColor="text1"/>
        </w:rPr>
        <w:instrText xml:space="preserve"> SEQ Table \* ARABIC </w:instrText>
      </w:r>
      <w:r w:rsidRPr="00250483">
        <w:rPr>
          <w:color w:val="000000" w:themeColor="text1"/>
        </w:rPr>
        <w:fldChar w:fldCharType="separate"/>
      </w:r>
      <w:r>
        <w:rPr>
          <w:noProof/>
          <w:color w:val="000000" w:themeColor="text1"/>
        </w:rPr>
        <w:t>5</w:t>
      </w:r>
      <w:r w:rsidRPr="00250483">
        <w:rPr>
          <w:color w:val="000000" w:themeColor="text1"/>
        </w:rPr>
        <w:fldChar w:fldCharType="end"/>
      </w:r>
      <w:r w:rsidRPr="00250483">
        <w:rPr>
          <w:color w:val="000000" w:themeColor="text1"/>
        </w:rPr>
        <w:t>: Summary Statistics of Volume Z-Scores</w:t>
      </w:r>
    </w:p>
    <w:tbl>
      <w:tblPr>
        <w:tblStyle w:val="TableGrid"/>
        <w:tblW w:w="0" w:type="auto"/>
        <w:tblLook w:val="04A0" w:firstRow="1" w:lastRow="0" w:firstColumn="1" w:lastColumn="0" w:noHBand="0" w:noVBand="1"/>
      </w:tblPr>
      <w:tblGrid>
        <w:gridCol w:w="1660"/>
        <w:gridCol w:w="1029"/>
        <w:gridCol w:w="1134"/>
        <w:gridCol w:w="5193"/>
      </w:tblGrid>
      <w:tr w:rsidR="009747E5" w14:paraId="0775F071" w14:textId="77777777" w:rsidTr="001D3199">
        <w:trPr>
          <w:trHeight w:val="269"/>
        </w:trPr>
        <w:tc>
          <w:tcPr>
            <w:tcW w:w="9016" w:type="dxa"/>
            <w:gridSpan w:val="4"/>
          </w:tcPr>
          <w:p w14:paraId="36CA3C3E" w14:textId="7E8CB182" w:rsidR="009747E5" w:rsidRPr="00C10C4E" w:rsidRDefault="009747E5" w:rsidP="001D3199">
            <w:pPr>
              <w:jc w:val="center"/>
              <w:rPr>
                <w:b/>
                <w:bCs/>
              </w:rPr>
            </w:pPr>
            <w:r w:rsidRPr="00E60172">
              <w:rPr>
                <w:b/>
                <w:bCs/>
                <w:color w:val="156082" w:themeColor="accent1"/>
              </w:rPr>
              <w:t xml:space="preserve">Summary Statistics of </w:t>
            </w:r>
            <w:r>
              <w:rPr>
                <w:b/>
                <w:bCs/>
                <w:color w:val="156082" w:themeColor="accent1"/>
              </w:rPr>
              <w:t xml:space="preserve">AI Index </w:t>
            </w:r>
          </w:p>
        </w:tc>
      </w:tr>
      <w:tr w:rsidR="009747E5" w14:paraId="26AC0A03" w14:textId="77777777" w:rsidTr="00B44531">
        <w:trPr>
          <w:trHeight w:val="258"/>
        </w:trPr>
        <w:tc>
          <w:tcPr>
            <w:tcW w:w="1660" w:type="dxa"/>
          </w:tcPr>
          <w:p w14:paraId="5295D154" w14:textId="77777777" w:rsidR="009747E5" w:rsidRPr="00E60172" w:rsidRDefault="009747E5" w:rsidP="001D3199">
            <w:pPr>
              <w:jc w:val="center"/>
              <w:rPr>
                <w:color w:val="156082" w:themeColor="accent1"/>
              </w:rPr>
            </w:pPr>
            <w:r w:rsidRPr="00E60172">
              <w:rPr>
                <w:color w:val="156082" w:themeColor="accent1"/>
              </w:rPr>
              <w:t>Statistics</w:t>
            </w:r>
          </w:p>
        </w:tc>
        <w:tc>
          <w:tcPr>
            <w:tcW w:w="1029" w:type="dxa"/>
          </w:tcPr>
          <w:p w14:paraId="588C58C8" w14:textId="60DAD75E" w:rsidR="009747E5" w:rsidRPr="00E60172" w:rsidRDefault="00B8343A" w:rsidP="001D3199">
            <w:pPr>
              <w:jc w:val="center"/>
              <w:rPr>
                <w:color w:val="156082" w:themeColor="accent1"/>
              </w:rPr>
            </w:pPr>
            <w:r>
              <w:rPr>
                <w:color w:val="156082" w:themeColor="accent1"/>
              </w:rPr>
              <w:t>UK</w:t>
            </w:r>
          </w:p>
        </w:tc>
        <w:tc>
          <w:tcPr>
            <w:tcW w:w="1134" w:type="dxa"/>
          </w:tcPr>
          <w:p w14:paraId="1B36E59F" w14:textId="17D696ED" w:rsidR="009747E5" w:rsidRPr="00E60172" w:rsidRDefault="00B8343A" w:rsidP="001D3199">
            <w:pPr>
              <w:jc w:val="center"/>
              <w:rPr>
                <w:color w:val="156082" w:themeColor="accent1"/>
              </w:rPr>
            </w:pPr>
            <w:r>
              <w:rPr>
                <w:color w:val="156082" w:themeColor="accent1"/>
              </w:rPr>
              <w:t>USA</w:t>
            </w:r>
          </w:p>
        </w:tc>
        <w:tc>
          <w:tcPr>
            <w:tcW w:w="5193" w:type="dxa"/>
          </w:tcPr>
          <w:p w14:paraId="2413CCFF" w14:textId="77777777" w:rsidR="009747E5" w:rsidRPr="00E60172" w:rsidRDefault="009747E5" w:rsidP="001D3199">
            <w:pPr>
              <w:jc w:val="center"/>
              <w:rPr>
                <w:color w:val="156082" w:themeColor="accent1"/>
              </w:rPr>
            </w:pPr>
            <w:r w:rsidRPr="00E60172">
              <w:rPr>
                <w:color w:val="156082" w:themeColor="accent1"/>
              </w:rPr>
              <w:t>Interpretation</w:t>
            </w:r>
          </w:p>
        </w:tc>
      </w:tr>
      <w:tr w:rsidR="009747E5" w14:paraId="389680FD" w14:textId="77777777" w:rsidTr="00B44531">
        <w:trPr>
          <w:trHeight w:val="269"/>
        </w:trPr>
        <w:tc>
          <w:tcPr>
            <w:tcW w:w="1660" w:type="dxa"/>
          </w:tcPr>
          <w:p w14:paraId="3108D17C" w14:textId="77777777" w:rsidR="009747E5" w:rsidRDefault="009747E5" w:rsidP="001D3199">
            <w:pPr>
              <w:jc w:val="center"/>
            </w:pPr>
            <w:r>
              <w:t>Mean (</w:t>
            </w:r>
            <m:oMath>
              <m:r>
                <w:rPr>
                  <w:rFonts w:ascii="Cambria Math" w:hAnsi="Cambria Math"/>
                </w:rPr>
                <m:t>μ)</m:t>
              </m:r>
            </m:oMath>
          </w:p>
        </w:tc>
        <w:tc>
          <w:tcPr>
            <w:tcW w:w="1029" w:type="dxa"/>
          </w:tcPr>
          <w:p w14:paraId="3A5944F5" w14:textId="403F029F" w:rsidR="009747E5" w:rsidRDefault="00D31786" w:rsidP="00D31786">
            <w:pPr>
              <w:jc w:val="center"/>
            </w:pPr>
            <w:r>
              <w:t>-9.87</w:t>
            </w:r>
          </w:p>
        </w:tc>
        <w:tc>
          <w:tcPr>
            <w:tcW w:w="1134" w:type="dxa"/>
          </w:tcPr>
          <w:p w14:paraId="0DB74CB7" w14:textId="1C7B4F1D" w:rsidR="009747E5" w:rsidRDefault="009747E5" w:rsidP="00D31786">
            <w:pPr>
              <w:jc w:val="center"/>
            </w:pPr>
            <w:r>
              <w:t>-1.</w:t>
            </w:r>
            <w:r w:rsidR="00D31786">
              <w:t>48</w:t>
            </w:r>
          </w:p>
        </w:tc>
        <w:tc>
          <w:tcPr>
            <w:tcW w:w="5193" w:type="dxa"/>
          </w:tcPr>
          <w:p w14:paraId="4C06B690" w14:textId="5E159E6C" w:rsidR="009747E5" w:rsidRDefault="00B8343A" w:rsidP="001D3199">
            <w:r>
              <w:t xml:space="preserve">The UK saw below-average interest in AI-related keywords </w:t>
            </w:r>
            <w:r w:rsidR="00B44531">
              <w:t>compared to</w:t>
            </w:r>
            <w:r>
              <w:t xml:space="preserve"> the USA</w:t>
            </w:r>
            <w:r w:rsidR="00B44531">
              <w:t>.</w:t>
            </w:r>
          </w:p>
        </w:tc>
      </w:tr>
      <w:tr w:rsidR="009747E5" w14:paraId="575EA43C" w14:textId="77777777" w:rsidTr="00B44531">
        <w:trPr>
          <w:trHeight w:val="258"/>
        </w:trPr>
        <w:tc>
          <w:tcPr>
            <w:tcW w:w="1660" w:type="dxa"/>
          </w:tcPr>
          <w:p w14:paraId="00DF391D" w14:textId="77777777" w:rsidR="009747E5" w:rsidRDefault="009747E5" w:rsidP="001D3199">
            <w:pPr>
              <w:jc w:val="center"/>
            </w:pPr>
            <w:r>
              <w:t>Standard Deviation (</w:t>
            </w:r>
            <m:oMath>
              <m:r>
                <w:rPr>
                  <w:rFonts w:ascii="Cambria Math" w:hAnsi="Cambria Math"/>
                </w:rPr>
                <m:t>σ)</m:t>
              </m:r>
            </m:oMath>
          </w:p>
        </w:tc>
        <w:tc>
          <w:tcPr>
            <w:tcW w:w="1029" w:type="dxa"/>
          </w:tcPr>
          <w:p w14:paraId="0E9EC0CA" w14:textId="5657A1C1" w:rsidR="009747E5" w:rsidRDefault="00D31786" w:rsidP="00D31786">
            <w:pPr>
              <w:jc w:val="center"/>
            </w:pPr>
            <w:r>
              <w:t>1.10</w:t>
            </w:r>
          </w:p>
        </w:tc>
        <w:tc>
          <w:tcPr>
            <w:tcW w:w="1134" w:type="dxa"/>
          </w:tcPr>
          <w:p w14:paraId="7B56C226" w14:textId="2E85D7FF" w:rsidR="009747E5" w:rsidRDefault="009747E5" w:rsidP="00D31786">
            <w:pPr>
              <w:jc w:val="center"/>
            </w:pPr>
            <w:r>
              <w:t>1.</w:t>
            </w:r>
            <w:r w:rsidR="00D31786">
              <w:t>93</w:t>
            </w:r>
          </w:p>
        </w:tc>
        <w:tc>
          <w:tcPr>
            <w:tcW w:w="5193" w:type="dxa"/>
          </w:tcPr>
          <w:p w14:paraId="4A631D0F" w14:textId="5B1B6291" w:rsidR="009747E5" w:rsidRDefault="00B44531" w:rsidP="001D3199">
            <w:r>
              <w:t xml:space="preserve">The </w:t>
            </w:r>
            <w:r w:rsidR="00B8343A">
              <w:t xml:space="preserve">UK have low volatility, meaning across 5 </w:t>
            </w:r>
            <w:r>
              <w:t>years AI interest remained modest as compared to the USA, which shows a dynamic public shift towards AI.</w:t>
            </w:r>
          </w:p>
        </w:tc>
      </w:tr>
      <w:tr w:rsidR="009747E5" w14:paraId="31D55715" w14:textId="77777777" w:rsidTr="00B44531">
        <w:trPr>
          <w:trHeight w:val="269"/>
        </w:trPr>
        <w:tc>
          <w:tcPr>
            <w:tcW w:w="1660" w:type="dxa"/>
          </w:tcPr>
          <w:p w14:paraId="64CF7F31" w14:textId="77777777" w:rsidR="009747E5" w:rsidRDefault="009747E5" w:rsidP="001D3199">
            <w:pPr>
              <w:jc w:val="center"/>
            </w:pPr>
            <w:r>
              <w:t>Skew</w:t>
            </w:r>
          </w:p>
        </w:tc>
        <w:tc>
          <w:tcPr>
            <w:tcW w:w="1029" w:type="dxa"/>
          </w:tcPr>
          <w:p w14:paraId="074F5C23" w14:textId="37FCD7C5" w:rsidR="009747E5" w:rsidRDefault="00D31786" w:rsidP="00D31786">
            <w:pPr>
              <w:jc w:val="center"/>
            </w:pPr>
            <w:r>
              <w:t>-0.84</w:t>
            </w:r>
          </w:p>
        </w:tc>
        <w:tc>
          <w:tcPr>
            <w:tcW w:w="1134" w:type="dxa"/>
          </w:tcPr>
          <w:p w14:paraId="0A8E5C52" w14:textId="368B5E6F" w:rsidR="009747E5" w:rsidRDefault="00D31786" w:rsidP="00D31786">
            <w:pPr>
              <w:jc w:val="center"/>
            </w:pPr>
            <w:r>
              <w:t>-0.87</w:t>
            </w:r>
          </w:p>
        </w:tc>
        <w:tc>
          <w:tcPr>
            <w:tcW w:w="5193" w:type="dxa"/>
          </w:tcPr>
          <w:p w14:paraId="127872B5" w14:textId="261E119E" w:rsidR="009747E5" w:rsidRDefault="00B44531" w:rsidP="001D3199">
            <w:r>
              <w:t>Both have a negative low skew, indicating less presence of high AI interest-based surge across months.</w:t>
            </w:r>
          </w:p>
        </w:tc>
      </w:tr>
      <w:tr w:rsidR="009747E5" w14:paraId="43A72359" w14:textId="77777777" w:rsidTr="00B44531">
        <w:trPr>
          <w:trHeight w:val="258"/>
        </w:trPr>
        <w:tc>
          <w:tcPr>
            <w:tcW w:w="1660" w:type="dxa"/>
          </w:tcPr>
          <w:p w14:paraId="607A857D" w14:textId="77777777" w:rsidR="009747E5" w:rsidRDefault="009747E5" w:rsidP="001D3199">
            <w:pPr>
              <w:jc w:val="center"/>
            </w:pPr>
            <w:r>
              <w:t>Kurtosis</w:t>
            </w:r>
          </w:p>
        </w:tc>
        <w:tc>
          <w:tcPr>
            <w:tcW w:w="1029" w:type="dxa"/>
          </w:tcPr>
          <w:p w14:paraId="575FE37A" w14:textId="6C2A01A8" w:rsidR="009747E5" w:rsidRDefault="00D31786" w:rsidP="00D31786">
            <w:pPr>
              <w:jc w:val="center"/>
            </w:pPr>
            <w:r>
              <w:t>0.96</w:t>
            </w:r>
          </w:p>
        </w:tc>
        <w:tc>
          <w:tcPr>
            <w:tcW w:w="1134" w:type="dxa"/>
          </w:tcPr>
          <w:p w14:paraId="14A69BB6" w14:textId="4306FDFE" w:rsidR="009747E5" w:rsidRDefault="00D31786" w:rsidP="00D31786">
            <w:pPr>
              <w:jc w:val="center"/>
            </w:pPr>
            <w:r>
              <w:t>0.94</w:t>
            </w:r>
          </w:p>
        </w:tc>
        <w:tc>
          <w:tcPr>
            <w:tcW w:w="5193" w:type="dxa"/>
          </w:tcPr>
          <w:p w14:paraId="56B0472B" w14:textId="6E420851" w:rsidR="009747E5" w:rsidRDefault="00B44531" w:rsidP="00250483">
            <w:pPr>
              <w:keepNext/>
            </w:pPr>
            <w:r>
              <w:t>Similarly, positive kurtosis indicated occasional extreme deviation across months in AI interest.</w:t>
            </w:r>
          </w:p>
        </w:tc>
      </w:tr>
    </w:tbl>
    <w:p w14:paraId="4FC7E7BF" w14:textId="1A560797" w:rsidR="00E15B9B" w:rsidRPr="00250483" w:rsidRDefault="00250483" w:rsidP="00250483">
      <w:pPr>
        <w:pStyle w:val="Caption"/>
        <w:jc w:val="center"/>
        <w:rPr>
          <w:color w:val="000000" w:themeColor="text1"/>
        </w:rPr>
      </w:pPr>
      <w:r w:rsidRPr="00250483">
        <w:rPr>
          <w:color w:val="000000" w:themeColor="text1"/>
        </w:rPr>
        <w:t xml:space="preserve">Table </w:t>
      </w:r>
      <w:r w:rsidRPr="00250483">
        <w:rPr>
          <w:color w:val="000000" w:themeColor="text1"/>
        </w:rPr>
        <w:fldChar w:fldCharType="begin"/>
      </w:r>
      <w:r w:rsidRPr="00250483">
        <w:rPr>
          <w:color w:val="000000" w:themeColor="text1"/>
        </w:rPr>
        <w:instrText xml:space="preserve"> SEQ Table \* ARABIC </w:instrText>
      </w:r>
      <w:r w:rsidRPr="00250483">
        <w:rPr>
          <w:color w:val="000000" w:themeColor="text1"/>
        </w:rPr>
        <w:fldChar w:fldCharType="separate"/>
      </w:r>
      <w:r>
        <w:rPr>
          <w:noProof/>
          <w:color w:val="000000" w:themeColor="text1"/>
        </w:rPr>
        <w:t>6</w:t>
      </w:r>
      <w:r w:rsidRPr="00250483">
        <w:rPr>
          <w:color w:val="000000" w:themeColor="text1"/>
        </w:rPr>
        <w:fldChar w:fldCharType="end"/>
      </w:r>
      <w:r w:rsidRPr="00250483">
        <w:rPr>
          <w:color w:val="000000" w:themeColor="text1"/>
        </w:rPr>
        <w:t>: Summary Statistics of AI Index</w:t>
      </w:r>
    </w:p>
    <w:p w14:paraId="37AF15C2" w14:textId="637568A1" w:rsidR="00962AD9" w:rsidRDefault="00962AD9" w:rsidP="00250483">
      <w:pPr>
        <w:pStyle w:val="Heading1"/>
        <w:numPr>
          <w:ilvl w:val="0"/>
          <w:numId w:val="7"/>
        </w:numPr>
        <w:rPr>
          <w:sz w:val="22"/>
          <w:szCs w:val="22"/>
        </w:rPr>
      </w:pPr>
      <w:bookmarkStart w:id="13" w:name="_Toc220361245"/>
      <w:r w:rsidRPr="00250483">
        <w:rPr>
          <w:sz w:val="22"/>
          <w:szCs w:val="22"/>
        </w:rPr>
        <w:t>Fitted Models</w:t>
      </w:r>
      <w:bookmarkEnd w:id="13"/>
    </w:p>
    <w:p w14:paraId="282BF60F" w14:textId="23F4D50C" w:rsidR="00250483" w:rsidRPr="00250483" w:rsidRDefault="00250483" w:rsidP="00250483">
      <w:pPr>
        <w:pStyle w:val="Heading1"/>
        <w:numPr>
          <w:ilvl w:val="0"/>
          <w:numId w:val="9"/>
        </w:numPr>
        <w:rPr>
          <w:sz w:val="22"/>
          <w:szCs w:val="22"/>
        </w:rPr>
      </w:pPr>
      <w:bookmarkStart w:id="14" w:name="_Toc220361246"/>
      <w:r w:rsidRPr="00250483">
        <w:rPr>
          <w:sz w:val="22"/>
          <w:szCs w:val="22"/>
        </w:rPr>
        <w:t>Nasdaq-100 Companies</w:t>
      </w:r>
      <w:bookmarkEnd w:id="14"/>
      <w:r w:rsidRPr="00250483">
        <w:rPr>
          <w:sz w:val="22"/>
          <w:szCs w:val="22"/>
        </w:rPr>
        <w:t xml:space="preserve"> </w:t>
      </w:r>
    </w:p>
    <w:p w14:paraId="6C692368" w14:textId="58D943A4" w:rsidR="00191424" w:rsidRDefault="00000000" w:rsidP="00191424">
      <w:pPr>
        <w:pStyle w:val="ListParagraph"/>
        <w:ind w:left="1080"/>
      </w:pPr>
      <m:oMathPara>
        <m:oMath>
          <m:sSub>
            <m:sSubPr>
              <m:ctrlPr>
                <w:rPr>
                  <w:rFonts w:ascii="Cambria Math" w:eastAsiaTheme="minorEastAsia" w:hAnsi="Cambria Math"/>
                  <w:i/>
                </w:rPr>
              </m:ctrlPr>
            </m:sSubPr>
            <m:e>
              <m:r>
                <w:rPr>
                  <w:rFonts w:ascii="Cambria Math" w:eastAsiaTheme="minorEastAsia" w:hAnsi="Cambria Math"/>
                </w:rPr>
                <m:t>Volume_Index</m:t>
              </m:r>
            </m:e>
            <m:sub>
              <m:r>
                <w:rPr>
                  <w:rFonts w:ascii="Cambria Math" w:eastAsiaTheme="minorEastAsia" w:hAnsi="Cambria Math"/>
                </w:rPr>
                <m:t>t</m:t>
              </m:r>
            </m:sub>
          </m:sSub>
          <m:r>
            <w:rPr>
              <w:rFonts w:ascii="Cambria Math" w:hAnsi="Cambria Math"/>
            </w:rPr>
            <m:t>=-2.62+0.037 Tech Companies-0.25</m:t>
          </m:r>
          <m:sSub>
            <m:sSubPr>
              <m:ctrlPr>
                <w:rPr>
                  <w:rFonts w:ascii="Cambria Math" w:eastAsiaTheme="minorEastAsia" w:hAnsi="Cambria Math"/>
                  <w:i/>
                </w:rPr>
              </m:ctrlPr>
            </m:sSubPr>
            <m:e>
              <m:r>
                <w:rPr>
                  <w:rFonts w:ascii="Cambria Math" w:eastAsiaTheme="minorEastAsia" w:hAnsi="Cambria Math"/>
                </w:rPr>
                <m:t>AI</m:t>
              </m:r>
            </m:e>
            <m:sub>
              <m:r>
                <w:rPr>
                  <w:rFonts w:ascii="Cambria Math" w:eastAsiaTheme="minorEastAsia" w:hAnsi="Cambria Math"/>
                </w:rPr>
                <m:t>t</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ε</m:t>
              </m:r>
            </m:e>
            <m:sub>
              <m:r>
                <w:rPr>
                  <w:rFonts w:ascii="Cambria Math" w:eastAsiaTheme="minorEastAsia" w:hAnsi="Cambria Math"/>
                </w:rPr>
                <m:t>t</m:t>
              </m:r>
            </m:sub>
          </m:sSub>
        </m:oMath>
      </m:oMathPara>
    </w:p>
    <w:tbl>
      <w:tblPr>
        <w:tblStyle w:val="TableGrid"/>
        <w:tblW w:w="0" w:type="auto"/>
        <w:tblLook w:val="04A0" w:firstRow="1" w:lastRow="0" w:firstColumn="1" w:lastColumn="0" w:noHBand="0" w:noVBand="1"/>
      </w:tblPr>
      <w:tblGrid>
        <w:gridCol w:w="1313"/>
        <w:gridCol w:w="1376"/>
        <w:gridCol w:w="992"/>
        <w:gridCol w:w="1134"/>
        <w:gridCol w:w="4201"/>
      </w:tblGrid>
      <w:tr w:rsidR="00D31786" w14:paraId="63868661" w14:textId="77777777" w:rsidTr="00513EA7">
        <w:tc>
          <w:tcPr>
            <w:tcW w:w="9016" w:type="dxa"/>
            <w:gridSpan w:val="5"/>
          </w:tcPr>
          <w:p w14:paraId="70EA31D4" w14:textId="2C6C99BE" w:rsidR="00D31786" w:rsidRPr="00D31786" w:rsidRDefault="00D31786" w:rsidP="00D31786">
            <w:pPr>
              <w:jc w:val="center"/>
              <w:rPr>
                <w:b/>
                <w:bCs/>
                <w:color w:val="156082" w:themeColor="accent1"/>
              </w:rPr>
            </w:pPr>
            <w:r w:rsidRPr="00D31786">
              <w:rPr>
                <w:b/>
                <w:bCs/>
                <w:color w:val="156082" w:themeColor="accent1"/>
              </w:rPr>
              <w:t>Nasdaq-100 Volume Z-Scores Dependent Variable</w:t>
            </w:r>
          </w:p>
        </w:tc>
      </w:tr>
      <w:tr w:rsidR="00D31786" w14:paraId="11BDC3FB" w14:textId="77777777" w:rsidTr="0003693F">
        <w:tc>
          <w:tcPr>
            <w:tcW w:w="1313" w:type="dxa"/>
          </w:tcPr>
          <w:p w14:paraId="3ADE1486" w14:textId="3A8AED86" w:rsidR="00D31786" w:rsidRPr="00E262AD" w:rsidRDefault="00D31786" w:rsidP="00D31786">
            <w:pPr>
              <w:jc w:val="center"/>
              <w:rPr>
                <w:color w:val="000000" w:themeColor="text1"/>
              </w:rPr>
            </w:pPr>
            <w:r w:rsidRPr="00E262AD">
              <w:rPr>
                <w:color w:val="000000" w:themeColor="text1"/>
              </w:rPr>
              <w:t>Variable</w:t>
            </w:r>
          </w:p>
        </w:tc>
        <w:tc>
          <w:tcPr>
            <w:tcW w:w="1376" w:type="dxa"/>
          </w:tcPr>
          <w:p w14:paraId="74C637FC" w14:textId="4C21B3BF" w:rsidR="00D31786" w:rsidRPr="00E262AD" w:rsidRDefault="00D31786" w:rsidP="00D31786">
            <w:pPr>
              <w:jc w:val="center"/>
              <w:rPr>
                <w:color w:val="000000" w:themeColor="text1"/>
              </w:rPr>
            </w:pPr>
            <w:r w:rsidRPr="00E262AD">
              <w:rPr>
                <w:color w:val="000000" w:themeColor="text1"/>
              </w:rPr>
              <w:t>Coefficient</w:t>
            </w:r>
          </w:p>
        </w:tc>
        <w:tc>
          <w:tcPr>
            <w:tcW w:w="992" w:type="dxa"/>
          </w:tcPr>
          <w:p w14:paraId="735EC08B" w14:textId="05E3931A" w:rsidR="00D31786" w:rsidRPr="00E262AD" w:rsidRDefault="00D31786" w:rsidP="00D31786">
            <w:pPr>
              <w:jc w:val="center"/>
              <w:rPr>
                <w:color w:val="000000" w:themeColor="text1"/>
              </w:rPr>
            </w:pPr>
            <w:r w:rsidRPr="00E262AD">
              <w:rPr>
                <w:color w:val="000000" w:themeColor="text1"/>
              </w:rPr>
              <w:t>T-ratio</w:t>
            </w:r>
          </w:p>
        </w:tc>
        <w:tc>
          <w:tcPr>
            <w:tcW w:w="1134" w:type="dxa"/>
          </w:tcPr>
          <w:p w14:paraId="150D9A65" w14:textId="22A51D35" w:rsidR="00D31786" w:rsidRPr="00E262AD" w:rsidRDefault="00D31786" w:rsidP="00D31786">
            <w:pPr>
              <w:jc w:val="center"/>
              <w:rPr>
                <w:color w:val="000000" w:themeColor="text1"/>
              </w:rPr>
            </w:pPr>
            <w:r w:rsidRPr="00E262AD">
              <w:rPr>
                <w:color w:val="000000" w:themeColor="text1"/>
              </w:rPr>
              <w:t>P-value</w:t>
            </w:r>
          </w:p>
        </w:tc>
        <w:tc>
          <w:tcPr>
            <w:tcW w:w="4201" w:type="dxa"/>
          </w:tcPr>
          <w:p w14:paraId="45E8DEF2" w14:textId="5038F3FE" w:rsidR="00D31786" w:rsidRPr="00E262AD" w:rsidRDefault="00D31786" w:rsidP="00D31786">
            <w:pPr>
              <w:jc w:val="center"/>
              <w:rPr>
                <w:color w:val="000000" w:themeColor="text1"/>
              </w:rPr>
            </w:pPr>
            <w:r w:rsidRPr="00E262AD">
              <w:rPr>
                <w:color w:val="000000" w:themeColor="text1"/>
              </w:rPr>
              <w:t>Interpretation</w:t>
            </w:r>
          </w:p>
        </w:tc>
      </w:tr>
      <w:tr w:rsidR="00D31786" w14:paraId="7531A098" w14:textId="77777777" w:rsidTr="0003693F">
        <w:tc>
          <w:tcPr>
            <w:tcW w:w="1313" w:type="dxa"/>
          </w:tcPr>
          <w:p w14:paraId="38143466" w14:textId="22BB019A" w:rsidR="00D31786" w:rsidRPr="00E262AD" w:rsidRDefault="00D31786" w:rsidP="0084244E">
            <w:pPr>
              <w:rPr>
                <w:color w:val="000000" w:themeColor="text1"/>
              </w:rPr>
            </w:pPr>
            <w:r w:rsidRPr="00E262AD">
              <w:rPr>
                <w:color w:val="000000" w:themeColor="text1"/>
              </w:rPr>
              <w:t>Constant</w:t>
            </w:r>
          </w:p>
        </w:tc>
        <w:tc>
          <w:tcPr>
            <w:tcW w:w="1376" w:type="dxa"/>
          </w:tcPr>
          <w:p w14:paraId="7A2AFA14" w14:textId="23710894" w:rsidR="00D31786" w:rsidRDefault="00D31786" w:rsidP="0084244E">
            <w:r>
              <w:t>-2.62</w:t>
            </w:r>
          </w:p>
        </w:tc>
        <w:tc>
          <w:tcPr>
            <w:tcW w:w="992" w:type="dxa"/>
          </w:tcPr>
          <w:p w14:paraId="5DC8C6FA" w14:textId="3D135E2E" w:rsidR="00D31786" w:rsidRDefault="00D31786" w:rsidP="0084244E">
            <w:r>
              <w:t>-3.755</w:t>
            </w:r>
          </w:p>
        </w:tc>
        <w:tc>
          <w:tcPr>
            <w:tcW w:w="1134" w:type="dxa"/>
          </w:tcPr>
          <w:p w14:paraId="7A864C71" w14:textId="71B7D96F" w:rsidR="00D31786" w:rsidRDefault="00D31786" w:rsidP="0084244E">
            <w:r>
              <w:t>0.00***</w:t>
            </w:r>
          </w:p>
        </w:tc>
        <w:tc>
          <w:tcPr>
            <w:tcW w:w="4201" w:type="dxa"/>
          </w:tcPr>
          <w:p w14:paraId="0D2F9346" w14:textId="399F81E1" w:rsidR="00D31786" w:rsidRDefault="00B44531" w:rsidP="0084244E">
            <w:r>
              <w:t xml:space="preserve">High significance </w:t>
            </w:r>
          </w:p>
        </w:tc>
      </w:tr>
      <w:tr w:rsidR="00D31786" w14:paraId="074AFE6E" w14:textId="77777777" w:rsidTr="0003693F">
        <w:tc>
          <w:tcPr>
            <w:tcW w:w="1313" w:type="dxa"/>
          </w:tcPr>
          <w:p w14:paraId="0BEAE1F4" w14:textId="12C2DA8E" w:rsidR="00D31786" w:rsidRPr="00E262AD" w:rsidRDefault="00D31786" w:rsidP="0084244E">
            <w:pPr>
              <w:rPr>
                <w:color w:val="000000" w:themeColor="text1"/>
              </w:rPr>
            </w:pPr>
            <w:r w:rsidRPr="00E262AD">
              <w:rPr>
                <w:color w:val="000000" w:themeColor="text1"/>
              </w:rPr>
              <w:t>Tech Companies</w:t>
            </w:r>
          </w:p>
        </w:tc>
        <w:tc>
          <w:tcPr>
            <w:tcW w:w="1376" w:type="dxa"/>
          </w:tcPr>
          <w:p w14:paraId="4CEB157F" w14:textId="5CB17E7B" w:rsidR="00D31786" w:rsidRDefault="00D31786" w:rsidP="0084244E">
            <w:r>
              <w:t>0.037</w:t>
            </w:r>
          </w:p>
        </w:tc>
        <w:tc>
          <w:tcPr>
            <w:tcW w:w="992" w:type="dxa"/>
          </w:tcPr>
          <w:p w14:paraId="71A48A64" w14:textId="5CF2B5C0" w:rsidR="00D31786" w:rsidRDefault="00D31786" w:rsidP="0084244E">
            <w:r>
              <w:t>3.796</w:t>
            </w:r>
          </w:p>
        </w:tc>
        <w:tc>
          <w:tcPr>
            <w:tcW w:w="1134" w:type="dxa"/>
          </w:tcPr>
          <w:p w14:paraId="505E15B0" w14:textId="4D70080C" w:rsidR="00D31786" w:rsidRDefault="00D31786" w:rsidP="0084244E">
            <w:r>
              <w:t>0.00***</w:t>
            </w:r>
          </w:p>
        </w:tc>
        <w:tc>
          <w:tcPr>
            <w:tcW w:w="4201" w:type="dxa"/>
          </w:tcPr>
          <w:p w14:paraId="4472E86A" w14:textId="7BC7B033" w:rsidR="00D31786" w:rsidRDefault="00B44531" w:rsidP="0084244E">
            <w:r>
              <w:t xml:space="preserve">High significance increased public interest is associated with higher trading volume across Nasdaq-100 companies. </w:t>
            </w:r>
          </w:p>
        </w:tc>
      </w:tr>
      <w:tr w:rsidR="00D31786" w14:paraId="088478BD" w14:textId="77777777" w:rsidTr="0003693F">
        <w:tc>
          <w:tcPr>
            <w:tcW w:w="1313" w:type="dxa"/>
          </w:tcPr>
          <w:p w14:paraId="630F8638" w14:textId="5D69C1D3" w:rsidR="00D31786" w:rsidRPr="00E262AD" w:rsidRDefault="00D31786" w:rsidP="0084244E">
            <w:pPr>
              <w:rPr>
                <w:color w:val="000000" w:themeColor="text1"/>
              </w:rPr>
            </w:pPr>
            <w:r w:rsidRPr="00E262AD">
              <w:rPr>
                <w:color w:val="000000" w:themeColor="text1"/>
              </w:rPr>
              <w:t>AI Index</w:t>
            </w:r>
          </w:p>
        </w:tc>
        <w:tc>
          <w:tcPr>
            <w:tcW w:w="1376" w:type="dxa"/>
          </w:tcPr>
          <w:p w14:paraId="659CFE63" w14:textId="18617E79" w:rsidR="00D31786" w:rsidRDefault="00D31786" w:rsidP="0084244E">
            <w:r>
              <w:t>-0.247</w:t>
            </w:r>
          </w:p>
        </w:tc>
        <w:tc>
          <w:tcPr>
            <w:tcW w:w="992" w:type="dxa"/>
          </w:tcPr>
          <w:p w14:paraId="52D81952" w14:textId="16FDDCF7" w:rsidR="00D31786" w:rsidRDefault="00D31786" w:rsidP="0084244E">
            <w:r>
              <w:t>-4.381</w:t>
            </w:r>
          </w:p>
        </w:tc>
        <w:tc>
          <w:tcPr>
            <w:tcW w:w="1134" w:type="dxa"/>
          </w:tcPr>
          <w:p w14:paraId="47503435" w14:textId="20E10174" w:rsidR="00D31786" w:rsidRDefault="00D31786" w:rsidP="0084244E">
            <w:r>
              <w:t>0.00***</w:t>
            </w:r>
          </w:p>
        </w:tc>
        <w:tc>
          <w:tcPr>
            <w:tcW w:w="4201" w:type="dxa"/>
          </w:tcPr>
          <w:p w14:paraId="502F9A5B" w14:textId="1E56206A" w:rsidR="00D31786" w:rsidRDefault="00B44531" w:rsidP="0084244E">
            <w:r>
              <w:t xml:space="preserve">High significance, the greater </w:t>
            </w:r>
            <w:r w:rsidR="0003693F">
              <w:t xml:space="preserve">AI-related public attention correlated with lower overall trading volume, possibly reflecting investor caution. </w:t>
            </w:r>
          </w:p>
          <w:p w14:paraId="6AEFB1CA" w14:textId="3943E7F0" w:rsidR="0003693F" w:rsidRDefault="0003693F" w:rsidP="00250483">
            <w:pPr>
              <w:keepNext/>
            </w:pPr>
            <w:r>
              <w:t>Interesting to note that this result confirms the literature on Jang (2025) that AI speculation is more firm-specific than systematic.</w:t>
            </w:r>
          </w:p>
        </w:tc>
      </w:tr>
    </w:tbl>
    <w:p w14:paraId="05502B3A" w14:textId="4DF4561F" w:rsidR="0084244E" w:rsidRPr="00250483" w:rsidRDefault="00250483" w:rsidP="00250483">
      <w:pPr>
        <w:pStyle w:val="Caption"/>
        <w:jc w:val="center"/>
        <w:rPr>
          <w:color w:val="000000" w:themeColor="text1"/>
        </w:rPr>
      </w:pPr>
      <w:r w:rsidRPr="00250483">
        <w:rPr>
          <w:color w:val="000000" w:themeColor="text1"/>
        </w:rPr>
        <w:t xml:space="preserve">Table </w:t>
      </w:r>
      <w:r w:rsidRPr="00250483">
        <w:rPr>
          <w:color w:val="000000" w:themeColor="text1"/>
        </w:rPr>
        <w:fldChar w:fldCharType="begin"/>
      </w:r>
      <w:r w:rsidRPr="00250483">
        <w:rPr>
          <w:color w:val="000000" w:themeColor="text1"/>
        </w:rPr>
        <w:instrText xml:space="preserve"> SEQ Table \* ARABIC </w:instrText>
      </w:r>
      <w:r w:rsidRPr="00250483">
        <w:rPr>
          <w:color w:val="000000" w:themeColor="text1"/>
        </w:rPr>
        <w:fldChar w:fldCharType="separate"/>
      </w:r>
      <w:r>
        <w:rPr>
          <w:noProof/>
          <w:color w:val="000000" w:themeColor="text1"/>
        </w:rPr>
        <w:t>7</w:t>
      </w:r>
      <w:r w:rsidRPr="00250483">
        <w:rPr>
          <w:color w:val="000000" w:themeColor="text1"/>
        </w:rPr>
        <w:fldChar w:fldCharType="end"/>
      </w:r>
      <w:r w:rsidRPr="00250483">
        <w:rPr>
          <w:color w:val="000000" w:themeColor="text1"/>
        </w:rPr>
        <w:t>: Fitted Model Summary of Volume Z-Scores of Nasdaq-100 against the USA AI Index</w:t>
      </w:r>
    </w:p>
    <w:tbl>
      <w:tblPr>
        <w:tblStyle w:val="TableGrid"/>
        <w:tblW w:w="0" w:type="auto"/>
        <w:tblLook w:val="04A0" w:firstRow="1" w:lastRow="0" w:firstColumn="1" w:lastColumn="0" w:noHBand="0" w:noVBand="1"/>
      </w:tblPr>
      <w:tblGrid>
        <w:gridCol w:w="1980"/>
        <w:gridCol w:w="1276"/>
        <w:gridCol w:w="5760"/>
      </w:tblGrid>
      <w:tr w:rsidR="00D31786" w14:paraId="63A1197D" w14:textId="2CCD1A7C" w:rsidTr="00D31786">
        <w:trPr>
          <w:trHeight w:val="248"/>
        </w:trPr>
        <w:tc>
          <w:tcPr>
            <w:tcW w:w="9016" w:type="dxa"/>
            <w:gridSpan w:val="3"/>
          </w:tcPr>
          <w:p w14:paraId="537DCD2E" w14:textId="74BE203A" w:rsidR="00D31786" w:rsidRPr="00D31786" w:rsidRDefault="00D31786" w:rsidP="00D31786">
            <w:pPr>
              <w:jc w:val="center"/>
              <w:rPr>
                <w:b/>
                <w:bCs/>
              </w:rPr>
            </w:pPr>
            <w:r w:rsidRPr="00D31786">
              <w:rPr>
                <w:b/>
                <w:bCs/>
                <w:color w:val="156082" w:themeColor="accent1"/>
              </w:rPr>
              <w:t>Diagnostic Testing</w:t>
            </w:r>
          </w:p>
        </w:tc>
      </w:tr>
      <w:tr w:rsidR="00D31786" w14:paraId="09A0B916" w14:textId="1C353827" w:rsidTr="00191424">
        <w:tc>
          <w:tcPr>
            <w:tcW w:w="1980" w:type="dxa"/>
          </w:tcPr>
          <w:p w14:paraId="365BB69D" w14:textId="2099F2F3" w:rsidR="00D31786" w:rsidRDefault="00D31786" w:rsidP="0084244E">
            <w:r>
              <w:t>R-squared</w:t>
            </w:r>
          </w:p>
        </w:tc>
        <w:tc>
          <w:tcPr>
            <w:tcW w:w="1276" w:type="dxa"/>
          </w:tcPr>
          <w:p w14:paraId="77797594" w14:textId="5AAE147B" w:rsidR="00D31786" w:rsidRDefault="00D31786" w:rsidP="0084244E">
            <w:r>
              <w:t>0.269 = 27%</w:t>
            </w:r>
          </w:p>
        </w:tc>
        <w:tc>
          <w:tcPr>
            <w:tcW w:w="5760" w:type="dxa"/>
          </w:tcPr>
          <w:p w14:paraId="40B7ECDC" w14:textId="31146C94" w:rsidR="00D31786" w:rsidRDefault="0003693F" w:rsidP="0084244E">
            <w:r>
              <w:t xml:space="preserve">Only 27% of the variation in Volume Z-scores is illustrated by the regressors, but as they were significant, the fitted model is okay. </w:t>
            </w:r>
          </w:p>
        </w:tc>
      </w:tr>
      <w:tr w:rsidR="00D31786" w14:paraId="7F3585BF" w14:textId="6B0692B4" w:rsidTr="00191424">
        <w:tc>
          <w:tcPr>
            <w:tcW w:w="1980" w:type="dxa"/>
          </w:tcPr>
          <w:p w14:paraId="75E94074" w14:textId="2633B81D" w:rsidR="00D31786" w:rsidRDefault="00D31786" w:rsidP="0084244E">
            <w:r>
              <w:t>F-statistic</w:t>
            </w:r>
          </w:p>
        </w:tc>
        <w:tc>
          <w:tcPr>
            <w:tcW w:w="1276" w:type="dxa"/>
          </w:tcPr>
          <w:p w14:paraId="105A9C94" w14:textId="5CE144D6" w:rsidR="00D31786" w:rsidRDefault="00D31786" w:rsidP="0084244E">
            <w:r>
              <w:t>12.70</w:t>
            </w:r>
          </w:p>
        </w:tc>
        <w:tc>
          <w:tcPr>
            <w:tcW w:w="5760" w:type="dxa"/>
          </w:tcPr>
          <w:p w14:paraId="7636FAF9" w14:textId="31DB2EC3" w:rsidR="00D31786" w:rsidRDefault="0003693F" w:rsidP="0084244E">
            <w:r>
              <w:t xml:space="preserve">Overall, the  variables are statistically significant, hence the variables jointly explain a meaningful portion of the variation </w:t>
            </w:r>
          </w:p>
        </w:tc>
      </w:tr>
      <w:tr w:rsidR="00D31786" w14:paraId="30E1D947" w14:textId="36471EC4" w:rsidTr="00191424">
        <w:tc>
          <w:tcPr>
            <w:tcW w:w="1980" w:type="dxa"/>
          </w:tcPr>
          <w:p w14:paraId="4358E221" w14:textId="5D0865BC" w:rsidR="00D31786" w:rsidRDefault="00D31786" w:rsidP="0084244E">
            <w:r>
              <w:t>Durbin-Watson Test Statistics</w:t>
            </w:r>
          </w:p>
        </w:tc>
        <w:tc>
          <w:tcPr>
            <w:tcW w:w="1276" w:type="dxa"/>
          </w:tcPr>
          <w:p w14:paraId="43E7DBA3" w14:textId="50ECD4DC" w:rsidR="00D31786" w:rsidRDefault="00D31786" w:rsidP="0084244E">
            <w:r>
              <w:t>1.030</w:t>
            </w:r>
          </w:p>
        </w:tc>
        <w:tc>
          <w:tcPr>
            <w:tcW w:w="5760" w:type="dxa"/>
          </w:tcPr>
          <w:p w14:paraId="617405DD" w14:textId="2BE8BF46" w:rsidR="00D31786" w:rsidRDefault="0003693F" w:rsidP="0084244E">
            <w:r>
              <w:t>Positive Correlation, indicating errors are not independent over time, giving me biased estimators, hence indicating the need to use HAC (heteros</w:t>
            </w:r>
            <w:r w:rsidR="00191424">
              <w:t>kedasticity autocorrelation consistent errors)</w:t>
            </w:r>
            <w:r>
              <w:t xml:space="preserve"> </w:t>
            </w:r>
          </w:p>
        </w:tc>
      </w:tr>
      <w:tr w:rsidR="00D31786" w14:paraId="5D2CD297" w14:textId="3B11E61F" w:rsidTr="00191424">
        <w:tc>
          <w:tcPr>
            <w:tcW w:w="1980" w:type="dxa"/>
          </w:tcPr>
          <w:p w14:paraId="63594332" w14:textId="2B22A0F7" w:rsidR="00D31786" w:rsidRDefault="00D31786" w:rsidP="0084244E">
            <w:r>
              <w:t>Jarque-Bera Test Statistics</w:t>
            </w:r>
          </w:p>
        </w:tc>
        <w:tc>
          <w:tcPr>
            <w:tcW w:w="1276" w:type="dxa"/>
          </w:tcPr>
          <w:p w14:paraId="7273BD29" w14:textId="0796E140" w:rsidR="00D31786" w:rsidRDefault="00D31786" w:rsidP="0084244E">
            <w:r>
              <w:t>202.422</w:t>
            </w:r>
          </w:p>
        </w:tc>
        <w:tc>
          <w:tcPr>
            <w:tcW w:w="5760" w:type="dxa"/>
          </w:tcPr>
          <w:p w14:paraId="38B61040" w14:textId="20F75AA6" w:rsidR="00D31786" w:rsidRDefault="0003693F" w:rsidP="00250483">
            <w:pPr>
              <w:keepNext/>
            </w:pPr>
            <w:r>
              <w:t xml:space="preserve">The residuals are not normally distributed as indicated by skewness and kurtosis. This affects the robustness of standard errors. </w:t>
            </w:r>
          </w:p>
        </w:tc>
      </w:tr>
    </w:tbl>
    <w:p w14:paraId="57C8C4D3" w14:textId="2E4EF43A" w:rsidR="00191424" w:rsidRDefault="00250483" w:rsidP="00250483">
      <w:pPr>
        <w:pStyle w:val="Caption"/>
        <w:jc w:val="center"/>
        <w:rPr>
          <w:color w:val="000000" w:themeColor="text1"/>
        </w:rPr>
      </w:pPr>
      <w:r w:rsidRPr="00250483">
        <w:rPr>
          <w:color w:val="000000" w:themeColor="text1"/>
        </w:rPr>
        <w:lastRenderedPageBreak/>
        <w:t xml:space="preserve">Table </w:t>
      </w:r>
      <w:r w:rsidRPr="00250483">
        <w:rPr>
          <w:color w:val="000000" w:themeColor="text1"/>
        </w:rPr>
        <w:fldChar w:fldCharType="begin"/>
      </w:r>
      <w:r w:rsidRPr="00250483">
        <w:rPr>
          <w:color w:val="000000" w:themeColor="text1"/>
        </w:rPr>
        <w:instrText xml:space="preserve"> SEQ Table \* ARABIC </w:instrText>
      </w:r>
      <w:r w:rsidRPr="00250483">
        <w:rPr>
          <w:color w:val="000000" w:themeColor="text1"/>
        </w:rPr>
        <w:fldChar w:fldCharType="separate"/>
      </w:r>
      <w:r>
        <w:rPr>
          <w:noProof/>
          <w:color w:val="000000" w:themeColor="text1"/>
        </w:rPr>
        <w:t>8</w:t>
      </w:r>
      <w:r w:rsidRPr="00250483">
        <w:rPr>
          <w:color w:val="000000" w:themeColor="text1"/>
        </w:rPr>
        <w:fldChar w:fldCharType="end"/>
      </w:r>
      <w:r w:rsidRPr="00250483">
        <w:rPr>
          <w:color w:val="000000" w:themeColor="text1"/>
        </w:rPr>
        <w:t xml:space="preserve">: </w:t>
      </w:r>
      <w:r>
        <w:rPr>
          <w:color w:val="000000" w:themeColor="text1"/>
        </w:rPr>
        <w:t>Diagnostic</w:t>
      </w:r>
      <w:r w:rsidRPr="00250483">
        <w:rPr>
          <w:color w:val="000000" w:themeColor="text1"/>
        </w:rPr>
        <w:t xml:space="preserve"> Testing</w:t>
      </w:r>
    </w:p>
    <w:p w14:paraId="02AD91C0" w14:textId="4AB8C5D0" w:rsidR="00250483" w:rsidRPr="00250483" w:rsidRDefault="00250483" w:rsidP="00250483">
      <w:pPr>
        <w:pStyle w:val="Heading1"/>
        <w:numPr>
          <w:ilvl w:val="0"/>
          <w:numId w:val="9"/>
        </w:numPr>
        <w:rPr>
          <w:sz w:val="22"/>
          <w:szCs w:val="22"/>
        </w:rPr>
      </w:pPr>
      <w:bookmarkStart w:id="15" w:name="_Toc220361247"/>
      <w:r w:rsidRPr="00250483">
        <w:rPr>
          <w:sz w:val="22"/>
          <w:szCs w:val="22"/>
        </w:rPr>
        <w:t>FTSE – 100 Companies</w:t>
      </w:r>
      <w:bookmarkEnd w:id="15"/>
      <w:r w:rsidRPr="00250483">
        <w:rPr>
          <w:sz w:val="22"/>
          <w:szCs w:val="22"/>
        </w:rPr>
        <w:t xml:space="preserve"> </w:t>
      </w:r>
    </w:p>
    <w:p w14:paraId="797AE0C1" w14:textId="5CABF303" w:rsidR="00191424" w:rsidRDefault="00000000" w:rsidP="00191424">
      <w:pPr>
        <w:pStyle w:val="ListParagraph"/>
        <w:ind w:left="1080"/>
      </w:pPr>
      <m:oMathPara>
        <m:oMath>
          <m:sSub>
            <m:sSubPr>
              <m:ctrlPr>
                <w:rPr>
                  <w:rFonts w:ascii="Cambria Math" w:eastAsiaTheme="minorEastAsia" w:hAnsi="Cambria Math"/>
                  <w:i/>
                </w:rPr>
              </m:ctrlPr>
            </m:sSubPr>
            <m:e>
              <m:r>
                <w:rPr>
                  <w:rFonts w:ascii="Cambria Math" w:eastAsiaTheme="minorEastAsia" w:hAnsi="Cambria Math"/>
                </w:rPr>
                <m:t>Volume_Index</m:t>
              </m:r>
            </m:e>
            <m:sub>
              <m:r>
                <w:rPr>
                  <w:rFonts w:ascii="Cambria Math" w:eastAsiaTheme="minorEastAsia" w:hAnsi="Cambria Math"/>
                </w:rPr>
                <m:t>t</m:t>
              </m:r>
            </m:sub>
          </m:sSub>
          <m:r>
            <w:rPr>
              <w:rFonts w:ascii="Cambria Math" w:hAnsi="Cambria Math"/>
            </w:rPr>
            <m:t>=-1.68+0.03 Tech Companies</m:t>
          </m:r>
          <m:sSub>
            <m:sSubPr>
              <m:ctrlPr>
                <w:rPr>
                  <w:rFonts w:ascii="Cambria Math" w:eastAsiaTheme="minorEastAsia" w:hAnsi="Cambria Math"/>
                  <w:i/>
                </w:rPr>
              </m:ctrlPr>
            </m:sSubPr>
            <m:e>
              <m:r>
                <w:rPr>
                  <w:rFonts w:ascii="Cambria Math" w:eastAsiaTheme="minorEastAsia" w:hAnsi="Cambria Math"/>
                </w:rPr>
                <m:t>-0.05AI</m:t>
              </m:r>
            </m:e>
            <m:sub>
              <m:r>
                <w:rPr>
                  <w:rFonts w:ascii="Cambria Math" w:eastAsiaTheme="minorEastAsia" w:hAnsi="Cambria Math"/>
                </w:rPr>
                <m:t>t</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ε</m:t>
              </m:r>
            </m:e>
            <m:sub>
              <m:r>
                <w:rPr>
                  <w:rFonts w:ascii="Cambria Math" w:eastAsiaTheme="minorEastAsia" w:hAnsi="Cambria Math"/>
                </w:rPr>
                <m:t>t</m:t>
              </m:r>
            </m:sub>
          </m:sSub>
        </m:oMath>
      </m:oMathPara>
    </w:p>
    <w:tbl>
      <w:tblPr>
        <w:tblStyle w:val="TableGrid"/>
        <w:tblW w:w="0" w:type="auto"/>
        <w:tblLook w:val="04A0" w:firstRow="1" w:lastRow="0" w:firstColumn="1" w:lastColumn="0" w:noHBand="0" w:noVBand="1"/>
      </w:tblPr>
      <w:tblGrid>
        <w:gridCol w:w="1313"/>
        <w:gridCol w:w="1268"/>
        <w:gridCol w:w="958"/>
        <w:gridCol w:w="992"/>
        <w:gridCol w:w="4485"/>
      </w:tblGrid>
      <w:tr w:rsidR="00D31786" w14:paraId="0AD67D50" w14:textId="77777777" w:rsidTr="001D3199">
        <w:tc>
          <w:tcPr>
            <w:tcW w:w="9016" w:type="dxa"/>
            <w:gridSpan w:val="5"/>
          </w:tcPr>
          <w:p w14:paraId="445EFB2B" w14:textId="3E9C7B36" w:rsidR="00D31786" w:rsidRPr="00E262AD" w:rsidRDefault="00E262AD" w:rsidP="00E262AD">
            <w:pPr>
              <w:jc w:val="center"/>
              <w:rPr>
                <w:b/>
                <w:bCs/>
                <w:color w:val="156082" w:themeColor="accent1"/>
              </w:rPr>
            </w:pPr>
            <w:r w:rsidRPr="00E262AD">
              <w:rPr>
                <w:b/>
                <w:bCs/>
                <w:color w:val="156082" w:themeColor="accent1"/>
              </w:rPr>
              <w:t>FTSE-100 Volume Z-Scores Dependent Variable</w:t>
            </w:r>
          </w:p>
        </w:tc>
      </w:tr>
      <w:tr w:rsidR="00D31786" w14:paraId="6AA763A3" w14:textId="77777777" w:rsidTr="00191424">
        <w:tc>
          <w:tcPr>
            <w:tcW w:w="1313" w:type="dxa"/>
          </w:tcPr>
          <w:p w14:paraId="61920D9F" w14:textId="77777777" w:rsidR="00D31786" w:rsidRDefault="00D31786" w:rsidP="001D3199">
            <w:r>
              <w:t>Variable</w:t>
            </w:r>
          </w:p>
        </w:tc>
        <w:tc>
          <w:tcPr>
            <w:tcW w:w="1268" w:type="dxa"/>
          </w:tcPr>
          <w:p w14:paraId="3B21895E" w14:textId="77777777" w:rsidR="00D31786" w:rsidRDefault="00D31786" w:rsidP="001D3199">
            <w:r>
              <w:t>Coefficient</w:t>
            </w:r>
          </w:p>
        </w:tc>
        <w:tc>
          <w:tcPr>
            <w:tcW w:w="958" w:type="dxa"/>
          </w:tcPr>
          <w:p w14:paraId="109FB79D" w14:textId="77777777" w:rsidR="00D31786" w:rsidRDefault="00D31786" w:rsidP="001D3199">
            <w:r>
              <w:t>T-ratio</w:t>
            </w:r>
          </w:p>
        </w:tc>
        <w:tc>
          <w:tcPr>
            <w:tcW w:w="992" w:type="dxa"/>
          </w:tcPr>
          <w:p w14:paraId="5A53BB0E" w14:textId="77777777" w:rsidR="00D31786" w:rsidRDefault="00D31786" w:rsidP="001D3199">
            <w:r>
              <w:t>P-value</w:t>
            </w:r>
          </w:p>
        </w:tc>
        <w:tc>
          <w:tcPr>
            <w:tcW w:w="4485" w:type="dxa"/>
          </w:tcPr>
          <w:p w14:paraId="593BEAB1" w14:textId="77777777" w:rsidR="00D31786" w:rsidRDefault="00D31786" w:rsidP="001D3199">
            <w:r>
              <w:t>Interpretation</w:t>
            </w:r>
          </w:p>
        </w:tc>
      </w:tr>
      <w:tr w:rsidR="00D31786" w14:paraId="603BE0D9" w14:textId="77777777" w:rsidTr="00191424">
        <w:tc>
          <w:tcPr>
            <w:tcW w:w="1313" w:type="dxa"/>
          </w:tcPr>
          <w:p w14:paraId="32A64E2A" w14:textId="77777777" w:rsidR="00D31786" w:rsidRDefault="00D31786" w:rsidP="001D3199">
            <w:r>
              <w:t>Constant</w:t>
            </w:r>
          </w:p>
        </w:tc>
        <w:tc>
          <w:tcPr>
            <w:tcW w:w="1268" w:type="dxa"/>
          </w:tcPr>
          <w:p w14:paraId="311174F4" w14:textId="006BEC9D" w:rsidR="00D31786" w:rsidRDefault="00D31786" w:rsidP="001D3199">
            <w:r>
              <w:t>-</w:t>
            </w:r>
            <w:r w:rsidR="00E262AD">
              <w:t>1.68</w:t>
            </w:r>
          </w:p>
        </w:tc>
        <w:tc>
          <w:tcPr>
            <w:tcW w:w="958" w:type="dxa"/>
          </w:tcPr>
          <w:p w14:paraId="05C08A5D" w14:textId="23885B8E" w:rsidR="00D31786" w:rsidRDefault="00D31786" w:rsidP="001D3199">
            <w:r>
              <w:t>-</w:t>
            </w:r>
            <w:r w:rsidR="00E262AD">
              <w:t>2.49</w:t>
            </w:r>
          </w:p>
        </w:tc>
        <w:tc>
          <w:tcPr>
            <w:tcW w:w="992" w:type="dxa"/>
          </w:tcPr>
          <w:p w14:paraId="4688BD78" w14:textId="44D3BAE1" w:rsidR="00D31786" w:rsidRDefault="00D31786" w:rsidP="001D3199">
            <w:r>
              <w:t>0.</w:t>
            </w:r>
            <w:r w:rsidR="00E262AD">
              <w:t>015</w:t>
            </w:r>
          </w:p>
        </w:tc>
        <w:tc>
          <w:tcPr>
            <w:tcW w:w="4485" w:type="dxa"/>
          </w:tcPr>
          <w:p w14:paraId="06D97A77" w14:textId="34F840FB" w:rsidR="00D31786" w:rsidRDefault="00191424" w:rsidP="001D3199">
            <w:r>
              <w:t xml:space="preserve">Not significant </w:t>
            </w:r>
          </w:p>
        </w:tc>
      </w:tr>
      <w:tr w:rsidR="00D31786" w14:paraId="7F5950C9" w14:textId="77777777" w:rsidTr="00191424">
        <w:tc>
          <w:tcPr>
            <w:tcW w:w="1313" w:type="dxa"/>
          </w:tcPr>
          <w:p w14:paraId="742DD8D1" w14:textId="77777777" w:rsidR="00D31786" w:rsidRDefault="00D31786" w:rsidP="001D3199">
            <w:r>
              <w:t>Tech Companies</w:t>
            </w:r>
          </w:p>
        </w:tc>
        <w:tc>
          <w:tcPr>
            <w:tcW w:w="1268" w:type="dxa"/>
          </w:tcPr>
          <w:p w14:paraId="1DE3D106" w14:textId="27354218" w:rsidR="00D31786" w:rsidRDefault="00E262AD" w:rsidP="001D3199">
            <w:r>
              <w:t>0.03</w:t>
            </w:r>
          </w:p>
        </w:tc>
        <w:tc>
          <w:tcPr>
            <w:tcW w:w="958" w:type="dxa"/>
          </w:tcPr>
          <w:p w14:paraId="47D699D6" w14:textId="495BB327" w:rsidR="00D31786" w:rsidRDefault="00E262AD" w:rsidP="001D3199">
            <w:r>
              <w:t>2.52</w:t>
            </w:r>
          </w:p>
        </w:tc>
        <w:tc>
          <w:tcPr>
            <w:tcW w:w="992" w:type="dxa"/>
          </w:tcPr>
          <w:p w14:paraId="0ED88B99" w14:textId="55A046B8" w:rsidR="00D31786" w:rsidRDefault="00D31786" w:rsidP="001D3199">
            <w:r>
              <w:t>0.0</w:t>
            </w:r>
            <w:r w:rsidR="00E262AD">
              <w:t>14</w:t>
            </w:r>
          </w:p>
        </w:tc>
        <w:tc>
          <w:tcPr>
            <w:tcW w:w="4485" w:type="dxa"/>
          </w:tcPr>
          <w:p w14:paraId="247032CB" w14:textId="32D4175C" w:rsidR="00D31786" w:rsidRDefault="00191424" w:rsidP="001D3199">
            <w:r>
              <w:t xml:space="preserve">Not </w:t>
            </w:r>
            <w:r w:rsidR="00BF638F">
              <w:t xml:space="preserve">statistically </w:t>
            </w:r>
            <w:r>
              <w:t>significant</w:t>
            </w:r>
            <w:r w:rsidR="00BF638F">
              <w:t>,</w:t>
            </w:r>
            <w:r>
              <w:t xml:space="preserve"> </w:t>
            </w:r>
            <w:r w:rsidR="00BF638F">
              <w:t>although it carries a weak association of public interest in Tech companies with higher FTSE-100 trading volume.</w:t>
            </w:r>
          </w:p>
        </w:tc>
      </w:tr>
      <w:tr w:rsidR="00D31786" w14:paraId="1003F991" w14:textId="77777777" w:rsidTr="00191424">
        <w:tc>
          <w:tcPr>
            <w:tcW w:w="1313" w:type="dxa"/>
          </w:tcPr>
          <w:p w14:paraId="207D3452" w14:textId="77777777" w:rsidR="00D31786" w:rsidRDefault="00D31786" w:rsidP="001D3199">
            <w:r>
              <w:t>AI Index</w:t>
            </w:r>
          </w:p>
        </w:tc>
        <w:tc>
          <w:tcPr>
            <w:tcW w:w="1268" w:type="dxa"/>
          </w:tcPr>
          <w:p w14:paraId="7E4CE6A8" w14:textId="26BACBF8" w:rsidR="00D31786" w:rsidRDefault="00D31786" w:rsidP="001D3199">
            <w:r>
              <w:t>-0.</w:t>
            </w:r>
            <w:r w:rsidR="00E262AD">
              <w:t>05</w:t>
            </w:r>
          </w:p>
        </w:tc>
        <w:tc>
          <w:tcPr>
            <w:tcW w:w="958" w:type="dxa"/>
          </w:tcPr>
          <w:p w14:paraId="6739B610" w14:textId="3D2ED67F" w:rsidR="00D31786" w:rsidRDefault="00D31786" w:rsidP="001D3199">
            <w:r>
              <w:t>-</w:t>
            </w:r>
            <w:r w:rsidR="00E262AD">
              <w:t>0.72</w:t>
            </w:r>
          </w:p>
        </w:tc>
        <w:tc>
          <w:tcPr>
            <w:tcW w:w="992" w:type="dxa"/>
          </w:tcPr>
          <w:p w14:paraId="2C0A678B" w14:textId="446D11EB" w:rsidR="00D31786" w:rsidRDefault="00D31786" w:rsidP="001D3199">
            <w:r>
              <w:t>0.</w:t>
            </w:r>
            <w:r w:rsidR="00E262AD">
              <w:t>475</w:t>
            </w:r>
          </w:p>
        </w:tc>
        <w:tc>
          <w:tcPr>
            <w:tcW w:w="4485" w:type="dxa"/>
          </w:tcPr>
          <w:p w14:paraId="26331045" w14:textId="3CDC0C8F" w:rsidR="00D31786" w:rsidRDefault="00BF638F" w:rsidP="001D3199">
            <w:r>
              <w:t>Not statistically significant. This implies AI-related public attention does not influence trading activity in the FTSE100 index.</w:t>
            </w:r>
          </w:p>
        </w:tc>
      </w:tr>
    </w:tbl>
    <w:tbl>
      <w:tblPr>
        <w:tblStyle w:val="TableGrid"/>
        <w:tblpPr w:leftFromText="180" w:rightFromText="180" w:vertAnchor="text" w:horzAnchor="margin" w:tblpY="586"/>
        <w:tblW w:w="0" w:type="auto"/>
        <w:tblLook w:val="04A0" w:firstRow="1" w:lastRow="0" w:firstColumn="1" w:lastColumn="0" w:noHBand="0" w:noVBand="1"/>
      </w:tblPr>
      <w:tblGrid>
        <w:gridCol w:w="2122"/>
        <w:gridCol w:w="1559"/>
        <w:gridCol w:w="5335"/>
      </w:tblGrid>
      <w:tr w:rsidR="00962AD9" w14:paraId="09665703" w14:textId="77777777" w:rsidTr="00250483">
        <w:trPr>
          <w:trHeight w:val="248"/>
        </w:trPr>
        <w:tc>
          <w:tcPr>
            <w:tcW w:w="9016" w:type="dxa"/>
            <w:gridSpan w:val="3"/>
          </w:tcPr>
          <w:p w14:paraId="578AF859" w14:textId="5097C88F" w:rsidR="00962AD9" w:rsidRPr="00D31786" w:rsidRDefault="00962AD9" w:rsidP="00250483">
            <w:pPr>
              <w:jc w:val="center"/>
              <w:rPr>
                <w:b/>
                <w:bCs/>
              </w:rPr>
            </w:pPr>
            <w:r w:rsidRPr="00D31786">
              <w:rPr>
                <w:b/>
                <w:bCs/>
                <w:color w:val="156082" w:themeColor="accent1"/>
              </w:rPr>
              <w:t>Diagnostic Testing</w:t>
            </w:r>
          </w:p>
        </w:tc>
      </w:tr>
      <w:tr w:rsidR="00962AD9" w14:paraId="4FC581AE" w14:textId="77777777" w:rsidTr="00250483">
        <w:tc>
          <w:tcPr>
            <w:tcW w:w="2122" w:type="dxa"/>
          </w:tcPr>
          <w:p w14:paraId="3624B80D" w14:textId="77777777" w:rsidR="00962AD9" w:rsidRDefault="00962AD9" w:rsidP="00250483">
            <w:r>
              <w:t>R-squared</w:t>
            </w:r>
          </w:p>
        </w:tc>
        <w:tc>
          <w:tcPr>
            <w:tcW w:w="1559" w:type="dxa"/>
          </w:tcPr>
          <w:p w14:paraId="39B599C6" w14:textId="77777777" w:rsidR="00962AD9" w:rsidRDefault="00962AD9" w:rsidP="00250483">
            <w:r>
              <w:t>0.103= 10.3%</w:t>
            </w:r>
          </w:p>
        </w:tc>
        <w:tc>
          <w:tcPr>
            <w:tcW w:w="5335" w:type="dxa"/>
          </w:tcPr>
          <w:p w14:paraId="06D90C9C" w14:textId="74CF1C99" w:rsidR="00962AD9" w:rsidRDefault="00BF638F" w:rsidP="00250483">
            <w:r>
              <w:t xml:space="preserve">Weak explanatory power of regressors in explaining the variation of trading volume </w:t>
            </w:r>
          </w:p>
        </w:tc>
      </w:tr>
      <w:tr w:rsidR="00962AD9" w14:paraId="67690437" w14:textId="77777777" w:rsidTr="00250483">
        <w:tc>
          <w:tcPr>
            <w:tcW w:w="2122" w:type="dxa"/>
          </w:tcPr>
          <w:p w14:paraId="670CD536" w14:textId="77777777" w:rsidR="00962AD9" w:rsidRDefault="00962AD9" w:rsidP="00250483">
            <w:r>
              <w:t>F-statistic</w:t>
            </w:r>
          </w:p>
        </w:tc>
        <w:tc>
          <w:tcPr>
            <w:tcW w:w="1559" w:type="dxa"/>
          </w:tcPr>
          <w:p w14:paraId="725C731F" w14:textId="77777777" w:rsidR="00962AD9" w:rsidRDefault="00962AD9" w:rsidP="00250483">
            <w:r>
              <w:t>3.96</w:t>
            </w:r>
          </w:p>
        </w:tc>
        <w:tc>
          <w:tcPr>
            <w:tcW w:w="5335" w:type="dxa"/>
          </w:tcPr>
          <w:p w14:paraId="5FB96BCA" w14:textId="0A09F446" w:rsidR="00962AD9" w:rsidRDefault="00BF638F" w:rsidP="00250483">
            <w:r>
              <w:t xml:space="preserve">Suggests evidence that variables are jointly significant, but only to some extent </w:t>
            </w:r>
          </w:p>
        </w:tc>
      </w:tr>
      <w:tr w:rsidR="00962AD9" w14:paraId="193817C1" w14:textId="77777777" w:rsidTr="00250483">
        <w:tc>
          <w:tcPr>
            <w:tcW w:w="2122" w:type="dxa"/>
          </w:tcPr>
          <w:p w14:paraId="42D39808" w14:textId="77777777" w:rsidR="00962AD9" w:rsidRDefault="00962AD9" w:rsidP="00250483">
            <w:r>
              <w:t>Durbin-Watson Test Statistics</w:t>
            </w:r>
          </w:p>
        </w:tc>
        <w:tc>
          <w:tcPr>
            <w:tcW w:w="1559" w:type="dxa"/>
          </w:tcPr>
          <w:p w14:paraId="4A7C53E1" w14:textId="77777777" w:rsidR="00962AD9" w:rsidRDefault="00962AD9" w:rsidP="00250483">
            <w:r>
              <w:t>1.37</w:t>
            </w:r>
          </w:p>
        </w:tc>
        <w:tc>
          <w:tcPr>
            <w:tcW w:w="5335" w:type="dxa"/>
          </w:tcPr>
          <w:p w14:paraId="1EAACAF0" w14:textId="7902AF9F" w:rsidR="00962AD9" w:rsidRDefault="00BF638F" w:rsidP="00250483">
            <w:r>
              <w:t xml:space="preserve">Positive Autocorrelation violated the OLS assumption of independent errors </w:t>
            </w:r>
          </w:p>
        </w:tc>
      </w:tr>
      <w:tr w:rsidR="00962AD9" w14:paraId="736B8E18" w14:textId="77777777" w:rsidTr="00250483">
        <w:tc>
          <w:tcPr>
            <w:tcW w:w="2122" w:type="dxa"/>
          </w:tcPr>
          <w:p w14:paraId="17F4144B" w14:textId="77777777" w:rsidR="00962AD9" w:rsidRDefault="00962AD9" w:rsidP="00250483">
            <w:r>
              <w:t>Jarque-Bera Test Statistics</w:t>
            </w:r>
          </w:p>
        </w:tc>
        <w:tc>
          <w:tcPr>
            <w:tcW w:w="1559" w:type="dxa"/>
          </w:tcPr>
          <w:p w14:paraId="09BB382C" w14:textId="77777777" w:rsidR="00962AD9" w:rsidRDefault="00962AD9" w:rsidP="00250483">
            <w:r>
              <w:t>298.9</w:t>
            </w:r>
          </w:p>
        </w:tc>
        <w:tc>
          <w:tcPr>
            <w:tcW w:w="5335" w:type="dxa"/>
          </w:tcPr>
          <w:p w14:paraId="6E66A8ED" w14:textId="5A8D454C" w:rsidR="00962AD9" w:rsidRDefault="00BF638F" w:rsidP="00250483">
            <w:r>
              <w:t xml:space="preserve">Highly non-normal error distribution, this also supports that HAC standard errors are more appropriate </w:t>
            </w:r>
          </w:p>
        </w:tc>
      </w:tr>
    </w:tbl>
    <w:p w14:paraId="29E2D07A" w14:textId="6867BB92" w:rsidR="00962AD9" w:rsidRPr="00250483" w:rsidRDefault="00250483" w:rsidP="00250483">
      <w:pPr>
        <w:jc w:val="center"/>
        <w:rPr>
          <w:i/>
          <w:iCs/>
          <w:sz w:val="18"/>
          <w:szCs w:val="18"/>
        </w:rPr>
      </w:pPr>
      <w:r w:rsidRPr="00250483">
        <w:rPr>
          <w:i/>
          <w:iCs/>
          <w:sz w:val="18"/>
          <w:szCs w:val="18"/>
        </w:rPr>
        <w:t>Table 9:</w:t>
      </w:r>
      <w:r w:rsidRPr="00250483">
        <w:rPr>
          <w:i/>
          <w:iCs/>
          <w:color w:val="000000" w:themeColor="text1"/>
          <w:sz w:val="18"/>
          <w:szCs w:val="18"/>
        </w:rPr>
        <w:t xml:space="preserve"> Fitted Model Summary of Volume Z-Scores o</w:t>
      </w:r>
      <w:r>
        <w:rPr>
          <w:i/>
          <w:iCs/>
          <w:color w:val="000000" w:themeColor="text1"/>
          <w:sz w:val="18"/>
          <w:szCs w:val="18"/>
        </w:rPr>
        <w:t>f FTSE</w:t>
      </w:r>
      <w:r w:rsidRPr="00250483">
        <w:rPr>
          <w:i/>
          <w:iCs/>
          <w:color w:val="000000" w:themeColor="text1"/>
          <w:sz w:val="18"/>
          <w:szCs w:val="18"/>
        </w:rPr>
        <w:t>-100 against the UAI Index</w:t>
      </w:r>
    </w:p>
    <w:p w14:paraId="305D229C" w14:textId="510C19AF" w:rsidR="00250483" w:rsidRPr="00250483" w:rsidRDefault="00250483" w:rsidP="00250483">
      <w:pPr>
        <w:jc w:val="center"/>
        <w:rPr>
          <w:i/>
          <w:iCs/>
          <w:sz w:val="18"/>
          <w:szCs w:val="18"/>
        </w:rPr>
      </w:pPr>
      <w:r>
        <w:rPr>
          <w:i/>
          <w:iCs/>
          <w:sz w:val="18"/>
          <w:szCs w:val="18"/>
        </w:rPr>
        <w:t>Table 10: Diagnostic Testing</w:t>
      </w:r>
    </w:p>
    <w:p w14:paraId="350DCA45" w14:textId="264F674F" w:rsidR="00962AD9" w:rsidRPr="00F96F0F" w:rsidRDefault="00191424" w:rsidP="00F96F0F">
      <w:pPr>
        <w:pStyle w:val="ListParagraph"/>
        <w:numPr>
          <w:ilvl w:val="0"/>
          <w:numId w:val="7"/>
        </w:numPr>
        <w:rPr>
          <w:rStyle w:val="Heading1Char"/>
          <w:sz w:val="22"/>
          <w:szCs w:val="22"/>
        </w:rPr>
      </w:pPr>
      <w:r w:rsidRPr="00F96F0F">
        <w:rPr>
          <w:noProof/>
        </w:rPr>
        <w:drawing>
          <wp:anchor distT="0" distB="0" distL="114300" distR="114300" simplePos="0" relativeHeight="251670528" behindDoc="0" locked="0" layoutInCell="1" allowOverlap="1" wp14:anchorId="498EFB47" wp14:editId="4C7C2893">
            <wp:simplePos x="0" y="0"/>
            <wp:positionH relativeFrom="column">
              <wp:posOffset>-175944</wp:posOffset>
            </wp:positionH>
            <wp:positionV relativeFrom="paragraph">
              <wp:posOffset>317989</wp:posOffset>
            </wp:positionV>
            <wp:extent cx="2911475" cy="2676525"/>
            <wp:effectExtent l="0" t="0" r="3175" b="9525"/>
            <wp:wrapTopAndBottom/>
            <wp:docPr id="865902301" name="Picture 1" descr="A graph with a red li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5902301" name="Picture 1" descr="A graph with a red line&#10;&#10;AI-generated content may be incorrect."/>
                    <pic:cNvPicPr/>
                  </pic:nvPicPr>
                  <pic:blipFill>
                    <a:blip r:embed="rId18">
                      <a:extLst>
                        <a:ext uri="{28A0092B-C50C-407E-A947-70E740481C1C}">
                          <a14:useLocalDpi xmlns:a14="http://schemas.microsoft.com/office/drawing/2010/main" val="0"/>
                        </a:ext>
                      </a:extLst>
                    </a:blip>
                    <a:stretch>
                      <a:fillRect/>
                    </a:stretch>
                  </pic:blipFill>
                  <pic:spPr>
                    <a:xfrm>
                      <a:off x="0" y="0"/>
                      <a:ext cx="2911475" cy="2676525"/>
                    </a:xfrm>
                    <a:prstGeom prst="rect">
                      <a:avLst/>
                    </a:prstGeom>
                  </pic:spPr>
                </pic:pic>
              </a:graphicData>
            </a:graphic>
            <wp14:sizeRelH relativeFrom="margin">
              <wp14:pctWidth>0</wp14:pctWidth>
            </wp14:sizeRelH>
            <wp14:sizeRelV relativeFrom="margin">
              <wp14:pctHeight>0</wp14:pctHeight>
            </wp14:sizeRelV>
          </wp:anchor>
        </w:drawing>
      </w:r>
      <w:r w:rsidRPr="00F96F0F">
        <w:rPr>
          <w:noProof/>
        </w:rPr>
        <w:drawing>
          <wp:anchor distT="0" distB="0" distL="114300" distR="114300" simplePos="0" relativeHeight="251677696" behindDoc="0" locked="0" layoutInCell="1" allowOverlap="1" wp14:anchorId="71873D31" wp14:editId="5396D376">
            <wp:simplePos x="0" y="0"/>
            <wp:positionH relativeFrom="margin">
              <wp:posOffset>2953190</wp:posOffset>
            </wp:positionH>
            <wp:positionV relativeFrom="paragraph">
              <wp:posOffset>338211</wp:posOffset>
            </wp:positionV>
            <wp:extent cx="2907665" cy="2778125"/>
            <wp:effectExtent l="0" t="0" r="6985" b="3175"/>
            <wp:wrapTopAndBottom/>
            <wp:docPr id="1800001789" name="Picture 1" descr="A graph with blue dots and red li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881426" name="Picture 1" descr="A graph with blue dots and red line&#10;&#10;AI-generated content may be incorrect."/>
                    <pic:cNvPicPr/>
                  </pic:nvPicPr>
                  <pic:blipFill>
                    <a:blip r:embed="rId19">
                      <a:extLst>
                        <a:ext uri="{28A0092B-C50C-407E-A947-70E740481C1C}">
                          <a14:useLocalDpi xmlns:a14="http://schemas.microsoft.com/office/drawing/2010/main" val="0"/>
                        </a:ext>
                      </a:extLst>
                    </a:blip>
                    <a:stretch>
                      <a:fillRect/>
                    </a:stretch>
                  </pic:blipFill>
                  <pic:spPr>
                    <a:xfrm>
                      <a:off x="0" y="0"/>
                      <a:ext cx="2907665" cy="2778125"/>
                    </a:xfrm>
                    <a:prstGeom prst="rect">
                      <a:avLst/>
                    </a:prstGeom>
                  </pic:spPr>
                </pic:pic>
              </a:graphicData>
            </a:graphic>
            <wp14:sizeRelH relativeFrom="margin">
              <wp14:pctWidth>0</wp14:pctWidth>
            </wp14:sizeRelH>
            <wp14:sizeRelV relativeFrom="margin">
              <wp14:pctHeight>0</wp14:pctHeight>
            </wp14:sizeRelV>
          </wp:anchor>
        </w:drawing>
      </w:r>
      <w:r w:rsidRPr="00F96F0F">
        <w:rPr>
          <w:noProof/>
        </w:rPr>
        <mc:AlternateContent>
          <mc:Choice Requires="wps">
            <w:drawing>
              <wp:anchor distT="0" distB="0" distL="114300" distR="114300" simplePos="0" relativeHeight="251675648" behindDoc="0" locked="0" layoutInCell="1" allowOverlap="1" wp14:anchorId="42F14960" wp14:editId="6119EEA9">
                <wp:simplePos x="0" y="0"/>
                <wp:positionH relativeFrom="margin">
                  <wp:align>center</wp:align>
                </wp:positionH>
                <wp:positionV relativeFrom="paragraph">
                  <wp:posOffset>3126349</wp:posOffset>
                </wp:positionV>
                <wp:extent cx="3823335" cy="635"/>
                <wp:effectExtent l="0" t="0" r="5715" b="0"/>
                <wp:wrapTopAndBottom/>
                <wp:docPr id="1014588155" name="Text Box 1"/>
                <wp:cNvGraphicFramePr/>
                <a:graphic xmlns:a="http://schemas.openxmlformats.org/drawingml/2006/main">
                  <a:graphicData uri="http://schemas.microsoft.com/office/word/2010/wordprocessingShape">
                    <wps:wsp>
                      <wps:cNvSpPr txBox="1"/>
                      <wps:spPr>
                        <a:xfrm>
                          <a:off x="0" y="0"/>
                          <a:ext cx="3823335" cy="635"/>
                        </a:xfrm>
                        <a:prstGeom prst="rect">
                          <a:avLst/>
                        </a:prstGeom>
                        <a:solidFill>
                          <a:prstClr val="white"/>
                        </a:solidFill>
                        <a:ln>
                          <a:noFill/>
                        </a:ln>
                      </wps:spPr>
                      <wps:txbx>
                        <w:txbxContent>
                          <w:p w14:paraId="380E7FDD" w14:textId="53FAAC00" w:rsidR="00584FD9" w:rsidRPr="00584FD9" w:rsidRDefault="00584FD9" w:rsidP="00584FD9">
                            <w:pPr>
                              <w:pStyle w:val="Caption"/>
                              <w:jc w:val="center"/>
                              <w:rPr>
                                <w:color w:val="000000" w:themeColor="text1"/>
                                <w:sz w:val="22"/>
                                <w:szCs w:val="22"/>
                              </w:rPr>
                            </w:pPr>
                            <w:r w:rsidRPr="00584FD9">
                              <w:rPr>
                                <w:color w:val="000000" w:themeColor="text1"/>
                              </w:rPr>
                              <w:t xml:space="preserve">Figure </w:t>
                            </w:r>
                            <w:r w:rsidR="00250483">
                              <w:rPr>
                                <w:color w:val="000000" w:themeColor="text1"/>
                              </w:rPr>
                              <w:t>5</w:t>
                            </w:r>
                            <w:r w:rsidRPr="00584FD9">
                              <w:rPr>
                                <w:color w:val="000000" w:themeColor="text1"/>
                              </w:rPr>
                              <w:t>: QQ-Plot of FTSE-100</w:t>
                            </w:r>
                            <w:r w:rsidR="00BF638F">
                              <w:rPr>
                                <w:color w:val="000000" w:themeColor="text1"/>
                              </w:rPr>
                              <w:t xml:space="preserve"> and Nasdaq-100 </w:t>
                            </w:r>
                            <w:r w:rsidRPr="00584FD9">
                              <w:rPr>
                                <w:color w:val="000000" w:themeColor="text1"/>
                              </w:rPr>
                              <w:t xml:space="preserve"> Fitted Model Residuals</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42F14960" id="_x0000_s1039" type="#_x0000_t202" style="position:absolute;left:0;text-align:left;margin-left:0;margin-top:246.15pt;width:301.05pt;height:.05pt;z-index:251675648;visibility:visible;mso-wrap-style:squar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" stroked="f">
                <v:textbox style="mso-fit-shape-to-text:t" inset="0,0,0,0">
                  <w:txbxContent>
                    <w:p w14:paraId="380E7FDD" w14:textId="53FAAC00" w:rsidR="00584FD9" w:rsidRPr="00584FD9" w:rsidRDefault="00584FD9" w:rsidP="00584FD9">
                      <w:pPr>
                        <w:pStyle w:val="Caption"/>
                        <w:jc w:val="center"/>
                        <w:rPr>
                          <w:color w:val="000000" w:themeColor="text1"/>
                          <w:sz w:val="22"/>
                          <w:szCs w:val="22"/>
                        </w:rPr>
                      </w:pPr>
                      <w:r w:rsidRPr="00584FD9">
                        <w:rPr>
                          <w:color w:val="000000" w:themeColor="text1"/>
                        </w:rPr>
                        <w:t xml:space="preserve">Figure </w:t>
                      </w:r>
                      <w:r w:rsidR="00250483">
                        <w:rPr>
                          <w:color w:val="000000" w:themeColor="text1"/>
                        </w:rPr>
                        <w:t>5</w:t>
                      </w:r>
                      <w:r w:rsidRPr="00584FD9">
                        <w:rPr>
                          <w:color w:val="000000" w:themeColor="text1"/>
                        </w:rPr>
                        <w:t>: QQ-Plot of FTSE-100</w:t>
                      </w:r>
                      <w:r w:rsidR="00BF638F">
                        <w:rPr>
                          <w:color w:val="000000" w:themeColor="text1"/>
                        </w:rPr>
                        <w:t xml:space="preserve"> and Nasdaq-100 </w:t>
                      </w:r>
                      <w:r w:rsidRPr="00584FD9">
                        <w:rPr>
                          <w:color w:val="000000" w:themeColor="text1"/>
                        </w:rPr>
                        <w:t xml:space="preserve"> Fitted Model Residuals</w:t>
                      </w:r>
                    </w:p>
                  </w:txbxContent>
                </v:textbox>
                <w10:wrap type="topAndBottom" anchorx="margin"/>
              </v:shape>
            </w:pict>
          </mc:Fallback>
        </mc:AlternateContent>
      </w:r>
      <w:bookmarkStart w:id="16" w:name="_Toc220361248"/>
      <w:r w:rsidR="00F96F0F" w:rsidRPr="00F96F0F">
        <w:rPr>
          <w:rStyle w:val="Heading1Char"/>
          <w:sz w:val="22"/>
          <w:szCs w:val="22"/>
        </w:rPr>
        <w:t xml:space="preserve">Residual </w:t>
      </w:r>
      <w:r w:rsidR="00962AD9" w:rsidRPr="00F96F0F">
        <w:rPr>
          <w:rStyle w:val="Heading1Char"/>
          <w:sz w:val="22"/>
          <w:szCs w:val="22"/>
        </w:rPr>
        <w:t>Analysis</w:t>
      </w:r>
      <w:bookmarkEnd w:id="16"/>
    </w:p>
    <w:p w14:paraId="6B8A0FCD" w14:textId="4FAB4927" w:rsidR="00962AD9" w:rsidRDefault="00BF638F" w:rsidP="001A62CA">
      <w:pPr>
        <w:jc w:val="both"/>
      </w:pPr>
      <w:r>
        <w:t>The QQ-plot shows that most residuals lie close to the theoretical normal line, but the deviations suggest the presence of non-normality and outliers</w:t>
      </w:r>
      <w:r w:rsidR="001A62CA">
        <w:t xml:space="preserve">. This undermines the reliability of standard </w:t>
      </w:r>
      <w:r w:rsidR="001A62CA">
        <w:lastRenderedPageBreak/>
        <w:t xml:space="preserve">OLS estimators and suggests the use of HAC errors. However, the normalisation of Volume and PCA-derived AI index exhibits non-Gaussian features, meaning it does not follow a normal distribution(Brookes, 2019). These characteristics can propagate into regression residuals even with corrected robust errors. The normality fails due to dependent and independent variables containing extreme values. </w:t>
      </w:r>
    </w:p>
    <w:p w14:paraId="46B95A75" w14:textId="67C58D14" w:rsidR="00584FD9" w:rsidRDefault="009102A7" w:rsidP="009102A7">
      <w:pPr>
        <w:pStyle w:val="Heading1"/>
        <w:numPr>
          <w:ilvl w:val="0"/>
          <w:numId w:val="6"/>
        </w:numPr>
        <w:rPr>
          <w:sz w:val="22"/>
          <w:szCs w:val="22"/>
        </w:rPr>
      </w:pPr>
      <w:bookmarkStart w:id="17" w:name="_Toc220361249"/>
      <w:r w:rsidRPr="009102A7">
        <w:rPr>
          <w:sz w:val="22"/>
          <w:szCs w:val="22"/>
        </w:rPr>
        <w:t>Conclusion</w:t>
      </w:r>
      <w:bookmarkEnd w:id="17"/>
    </w:p>
    <w:p w14:paraId="49F554AA" w14:textId="28F50BFA" w:rsidR="009102A7" w:rsidRPr="009102A7" w:rsidRDefault="009102A7" w:rsidP="00A67133">
      <w:pPr>
        <w:jc w:val="both"/>
      </w:pPr>
      <w:r>
        <w:t>In conclusion, the fi</w:t>
      </w:r>
      <w:r w:rsidR="00A67133">
        <w:t xml:space="preserve">ndings show that AI-related investor attention influences trading behaviour unevenly across the indices. It is weakly negative influence on Nasdaq-100 but no significant influence on FTSE-100 companies. These findings suggest that Nasdaq-100 volumes have a significant relationship between tech sector interest and PCA-derived AI index, weakly suggesting speculative dynamics, but the investor focus is heavier due to interest in the Technological Sector. This also iterated the literature represented by Jang (2025) that a few firms with explosive volatility, like Nvidia, possess speculative and AI bubble dynamics rather than the market collective. In contrast, FTSE-100 volumes show no sensitivity to AI attention, reinforcing the view that current AI hype is selective to specific firms. Although diagnostic tests highlight the limitation in the model precision, the plotting and summary statistics support the hypothesis that AI-driven speculation is stronger in a tech-centric market than in diversified indices. </w:t>
      </w:r>
    </w:p>
    <w:p w14:paraId="37AEE104" w14:textId="6280E467" w:rsidR="0084244E" w:rsidRDefault="0084244E" w:rsidP="0084244E"/>
    <w:p w14:paraId="657770E1" w14:textId="77777777" w:rsidR="006478B8" w:rsidRDefault="006478B8" w:rsidP="0084244E"/>
    <w:p w14:paraId="4D7AB765" w14:textId="77777777" w:rsidR="006478B8" w:rsidRDefault="006478B8" w:rsidP="0084244E"/>
    <w:p w14:paraId="202B0DEC" w14:textId="2294E558" w:rsidR="0084244E" w:rsidRDefault="0084244E" w:rsidP="0084244E"/>
    <w:p w14:paraId="5E0C6D8B" w14:textId="372B7559" w:rsidR="0084244E" w:rsidRDefault="0084244E" w:rsidP="0084244E"/>
    <w:p w14:paraId="4F026D4A" w14:textId="77777777" w:rsidR="0084244E" w:rsidRDefault="0084244E" w:rsidP="0084244E"/>
    <w:p w14:paraId="29D7ED7B" w14:textId="77777777" w:rsidR="0084244E" w:rsidRDefault="0084244E" w:rsidP="0084244E"/>
    <w:p w14:paraId="2E51CA27" w14:textId="3550ACFC" w:rsidR="0084244E" w:rsidRDefault="0084244E" w:rsidP="0084244E"/>
    <w:p w14:paraId="2919D664" w14:textId="5B9F64C8" w:rsidR="0084244E" w:rsidRDefault="0084244E" w:rsidP="0084244E"/>
    <w:p w14:paraId="13783E21" w14:textId="77777777" w:rsidR="0084244E" w:rsidRDefault="0084244E" w:rsidP="0084244E"/>
    <w:p w14:paraId="6347E277" w14:textId="77777777" w:rsidR="0084244E" w:rsidRDefault="0084244E" w:rsidP="0084244E"/>
    <w:p w14:paraId="29A9E47C" w14:textId="77777777" w:rsidR="0084244E" w:rsidRDefault="0084244E" w:rsidP="0084244E"/>
    <w:p w14:paraId="5CA93289" w14:textId="77777777" w:rsidR="0084244E" w:rsidRDefault="0084244E" w:rsidP="0084244E"/>
    <w:p w14:paraId="66A88C19" w14:textId="77777777" w:rsidR="0084244E" w:rsidRDefault="0084244E" w:rsidP="0084244E"/>
    <w:p w14:paraId="64C4100B" w14:textId="77777777" w:rsidR="0084244E" w:rsidRDefault="0084244E" w:rsidP="0084244E"/>
    <w:p w14:paraId="652B097B" w14:textId="77777777" w:rsidR="0084244E" w:rsidRDefault="0084244E" w:rsidP="0084244E"/>
    <w:p w14:paraId="07074F0F" w14:textId="77777777" w:rsidR="0084244E" w:rsidRDefault="0084244E" w:rsidP="0084244E"/>
    <w:p w14:paraId="053528C5" w14:textId="77777777" w:rsidR="0084244E" w:rsidRDefault="0084244E" w:rsidP="0084244E"/>
    <w:p w14:paraId="7A11CAA3" w14:textId="77777777" w:rsidR="00B332FF" w:rsidRDefault="00B332FF" w:rsidP="0084244E"/>
    <w:p w14:paraId="4B4AF80D" w14:textId="77777777" w:rsidR="00C91B92" w:rsidRDefault="00C91B92" w:rsidP="00C91B92">
      <w:r>
        <w:lastRenderedPageBreak/>
        <w:t xml:space="preserve">References: </w:t>
      </w:r>
    </w:p>
    <w:p w14:paraId="161AD654" w14:textId="77777777" w:rsidR="00C91B92" w:rsidRDefault="00C91B92" w:rsidP="00C91B92">
      <w:pPr>
        <w:ind w:left="720" w:hanging="720"/>
      </w:pPr>
      <w:r w:rsidRPr="00177533">
        <w:t xml:space="preserve">Baker, M. &amp; Wurgler, J. (2007). </w:t>
      </w:r>
      <w:r>
        <w:t>‘</w:t>
      </w:r>
      <w:r w:rsidRPr="00177533">
        <w:t>Investor Sentiment in the Stock Market</w:t>
      </w:r>
      <w:r>
        <w:t>’</w:t>
      </w:r>
      <w:r w:rsidRPr="00177533">
        <w:t xml:space="preserve">. </w:t>
      </w:r>
      <w:r w:rsidRPr="00177533">
        <w:rPr>
          <w:i/>
          <w:iCs/>
        </w:rPr>
        <w:t>Journal of Economic Perspectives</w:t>
      </w:r>
      <w:r w:rsidRPr="00177533">
        <w:t>, 21(2), 129–151.</w:t>
      </w:r>
    </w:p>
    <w:p w14:paraId="1E9D128F" w14:textId="77777777" w:rsidR="00C91B92" w:rsidRDefault="00C91B92" w:rsidP="00C91B92">
      <w:pPr>
        <w:ind w:left="720" w:hanging="720"/>
      </w:pPr>
      <w:r w:rsidRPr="0068063A">
        <w:t xml:space="preserve">Baker, M. and Stein, J.C. (2004). </w:t>
      </w:r>
      <w:r>
        <w:t>‘</w:t>
      </w:r>
      <w:r w:rsidRPr="0068063A">
        <w:t>Market liquidity as a sentiment indicator</w:t>
      </w:r>
      <w:r>
        <w:t>’</w:t>
      </w:r>
      <w:r w:rsidRPr="0068063A">
        <w:t>. </w:t>
      </w:r>
      <w:r w:rsidRPr="0068063A">
        <w:rPr>
          <w:i/>
          <w:iCs/>
        </w:rPr>
        <w:t>Journal of Financial Markets</w:t>
      </w:r>
      <w:r w:rsidRPr="0068063A">
        <w:t xml:space="preserve">, 7(3), pp.271–299. </w:t>
      </w:r>
      <w:r>
        <w:t>Available at</w:t>
      </w:r>
      <w:r w:rsidRPr="0068063A">
        <w:t xml:space="preserve">: </w:t>
      </w:r>
      <w:hyperlink r:id="rId20" w:history="1">
        <w:r w:rsidRPr="002D42D0">
          <w:rPr>
            <w:rStyle w:val="Hyperlink"/>
          </w:rPr>
          <w:t>HTTPs</w:t>
        </w:r>
        <w:r w:rsidRPr="0068063A">
          <w:rPr>
            <w:rStyle w:val="Hyperlink"/>
          </w:rPr>
          <w:t>://doi.org/10.1016/j.finmar.2003.11.005</w:t>
        </w:r>
      </w:hyperlink>
      <w:r w:rsidRPr="0068063A">
        <w:t>.</w:t>
      </w:r>
    </w:p>
    <w:p w14:paraId="0ADDBAB7" w14:textId="77777777" w:rsidR="00C91B92" w:rsidRDefault="00C91B92" w:rsidP="00C91B92">
      <w:pPr>
        <w:ind w:left="720" w:hanging="720"/>
      </w:pPr>
      <w:r w:rsidRPr="00832D6F">
        <w:t>Chen, J. (2023). </w:t>
      </w:r>
      <w:r>
        <w:t>‘</w:t>
      </w:r>
      <w:r w:rsidRPr="00832D6F">
        <w:rPr>
          <w:i/>
          <w:iCs/>
        </w:rPr>
        <w:t>Speculation: Trading with High Risks, High Potential Rewards</w:t>
      </w:r>
      <w:r>
        <w:rPr>
          <w:i/>
          <w:iCs/>
        </w:rPr>
        <w:t>’</w:t>
      </w:r>
      <w:r w:rsidRPr="00832D6F">
        <w:t xml:space="preserve">. [online] Investopedia. Available at: </w:t>
      </w:r>
      <w:hyperlink r:id="rId21" w:history="1">
        <w:r w:rsidRPr="00832D6F">
          <w:rPr>
            <w:rStyle w:val="Hyperlink"/>
          </w:rPr>
          <w:t>https://www.investopedia.com/terms/s/speculation.asp</w:t>
        </w:r>
      </w:hyperlink>
      <w:r w:rsidRPr="00832D6F">
        <w:t>.</w:t>
      </w:r>
    </w:p>
    <w:p w14:paraId="7750ABE2" w14:textId="77777777" w:rsidR="00C91B92" w:rsidRDefault="00C91B92" w:rsidP="00C91B92">
      <w:pPr>
        <w:ind w:left="720" w:hanging="720"/>
      </w:pPr>
      <w:r w:rsidRPr="002A31C1">
        <w:t xml:space="preserve">Da, Z., Engelberg, J. and Gao, P. (2011). </w:t>
      </w:r>
      <w:r>
        <w:t>‘</w:t>
      </w:r>
      <w:r w:rsidRPr="002A31C1">
        <w:t>In Search of Attention</w:t>
      </w:r>
      <w:r>
        <w:t>’</w:t>
      </w:r>
      <w:r w:rsidRPr="002A31C1">
        <w:t xml:space="preserve">. </w:t>
      </w:r>
      <w:r w:rsidRPr="002A31C1">
        <w:rPr>
          <w:i/>
          <w:iCs/>
        </w:rPr>
        <w:t>The Journal of Finance</w:t>
      </w:r>
      <w:r w:rsidRPr="002A31C1">
        <w:t>,</w:t>
      </w:r>
      <w:r>
        <w:t xml:space="preserve"> </w:t>
      </w:r>
      <w:r w:rsidRPr="002A31C1">
        <w:t xml:space="preserve">66(5), pp.1461–1499. </w:t>
      </w:r>
      <w:r>
        <w:t>Available at</w:t>
      </w:r>
      <w:r w:rsidRPr="002A31C1">
        <w:t xml:space="preserve">: </w:t>
      </w:r>
      <w:hyperlink r:id="rId22" w:history="1">
        <w:r w:rsidRPr="002D42D0">
          <w:rPr>
            <w:rStyle w:val="Hyperlink"/>
          </w:rPr>
          <w:t>HTTPs</w:t>
        </w:r>
        <w:r w:rsidRPr="002A31C1">
          <w:rPr>
            <w:rStyle w:val="Hyperlink"/>
          </w:rPr>
          <w:t>://doi.org/10.1111/j.1540-6261.2011.01679.x</w:t>
        </w:r>
      </w:hyperlink>
    </w:p>
    <w:p w14:paraId="6CDF0026" w14:textId="77777777" w:rsidR="00C91B92" w:rsidRDefault="00C91B92" w:rsidP="00C91B92">
      <w:pPr>
        <w:ind w:left="720" w:hanging="720"/>
      </w:pPr>
      <w:proofErr w:type="spellStart"/>
      <w:r w:rsidRPr="009502AB">
        <w:t>Floridi</w:t>
      </w:r>
      <w:proofErr w:type="spellEnd"/>
      <w:r w:rsidRPr="009502AB">
        <w:t>, L. (2024). Why the AI Hype is Another Tech Bubble. </w:t>
      </w:r>
      <w:r w:rsidRPr="009502AB">
        <w:rPr>
          <w:i/>
          <w:iCs/>
        </w:rPr>
        <w:t>Philosophy &amp; Technology</w:t>
      </w:r>
      <w:r w:rsidRPr="009502AB">
        <w:t xml:space="preserve">, 37(4). </w:t>
      </w:r>
      <w:r>
        <w:t>Available at</w:t>
      </w:r>
      <w:r w:rsidRPr="009502AB">
        <w:t xml:space="preserve">: </w:t>
      </w:r>
      <w:hyperlink r:id="rId23" w:history="1">
        <w:r w:rsidRPr="00697A8A">
          <w:rPr>
            <w:rStyle w:val="Hyperlink"/>
          </w:rPr>
          <w:t>HTTPs://doi.org/10.1007/s13347-024-00817-w</w:t>
        </w:r>
      </w:hyperlink>
      <w:r w:rsidRPr="009502AB">
        <w:t>.</w:t>
      </w:r>
    </w:p>
    <w:p w14:paraId="0EC84E63" w14:textId="10D515D5" w:rsidR="0025769A" w:rsidRDefault="0025769A" w:rsidP="0025769A">
      <w:pPr>
        <w:ind w:left="720" w:hanging="720"/>
      </w:pPr>
      <w:r w:rsidRPr="0025769A">
        <w:t>Google (2023). </w:t>
      </w:r>
      <w:r w:rsidRPr="0025769A">
        <w:rPr>
          <w:i/>
          <w:iCs/>
        </w:rPr>
        <w:t>Google Finance - Stock Market Prices, Real-time Quotes &amp; Business News</w:t>
      </w:r>
      <w:r w:rsidRPr="0025769A">
        <w:t xml:space="preserve">. www.google.com. Available at: </w:t>
      </w:r>
      <w:hyperlink r:id="rId24" w:history="1">
        <w:r w:rsidRPr="00CD649C">
          <w:rPr>
            <w:rStyle w:val="Hyperlink"/>
          </w:rPr>
          <w:t>https://www.google.com/finance/?hl=en</w:t>
        </w:r>
      </w:hyperlink>
      <w:r w:rsidRPr="0025769A">
        <w:t>.</w:t>
      </w:r>
    </w:p>
    <w:p w14:paraId="4215A62B" w14:textId="77777777" w:rsidR="00C91B92" w:rsidRDefault="00C91B92" w:rsidP="00C91B92">
      <w:pPr>
        <w:ind w:left="720" w:hanging="720"/>
      </w:pPr>
      <w:r w:rsidRPr="00832D6F">
        <w:t>Hayes, A. (2024). </w:t>
      </w:r>
      <w:r>
        <w:t>‘</w:t>
      </w:r>
      <w:r w:rsidRPr="00832D6F">
        <w:rPr>
          <w:i/>
          <w:iCs/>
        </w:rPr>
        <w:t>Dotcom Bubble Definition</w:t>
      </w:r>
      <w:r>
        <w:rPr>
          <w:i/>
          <w:iCs/>
        </w:rPr>
        <w:t>’</w:t>
      </w:r>
      <w:r w:rsidRPr="00832D6F">
        <w:t xml:space="preserve">. [online] Investopedia. Available at: </w:t>
      </w:r>
      <w:hyperlink r:id="rId25" w:history="1">
        <w:r w:rsidRPr="00832D6F">
          <w:rPr>
            <w:rStyle w:val="Hyperlink"/>
          </w:rPr>
          <w:t>https://www.investopedia.com/terms/d/dotcom-bubble.asp</w:t>
        </w:r>
      </w:hyperlink>
      <w:r w:rsidRPr="00832D6F">
        <w:t>.</w:t>
      </w:r>
    </w:p>
    <w:p w14:paraId="53949CE8" w14:textId="77777777" w:rsidR="00C91B92" w:rsidRDefault="00C91B92" w:rsidP="00C91B92">
      <w:pPr>
        <w:ind w:left="720" w:hanging="720"/>
      </w:pPr>
      <w:r w:rsidRPr="00A133A3">
        <w:t xml:space="preserve">Jung, W. (2025). Is the AI bubble Real? A Time Series Analysis on Unit Root Process and Volatility of Financial Bubble Dynamics. </w:t>
      </w:r>
      <w:r>
        <w:t xml:space="preserve">Available at: </w:t>
      </w:r>
      <w:hyperlink r:id="rId26" w:history="1">
        <w:r w:rsidRPr="00242E53">
          <w:rPr>
            <w:rStyle w:val="Hyperlink"/>
          </w:rPr>
          <w:t>HTTPs://doi.org/10.2139/ssrn.5340813</w:t>
        </w:r>
      </w:hyperlink>
    </w:p>
    <w:p w14:paraId="07544F98" w14:textId="77777777" w:rsidR="00C91B92" w:rsidRDefault="00C91B92" w:rsidP="00C91B92">
      <w:pPr>
        <w:ind w:left="720" w:hanging="720"/>
      </w:pPr>
      <w:r w:rsidRPr="00AA1ABA">
        <w:t>Karpoff, J.M. and Walkling, R.A. (1988). Short-term trading around ex-dividend days. </w:t>
      </w:r>
      <w:r w:rsidRPr="00AA1ABA">
        <w:rPr>
          <w:i/>
          <w:iCs/>
        </w:rPr>
        <w:t>Journal of Financial Economics</w:t>
      </w:r>
      <w:r w:rsidRPr="00AA1ABA">
        <w:t xml:space="preserve">, 21(2), pp.291–298. </w:t>
      </w:r>
      <w:r>
        <w:t>Available at</w:t>
      </w:r>
      <w:r w:rsidRPr="00AA1ABA">
        <w:t xml:space="preserve">: </w:t>
      </w:r>
      <w:hyperlink r:id="rId27" w:history="1">
        <w:r w:rsidRPr="00697A8A">
          <w:rPr>
            <w:rStyle w:val="Hyperlink"/>
          </w:rPr>
          <w:t>https://doi.org/10.1016/0304-405x(88)90063-3</w:t>
        </w:r>
      </w:hyperlink>
    </w:p>
    <w:p w14:paraId="487E2F7E" w14:textId="77777777" w:rsidR="00C91B92" w:rsidRDefault="00C91B92" w:rsidP="00C91B92">
      <w:pPr>
        <w:ind w:left="720" w:hanging="720"/>
      </w:pPr>
      <w:r w:rsidRPr="00406770">
        <w:t xml:space="preserve">Raza, S., </w:t>
      </w:r>
      <w:proofErr w:type="spellStart"/>
      <w:r w:rsidRPr="00406770">
        <w:t>Baiqing</w:t>
      </w:r>
      <w:proofErr w:type="spellEnd"/>
      <w:r w:rsidRPr="00406770">
        <w:t xml:space="preserve">, S., Soltani, H. and Ben-Salha, O. (2025). </w:t>
      </w:r>
      <w:r>
        <w:t>‘</w:t>
      </w:r>
      <w:r w:rsidRPr="00406770">
        <w:t xml:space="preserve">Investor Attention, Market Dynamics, and </w:t>
      </w:r>
      <w:r>
        <w:t>Behavioural</w:t>
      </w:r>
      <w:r w:rsidRPr="00406770">
        <w:t xml:space="preserve"> Insights: A Study Using Google Search Volume</w:t>
      </w:r>
      <w:r>
        <w:t>’</w:t>
      </w:r>
      <w:r w:rsidRPr="00406770">
        <w:t>. </w:t>
      </w:r>
      <w:r w:rsidRPr="00406770">
        <w:rPr>
          <w:i/>
          <w:iCs/>
        </w:rPr>
        <w:t>Systems</w:t>
      </w:r>
      <w:r w:rsidRPr="00406770">
        <w:t>,13(4), p.252.</w:t>
      </w:r>
      <w:r>
        <w:t xml:space="preserve"> Available at:</w:t>
      </w:r>
      <w:r w:rsidRPr="00406770">
        <w:t xml:space="preserve"> </w:t>
      </w:r>
      <w:hyperlink r:id="rId28" w:history="1">
        <w:r w:rsidRPr="003A2BA8">
          <w:rPr>
            <w:rStyle w:val="Hyperlink"/>
          </w:rPr>
          <w:t>HTTPs://doi.org/10.3390/systems13040252</w:t>
        </w:r>
      </w:hyperlink>
      <w:r w:rsidRPr="00406770">
        <w:t>.</w:t>
      </w:r>
    </w:p>
    <w:p w14:paraId="76423FC8" w14:textId="77777777" w:rsidR="0084244E" w:rsidRDefault="0084244E" w:rsidP="0084244E"/>
    <w:p w14:paraId="1C5D0D0D" w14:textId="77777777" w:rsidR="0084244E" w:rsidRDefault="0084244E" w:rsidP="0084244E"/>
    <w:p w14:paraId="47F20AD8" w14:textId="77777777" w:rsidR="0084244E" w:rsidRDefault="0084244E" w:rsidP="0084244E"/>
    <w:p w14:paraId="0CDF7E22" w14:textId="1C35C163" w:rsidR="003D62D8" w:rsidRPr="003D62D8" w:rsidRDefault="003D62D8" w:rsidP="003D62D8"/>
    <w:p w14:paraId="03E6C446" w14:textId="77777777" w:rsidR="003D62D8" w:rsidRPr="003D62D8" w:rsidRDefault="003D62D8" w:rsidP="003D62D8"/>
    <w:p w14:paraId="508CB817" w14:textId="77777777" w:rsidR="006B0C5B" w:rsidRDefault="006B0C5B" w:rsidP="000468E5"/>
    <w:p w14:paraId="43D35866" w14:textId="58168FE7" w:rsidR="006B0C5B" w:rsidRDefault="006B0C5B" w:rsidP="000468E5"/>
    <w:p w14:paraId="12C03057" w14:textId="042BCD8F" w:rsidR="006B0C5B" w:rsidRPr="000468E5" w:rsidRDefault="006B0C5B" w:rsidP="000468E5"/>
    <w:sectPr w:rsidR="006B0C5B" w:rsidRPr="000468E5" w:rsidSect="00A67133">
      <w:footerReference w:type="default" r:id="rId29"/>
      <w:pgSz w:w="11906" w:h="16838"/>
      <w:pgMar w:top="1440" w:right="1440" w:bottom="1440" w:left="1440" w:header="708" w:footer="708" w:gutter="0"/>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67028A4" w14:textId="77777777" w:rsidR="00CC0908" w:rsidRDefault="00CC0908" w:rsidP="00962AD9">
      <w:pPr>
        <w:spacing w:after="0" w:line="240" w:lineRule="auto"/>
      </w:pPr>
      <w:r>
        <w:separator/>
      </w:r>
    </w:p>
  </w:endnote>
  <w:endnote w:type="continuationSeparator" w:id="0">
    <w:p w14:paraId="30B60855" w14:textId="77777777" w:rsidR="00CC0908" w:rsidRDefault="00CC0908" w:rsidP="00962AD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044868554"/>
      <w:docPartObj>
        <w:docPartGallery w:val="Page Numbers (Bottom of Page)"/>
        <w:docPartUnique/>
      </w:docPartObj>
    </w:sdtPr>
    <w:sdtContent>
      <w:p w14:paraId="4549B2A1" w14:textId="1632FBC6" w:rsidR="00F96F0F" w:rsidRDefault="00F96F0F">
        <w:pPr>
          <w:pStyle w:val="Footer"/>
          <w:jc w:val="right"/>
        </w:pPr>
        <w:r>
          <w:fldChar w:fldCharType="begin"/>
        </w:r>
        <w:r>
          <w:instrText>PAGE   \* MERGEFORMAT</w:instrText>
        </w:r>
        <w:r>
          <w:fldChar w:fldCharType="separate"/>
        </w:r>
        <w:r>
          <w:t>2</w:t>
        </w:r>
        <w:r>
          <w:fldChar w:fldCharType="end"/>
        </w:r>
      </w:p>
    </w:sdtContent>
  </w:sdt>
  <w:p w14:paraId="31707C6C" w14:textId="77777777" w:rsidR="00F96F0F" w:rsidRDefault="00F96F0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640D717" w14:textId="77777777" w:rsidR="00CC0908" w:rsidRDefault="00CC0908" w:rsidP="00962AD9">
      <w:pPr>
        <w:spacing w:after="0" w:line="240" w:lineRule="auto"/>
      </w:pPr>
      <w:r>
        <w:separator/>
      </w:r>
    </w:p>
  </w:footnote>
  <w:footnote w:type="continuationSeparator" w:id="0">
    <w:p w14:paraId="29C3D3AB" w14:textId="77777777" w:rsidR="00CC0908" w:rsidRDefault="00CC0908" w:rsidP="00962AD9">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794C32"/>
    <w:multiLevelType w:val="hybridMultilevel"/>
    <w:tmpl w:val="9E9649C4"/>
    <w:lvl w:ilvl="0" w:tplc="31F4DB94">
      <w:start w:val="1"/>
      <w:numFmt w:val="decimal"/>
      <w:lvlText w:val="%1."/>
      <w:lvlJc w:val="left"/>
      <w:pPr>
        <w:ind w:left="720" w:hanging="360"/>
      </w:pPr>
      <w:rPr>
        <w:rFonts w:hint="default"/>
        <w:sz w:val="22"/>
        <w:szCs w:val="20"/>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 w15:restartNumberingAfterBreak="0">
    <w:nsid w:val="265829BB"/>
    <w:multiLevelType w:val="hybridMultilevel"/>
    <w:tmpl w:val="15F24124"/>
    <w:lvl w:ilvl="0" w:tplc="08ACF288">
      <w:start w:val="1"/>
      <w:numFmt w:val="lowerRoman"/>
      <w:lvlText w:val="%1."/>
      <w:lvlJc w:val="left"/>
      <w:pPr>
        <w:ind w:left="1080" w:hanging="72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 w15:restartNumberingAfterBreak="0">
    <w:nsid w:val="318455E9"/>
    <w:multiLevelType w:val="hybridMultilevel"/>
    <w:tmpl w:val="C49AE998"/>
    <w:lvl w:ilvl="0" w:tplc="7B70120C">
      <w:start w:val="1"/>
      <w:numFmt w:val="lowerRoman"/>
      <w:lvlText w:val="%1."/>
      <w:lvlJc w:val="left"/>
      <w:pPr>
        <w:ind w:left="1080" w:hanging="72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 w15:restartNumberingAfterBreak="0">
    <w:nsid w:val="351C3677"/>
    <w:multiLevelType w:val="hybridMultilevel"/>
    <w:tmpl w:val="4D6EF67A"/>
    <w:lvl w:ilvl="0" w:tplc="08090019">
      <w:start w:val="1"/>
      <w:numFmt w:val="low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 w15:restartNumberingAfterBreak="0">
    <w:nsid w:val="3D5F3598"/>
    <w:multiLevelType w:val="hybridMultilevel"/>
    <w:tmpl w:val="51802670"/>
    <w:lvl w:ilvl="0" w:tplc="11426350">
      <w:start w:val="1"/>
      <w:numFmt w:val="lowerRoman"/>
      <w:lvlText w:val="%1."/>
      <w:lvlJc w:val="left"/>
      <w:pPr>
        <w:ind w:left="1080" w:hanging="72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5" w15:restartNumberingAfterBreak="0">
    <w:nsid w:val="3D702D34"/>
    <w:multiLevelType w:val="hybridMultilevel"/>
    <w:tmpl w:val="617C5626"/>
    <w:lvl w:ilvl="0" w:tplc="885A88B8">
      <w:start w:val="1"/>
      <w:numFmt w:val="lowerRoman"/>
      <w:lvlText w:val="%1."/>
      <w:lvlJc w:val="left"/>
      <w:pPr>
        <w:ind w:left="1080" w:hanging="72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6" w15:restartNumberingAfterBreak="0">
    <w:nsid w:val="42C130D4"/>
    <w:multiLevelType w:val="hybridMultilevel"/>
    <w:tmpl w:val="1034EDA8"/>
    <w:lvl w:ilvl="0" w:tplc="3E4C41CE">
      <w:start w:val="1"/>
      <w:numFmt w:val="lowerRoman"/>
      <w:lvlText w:val="%1."/>
      <w:lvlJc w:val="left"/>
      <w:pPr>
        <w:ind w:left="1080" w:hanging="72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7" w15:restartNumberingAfterBreak="0">
    <w:nsid w:val="4B1768EF"/>
    <w:multiLevelType w:val="hybridMultilevel"/>
    <w:tmpl w:val="332C6762"/>
    <w:lvl w:ilvl="0" w:tplc="08090019">
      <w:start w:val="1"/>
      <w:numFmt w:val="lowerLetter"/>
      <w:lvlText w:val="%1."/>
      <w:lvlJc w:val="left"/>
      <w:pPr>
        <w:ind w:left="1080" w:hanging="360"/>
      </w:pPr>
      <w:rPr>
        <w:rFonts w:hint="default"/>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8" w15:restartNumberingAfterBreak="0">
    <w:nsid w:val="55BD0BEA"/>
    <w:multiLevelType w:val="hybridMultilevel"/>
    <w:tmpl w:val="F64AF7A6"/>
    <w:lvl w:ilvl="0" w:tplc="D6D8A1FE">
      <w:start w:val="1"/>
      <w:numFmt w:val="lowerRoman"/>
      <w:lvlText w:val="%1."/>
      <w:lvlJc w:val="left"/>
      <w:pPr>
        <w:ind w:left="1080" w:hanging="72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16cid:durableId="1281645443">
    <w:abstractNumId w:val="4"/>
  </w:num>
  <w:num w:numId="2" w16cid:durableId="2086952172">
    <w:abstractNumId w:val="1"/>
  </w:num>
  <w:num w:numId="3" w16cid:durableId="447890477">
    <w:abstractNumId w:val="5"/>
  </w:num>
  <w:num w:numId="4" w16cid:durableId="260648263">
    <w:abstractNumId w:val="2"/>
  </w:num>
  <w:num w:numId="5" w16cid:durableId="1124929380">
    <w:abstractNumId w:val="6"/>
  </w:num>
  <w:num w:numId="6" w16cid:durableId="419647479">
    <w:abstractNumId w:val="0"/>
  </w:num>
  <w:num w:numId="7" w16cid:durableId="1489443770">
    <w:abstractNumId w:val="8"/>
  </w:num>
  <w:num w:numId="8" w16cid:durableId="663053913">
    <w:abstractNumId w:val="3"/>
  </w:num>
  <w:num w:numId="9" w16cid:durableId="721445414">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50"/>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61C32"/>
    <w:rsid w:val="00002929"/>
    <w:rsid w:val="000141A2"/>
    <w:rsid w:val="0003693F"/>
    <w:rsid w:val="00041A13"/>
    <w:rsid w:val="00046656"/>
    <w:rsid w:val="000468E5"/>
    <w:rsid w:val="00091BE4"/>
    <w:rsid w:val="000B17D1"/>
    <w:rsid w:val="000D0FE9"/>
    <w:rsid w:val="000E0E74"/>
    <w:rsid w:val="0010734D"/>
    <w:rsid w:val="00174217"/>
    <w:rsid w:val="00191424"/>
    <w:rsid w:val="001A199D"/>
    <w:rsid w:val="001A62CA"/>
    <w:rsid w:val="001B56DA"/>
    <w:rsid w:val="001E1332"/>
    <w:rsid w:val="00250483"/>
    <w:rsid w:val="0025769A"/>
    <w:rsid w:val="00264ABB"/>
    <w:rsid w:val="00280776"/>
    <w:rsid w:val="00280E5D"/>
    <w:rsid w:val="002A0C92"/>
    <w:rsid w:val="002B249E"/>
    <w:rsid w:val="002C41CF"/>
    <w:rsid w:val="002D7B59"/>
    <w:rsid w:val="00313408"/>
    <w:rsid w:val="00347FE4"/>
    <w:rsid w:val="00386326"/>
    <w:rsid w:val="003D20D8"/>
    <w:rsid w:val="003D4266"/>
    <w:rsid w:val="003D62D8"/>
    <w:rsid w:val="003E5DC5"/>
    <w:rsid w:val="00405FD1"/>
    <w:rsid w:val="004415C5"/>
    <w:rsid w:val="00454B6D"/>
    <w:rsid w:val="00485ABB"/>
    <w:rsid w:val="00486706"/>
    <w:rsid w:val="00495113"/>
    <w:rsid w:val="004C34D1"/>
    <w:rsid w:val="005735B5"/>
    <w:rsid w:val="00583365"/>
    <w:rsid w:val="00584FD9"/>
    <w:rsid w:val="005C459E"/>
    <w:rsid w:val="00612535"/>
    <w:rsid w:val="0063422A"/>
    <w:rsid w:val="006478B8"/>
    <w:rsid w:val="006B0C5B"/>
    <w:rsid w:val="006E4658"/>
    <w:rsid w:val="007053EA"/>
    <w:rsid w:val="00707B4E"/>
    <w:rsid w:val="00736EE8"/>
    <w:rsid w:val="0075284C"/>
    <w:rsid w:val="007909B6"/>
    <w:rsid w:val="007953CE"/>
    <w:rsid w:val="007C39EF"/>
    <w:rsid w:val="007E4957"/>
    <w:rsid w:val="0084244E"/>
    <w:rsid w:val="008616BE"/>
    <w:rsid w:val="00861C32"/>
    <w:rsid w:val="008664DB"/>
    <w:rsid w:val="00890D94"/>
    <w:rsid w:val="009102A7"/>
    <w:rsid w:val="00912F9C"/>
    <w:rsid w:val="00955F23"/>
    <w:rsid w:val="00962AD9"/>
    <w:rsid w:val="009671F2"/>
    <w:rsid w:val="009747E5"/>
    <w:rsid w:val="009766A4"/>
    <w:rsid w:val="009A107A"/>
    <w:rsid w:val="009C35CE"/>
    <w:rsid w:val="009E16E2"/>
    <w:rsid w:val="009F216C"/>
    <w:rsid w:val="00A327F3"/>
    <w:rsid w:val="00A36187"/>
    <w:rsid w:val="00A661DD"/>
    <w:rsid w:val="00A67133"/>
    <w:rsid w:val="00A83413"/>
    <w:rsid w:val="00AA6794"/>
    <w:rsid w:val="00AE5568"/>
    <w:rsid w:val="00B01171"/>
    <w:rsid w:val="00B03C07"/>
    <w:rsid w:val="00B0790D"/>
    <w:rsid w:val="00B11B0B"/>
    <w:rsid w:val="00B32B1E"/>
    <w:rsid w:val="00B332FF"/>
    <w:rsid w:val="00B44378"/>
    <w:rsid w:val="00B44531"/>
    <w:rsid w:val="00B8343A"/>
    <w:rsid w:val="00B93AA7"/>
    <w:rsid w:val="00BD4BF1"/>
    <w:rsid w:val="00BD760C"/>
    <w:rsid w:val="00BE3ADA"/>
    <w:rsid w:val="00BF29D1"/>
    <w:rsid w:val="00BF58AC"/>
    <w:rsid w:val="00BF638F"/>
    <w:rsid w:val="00C10C4E"/>
    <w:rsid w:val="00C415EE"/>
    <w:rsid w:val="00C91B92"/>
    <w:rsid w:val="00CA66BD"/>
    <w:rsid w:val="00CC0908"/>
    <w:rsid w:val="00D31786"/>
    <w:rsid w:val="00D31C7E"/>
    <w:rsid w:val="00D3559D"/>
    <w:rsid w:val="00D97470"/>
    <w:rsid w:val="00DB2CDE"/>
    <w:rsid w:val="00DD0B6E"/>
    <w:rsid w:val="00E15B9B"/>
    <w:rsid w:val="00E262AD"/>
    <w:rsid w:val="00E4426B"/>
    <w:rsid w:val="00E501AB"/>
    <w:rsid w:val="00E55B24"/>
    <w:rsid w:val="00E60172"/>
    <w:rsid w:val="00E83ABE"/>
    <w:rsid w:val="00EC39BA"/>
    <w:rsid w:val="00EF6F86"/>
    <w:rsid w:val="00F00BF0"/>
    <w:rsid w:val="00F659AA"/>
    <w:rsid w:val="00F96F0F"/>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0A2F268"/>
  <w15:chartTrackingRefBased/>
  <w15:docId w15:val="{28B6B2EC-39B0-4CFB-BE86-C5EA2A85ABB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61C3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61C3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61C3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61C3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61C3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61C3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61C3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61C3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61C3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61C3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61C3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61C3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61C3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61C3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61C3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61C3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61C3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61C32"/>
    <w:rPr>
      <w:rFonts w:eastAsiaTheme="majorEastAsia" w:cstheme="majorBidi"/>
      <w:color w:val="272727" w:themeColor="text1" w:themeTint="D8"/>
    </w:rPr>
  </w:style>
  <w:style w:type="paragraph" w:styleId="Title">
    <w:name w:val="Title"/>
    <w:basedOn w:val="Normal"/>
    <w:next w:val="Normal"/>
    <w:link w:val="TitleChar"/>
    <w:uiPriority w:val="10"/>
    <w:qFormat/>
    <w:rsid w:val="00861C3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61C3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61C3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61C3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61C32"/>
    <w:pPr>
      <w:spacing w:before="160"/>
      <w:jc w:val="center"/>
    </w:pPr>
    <w:rPr>
      <w:i/>
      <w:iCs/>
      <w:color w:val="404040" w:themeColor="text1" w:themeTint="BF"/>
    </w:rPr>
  </w:style>
  <w:style w:type="character" w:customStyle="1" w:styleId="QuoteChar">
    <w:name w:val="Quote Char"/>
    <w:basedOn w:val="DefaultParagraphFont"/>
    <w:link w:val="Quote"/>
    <w:uiPriority w:val="29"/>
    <w:rsid w:val="00861C32"/>
    <w:rPr>
      <w:i/>
      <w:iCs/>
      <w:color w:val="404040" w:themeColor="text1" w:themeTint="BF"/>
    </w:rPr>
  </w:style>
  <w:style w:type="paragraph" w:styleId="ListParagraph">
    <w:name w:val="List Paragraph"/>
    <w:basedOn w:val="Normal"/>
    <w:uiPriority w:val="34"/>
    <w:qFormat/>
    <w:rsid w:val="00861C32"/>
    <w:pPr>
      <w:ind w:left="720"/>
      <w:contextualSpacing/>
    </w:pPr>
  </w:style>
  <w:style w:type="character" w:styleId="IntenseEmphasis">
    <w:name w:val="Intense Emphasis"/>
    <w:basedOn w:val="DefaultParagraphFont"/>
    <w:uiPriority w:val="21"/>
    <w:qFormat/>
    <w:rsid w:val="00861C32"/>
    <w:rPr>
      <w:i/>
      <w:iCs/>
      <w:color w:val="0F4761" w:themeColor="accent1" w:themeShade="BF"/>
    </w:rPr>
  </w:style>
  <w:style w:type="paragraph" w:styleId="IntenseQuote">
    <w:name w:val="Intense Quote"/>
    <w:basedOn w:val="Normal"/>
    <w:next w:val="Normal"/>
    <w:link w:val="IntenseQuoteChar"/>
    <w:uiPriority w:val="30"/>
    <w:qFormat/>
    <w:rsid w:val="00861C3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61C32"/>
    <w:rPr>
      <w:i/>
      <w:iCs/>
      <w:color w:val="0F4761" w:themeColor="accent1" w:themeShade="BF"/>
    </w:rPr>
  </w:style>
  <w:style w:type="character" w:styleId="IntenseReference">
    <w:name w:val="Intense Reference"/>
    <w:basedOn w:val="DefaultParagraphFont"/>
    <w:uiPriority w:val="32"/>
    <w:qFormat/>
    <w:rsid w:val="00861C32"/>
    <w:rPr>
      <w:b/>
      <w:bCs/>
      <w:smallCaps/>
      <w:color w:val="0F4761" w:themeColor="accent1" w:themeShade="BF"/>
      <w:spacing w:val="5"/>
    </w:rPr>
  </w:style>
  <w:style w:type="paragraph" w:styleId="Caption">
    <w:name w:val="caption"/>
    <w:basedOn w:val="Normal"/>
    <w:next w:val="Normal"/>
    <w:uiPriority w:val="35"/>
    <w:unhideWhenUsed/>
    <w:qFormat/>
    <w:rsid w:val="006B0C5B"/>
    <w:pPr>
      <w:spacing w:after="200" w:line="240" w:lineRule="auto"/>
    </w:pPr>
    <w:rPr>
      <w:i/>
      <w:iCs/>
      <w:color w:val="0E2841" w:themeColor="text2"/>
      <w:sz w:val="18"/>
      <w:szCs w:val="18"/>
    </w:rPr>
  </w:style>
  <w:style w:type="table" w:styleId="TableGrid">
    <w:name w:val="Table Grid"/>
    <w:basedOn w:val="TableNormal"/>
    <w:uiPriority w:val="39"/>
    <w:rsid w:val="00B4437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laceholderText">
    <w:name w:val="Placeholder Text"/>
    <w:basedOn w:val="DefaultParagraphFont"/>
    <w:uiPriority w:val="99"/>
    <w:semiHidden/>
    <w:rsid w:val="00B44378"/>
    <w:rPr>
      <w:color w:val="666666"/>
    </w:rPr>
  </w:style>
  <w:style w:type="paragraph" w:styleId="Header">
    <w:name w:val="header"/>
    <w:basedOn w:val="Normal"/>
    <w:link w:val="HeaderChar"/>
    <w:uiPriority w:val="99"/>
    <w:unhideWhenUsed/>
    <w:rsid w:val="00962AD9"/>
    <w:pPr>
      <w:tabs>
        <w:tab w:val="center" w:pos="4513"/>
        <w:tab w:val="right" w:pos="9026"/>
      </w:tabs>
      <w:spacing w:after="0" w:line="240" w:lineRule="auto"/>
    </w:pPr>
  </w:style>
  <w:style w:type="character" w:customStyle="1" w:styleId="HeaderChar">
    <w:name w:val="Header Char"/>
    <w:basedOn w:val="DefaultParagraphFont"/>
    <w:link w:val="Header"/>
    <w:uiPriority w:val="99"/>
    <w:rsid w:val="00962AD9"/>
  </w:style>
  <w:style w:type="paragraph" w:styleId="Footer">
    <w:name w:val="footer"/>
    <w:basedOn w:val="Normal"/>
    <w:link w:val="FooterChar"/>
    <w:uiPriority w:val="99"/>
    <w:unhideWhenUsed/>
    <w:rsid w:val="00962AD9"/>
    <w:pPr>
      <w:tabs>
        <w:tab w:val="center" w:pos="4513"/>
        <w:tab w:val="right" w:pos="9026"/>
      </w:tabs>
      <w:spacing w:after="0" w:line="240" w:lineRule="auto"/>
    </w:pPr>
  </w:style>
  <w:style w:type="character" w:customStyle="1" w:styleId="FooterChar">
    <w:name w:val="Footer Char"/>
    <w:basedOn w:val="DefaultParagraphFont"/>
    <w:link w:val="Footer"/>
    <w:uiPriority w:val="99"/>
    <w:rsid w:val="00962AD9"/>
  </w:style>
  <w:style w:type="paragraph" w:styleId="TOCHeading">
    <w:name w:val="TOC Heading"/>
    <w:basedOn w:val="Heading1"/>
    <w:next w:val="Normal"/>
    <w:uiPriority w:val="39"/>
    <w:unhideWhenUsed/>
    <w:qFormat/>
    <w:rsid w:val="00F96F0F"/>
    <w:pPr>
      <w:spacing w:before="240" w:after="0"/>
      <w:outlineLvl w:val="9"/>
    </w:pPr>
    <w:rPr>
      <w:kern w:val="0"/>
      <w:sz w:val="32"/>
      <w:szCs w:val="32"/>
      <w:lang w:eastAsia="en-GB"/>
      <w14:ligatures w14:val="none"/>
    </w:rPr>
  </w:style>
  <w:style w:type="paragraph" w:styleId="TOC1">
    <w:name w:val="toc 1"/>
    <w:basedOn w:val="Normal"/>
    <w:next w:val="Normal"/>
    <w:autoRedefine/>
    <w:uiPriority w:val="39"/>
    <w:unhideWhenUsed/>
    <w:rsid w:val="00F96F0F"/>
    <w:pPr>
      <w:spacing w:after="100"/>
    </w:pPr>
  </w:style>
  <w:style w:type="character" w:styleId="Hyperlink">
    <w:name w:val="Hyperlink"/>
    <w:basedOn w:val="DefaultParagraphFont"/>
    <w:uiPriority w:val="99"/>
    <w:unhideWhenUsed/>
    <w:rsid w:val="00F96F0F"/>
    <w:rPr>
      <w:color w:val="467886" w:themeColor="hyperlink"/>
      <w:u w:val="single"/>
    </w:rPr>
  </w:style>
  <w:style w:type="paragraph" w:styleId="NoSpacing">
    <w:name w:val="No Spacing"/>
    <w:link w:val="NoSpacingChar"/>
    <w:uiPriority w:val="1"/>
    <w:qFormat/>
    <w:rsid w:val="00A67133"/>
    <w:pPr>
      <w:spacing w:after="0" w:line="240" w:lineRule="auto"/>
    </w:pPr>
    <w:rPr>
      <w:rFonts w:eastAsiaTheme="minorEastAsia"/>
      <w:kern w:val="0"/>
      <w:lang w:eastAsia="en-GB"/>
      <w14:ligatures w14:val="none"/>
    </w:rPr>
  </w:style>
  <w:style w:type="character" w:customStyle="1" w:styleId="NoSpacingChar">
    <w:name w:val="No Spacing Char"/>
    <w:basedOn w:val="DefaultParagraphFont"/>
    <w:link w:val="NoSpacing"/>
    <w:uiPriority w:val="1"/>
    <w:rsid w:val="00A67133"/>
    <w:rPr>
      <w:rFonts w:eastAsiaTheme="minorEastAsia"/>
      <w:kern w:val="0"/>
      <w:lang w:eastAsia="en-GB"/>
      <w14:ligatures w14:val="none"/>
    </w:rPr>
  </w:style>
  <w:style w:type="character" w:styleId="UnresolvedMention">
    <w:name w:val="Unresolved Mention"/>
    <w:basedOn w:val="DefaultParagraphFont"/>
    <w:uiPriority w:val="99"/>
    <w:semiHidden/>
    <w:unhideWhenUsed/>
    <w:rsid w:val="0025769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hyperlink" Target="HTTPs://doi.org/10.2139/ssrn.5340813" TargetMode="External"/><Relationship Id="rId3" Type="http://schemas.openxmlformats.org/officeDocument/2006/relationships/numbering" Target="numbering.xml"/><Relationship Id="rId21" Type="http://schemas.openxmlformats.org/officeDocument/2006/relationships/hyperlink" Target="https://www.investopedia.com/terms/s/speculation.asp" TargetMode="External"/><Relationship Id="rId7" Type="http://schemas.openxmlformats.org/officeDocument/2006/relationships/footnotes" Target="footnot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hyperlink" Target="https://www.investopedia.com/terms/d/dotcom-bubble.asp" TargetMode="External"/><Relationship Id="rId2" Type="http://schemas.openxmlformats.org/officeDocument/2006/relationships/customXml" Target="../customXml/item2.xml"/><Relationship Id="rId16" Type="http://schemas.openxmlformats.org/officeDocument/2006/relationships/image" Target="media/image8.png"/><Relationship Id="rId20" Type="http://schemas.openxmlformats.org/officeDocument/2006/relationships/hyperlink" Target="HTTPs://doi.org/10.1016/j.finmar.2003.11.005" TargetMode="External"/><Relationship Id="rId29"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jpeg"/><Relationship Id="rId24" Type="http://schemas.openxmlformats.org/officeDocument/2006/relationships/hyperlink" Target="https://www.google.com/finance/?hl=en" TargetMode="External"/><Relationship Id="rId5" Type="http://schemas.openxmlformats.org/officeDocument/2006/relationships/settings" Target="settings.xml"/><Relationship Id="rId15" Type="http://schemas.openxmlformats.org/officeDocument/2006/relationships/image" Target="media/image7.png"/><Relationship Id="rId23" Type="http://schemas.openxmlformats.org/officeDocument/2006/relationships/hyperlink" Target="HTTPs://doi.org/10.1007/s13347-024-00817-w" TargetMode="External"/><Relationship Id="rId28" Type="http://schemas.openxmlformats.org/officeDocument/2006/relationships/hyperlink" Target="HTTPs://doi.org/10.3390/systems13040252" TargetMode="External"/><Relationship Id="rId10" Type="http://schemas.openxmlformats.org/officeDocument/2006/relationships/image" Target="media/image2.jpeg"/><Relationship Id="rId19" Type="http://schemas.openxmlformats.org/officeDocument/2006/relationships/image" Target="media/image11.png"/><Relationship Id="rId31" Type="http://schemas.openxmlformats.org/officeDocument/2006/relationships/theme" Target="theme/theme1.xml"/><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image" Target="media/image6.png"/><Relationship Id="rId22" Type="http://schemas.openxmlformats.org/officeDocument/2006/relationships/hyperlink" Target="HTTPs://doi.org/10.1111/j.1540-6261.2011.01679.x" TargetMode="External"/><Relationship Id="rId27" Type="http://schemas.openxmlformats.org/officeDocument/2006/relationships/hyperlink" Target="https://doi.org/10.1016/0304-405x(88)90063-3" TargetMode="External"/><Relationship Id="rId30"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
  <Abstract/>
  <CompanyAddress>Henley Business School</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4D4A6595-9F63-4B46-8A75-C052D982999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1291</TotalTime>
  <Pages>13</Pages>
  <Words>3289</Words>
  <Characters>18749</Characters>
  <Application>Microsoft Office Word</Application>
  <DocSecurity>0</DocSecurity>
  <Lines>156</Lines>
  <Paragraphs>43</Paragraphs>
  <ScaleCrop>false</ScaleCrop>
  <HeadingPairs>
    <vt:vector size="2" baseType="variant">
      <vt:variant>
        <vt:lpstr>Title</vt:lpstr>
      </vt:variant>
      <vt:variant>
        <vt:i4>1</vt:i4>
      </vt:variant>
    </vt:vector>
  </HeadingPairs>
  <TitlesOfParts>
    <vt:vector size="1" baseType="lpstr">
      <vt:lpstr/>
    </vt:vector>
  </TitlesOfParts>
  <Company>30021268</Company>
  <LinksUpToDate>false</LinksUpToDate>
  <CharactersWithSpaces>21995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Financial Analysis Project: Investigating Speculative Bubbles</dc:title>
  <dc:subject/>
  <dc:creator>Maheen Khan</dc:creator>
  <cp:keywords/>
  <dc:description/>
  <cp:lastModifiedBy>Abdullah Khan</cp:lastModifiedBy>
  <cp:revision>24</cp:revision>
  <dcterms:created xsi:type="dcterms:W3CDTF">2026-01-12T12:12:00Z</dcterms:created>
  <dcterms:modified xsi:type="dcterms:W3CDTF">2026-06-16T10:52:00Z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b60a30bc-5516-4b2d-ab72-d6a7e7583dc4</vt:lpwstr>
  </property>
</Properties>
</file>