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22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PURCHASE REQUISITION (PR)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DDFF"/>
                <w:sz w:val="24"/>
                <w:szCs w:val="24"/>
              </w:rPr>
              <w:t xml:space="preserve">Enterprise Data Migration – STC Core Systems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PR No.: PR-STC-IT-2024-0023     |     Request Date: January 15, 2024</w:t>
            </w:r>
          </w:p>
        </w:tc>
      </w:tr>
      <w:tr>
        <w:tc>
          <w:tcPr>
            <w:tcW w:type="dxa" w:w="9360"/>
            <w:gridSpan w:val="2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FF8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Ref. SOW: SOW-TCS-STC-DM-2024-001     |     Ref. MSA: MSA-TCS-STC-2024-001</w:t>
            </w:r>
          </w:p>
        </w:tc>
      </w:tr>
      <w:tr>
        <w:tc>
          <w:tcPr>
            <w:tcW w:type="dxa" w:w="46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2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REQUESTING DEPARTMENT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Information Technology – Digital Transformation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Saudi Telecom Company (STC)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P.O. Box 87, Riyadh 11432, KSA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Requested By:  Faisal Al-Otaibi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 IT Project Manager</w:t>
            </w:r>
          </w:p>
        </w:tc>
        <w:tc>
          <w:tcPr>
            <w:tcW w:type="dxa" w:w="46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FF8E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VENDOR / SERVICE PROVIDER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Tata Consultancy Services Limited (TCS)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 House, Raveline Street, Fort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– 400001, Maharashtra, India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ID:  VND-TCS-2024-007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CIN:  L22210MH1995PLC084781</w:t>
            </w:r>
          </w:p>
        </w:tc>
      </w:tr>
    </w:tbl>
    <w:p>
      <w:pPr>
        <w:spacing w:after="0" w:before="220"/>
      </w:pPr>
    </w:p>
    <w:p>
      <w:pPr>
        <w:pStyle w:val="Heading1"/>
        <w:pBdr>
          <w:bottom w:val="single" w:color="C8960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1.  PURCHASE REQUISITION DETAILS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table captures all key attributes of this Purchase Requisition, issued by the STC Procurement Office in accordance with STC procurement policies and referencing the governing contractual documents.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80"/>
        <w:gridCol w:w="1600"/>
        <w:gridCol w:w="30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PR Number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PR-STC-IT-2024-0023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Request Date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15, 2024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Faisal Al-Otaibi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– Digital Transformation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Tata Consultancy Services (TCS)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Vendor 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VND-TCS-2024-007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Budget Code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IT-DT-CAPEX-2024-DM-007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Priority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Total Amount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950,000.00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Currency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(United States Dollar)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Required Date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01, 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Location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 HQ, Riyadh, KSA &amp; TCS Mumbai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Reference SOW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SOW-TCS-STC-DM-2024-001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Reference MSA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MSA-TCS-STC-2024-001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Status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Purchasing Group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Procurement – Enterprise Services</w:t>
            </w:r>
          </w:p>
        </w:tc>
      </w:tr>
    </w:tbl>
    <w:p>
      <w:pPr>
        <w:spacing w:after="0" w:before="220"/>
      </w:pPr>
    </w:p>
    <w:p>
      <w:pPr>
        <w:pStyle w:val="Heading1"/>
        <w:pBdr>
          <w:bottom w:val="single" w:color="C8960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2.  DESCRIPTION OF GOODS / SERVICES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Purchase Requisition is raised to formally authorize procurement of Data Migration professional services from Tata Consultancy Services Limited (TCS), as defined in Statement of Work SOW-TCS-STC-DM-2024-001 and governed by Master Service Agreement MSA-TCS-STC-2024-001.</w:t>
      </w:r>
    </w:p>
    <w:p>
      <w:pPr>
        <w:spacing w:after="0" w:before="80"/>
      </w:pP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engagement covers end-to-end enterprise data migration services for STC's Core Systems, encompassing the following activities: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Enterprise data migration planning, current-state assessment, and migration strategy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Legacy system data extraction, transformation, and loading (ETL) design and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quality assessment, reconciliation, masking, and anonymization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Pilot and full production migration to STC's target cloud-based data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Post-migration stabilization, hypercare support, and knowledge transfer</w:t>
      </w:r>
    </w:p>
    <w:p>
      <w:pPr>
        <w:spacing w:after="0" w:before="80"/>
      </w:pP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services shall be delivered in accordance with the scope, deliverables, milestones, and timelines specified in SOW-TCS-STC-DM-2024-001.</w:t>
      </w:r>
    </w:p>
    <w:p>
      <w:pPr>
        <w:spacing w:after="0" w:before="160"/>
      </w:pPr>
    </w:p>
    <w:p>
      <w:pPr>
        <w:pStyle w:val="Heading1"/>
        <w:pBdr>
          <w:bottom w:val="single" w:color="C8960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  LINE ITEMS &amp; SERVICE CODES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table below details each service line item, corresponding service code, quantity, unit price, and linked project milestone as defined in the SOW.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80"/>
        <w:gridCol w:w="3200"/>
        <w:gridCol w:w="600"/>
        <w:gridCol w:w="580"/>
        <w:gridCol w:w="1120"/>
        <w:gridCol w:w="1120"/>
        <w:gridCol w:w="1180"/>
      </w:tblGrid>
      <w:tr>
        <w:trPr>
          <w:tblHeader/>
        </w:trPr>
        <w:tc>
          <w:tcPr>
            <w:tcW w:type="dxa" w:w="3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Code</w:t>
            </w:r>
          </w:p>
        </w:tc>
        <w:tc>
          <w:tcPr>
            <w:tcW w:type="dxa" w:w="3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Goods / Services</w:t>
            </w:r>
          </w:p>
        </w:tc>
        <w:tc>
          <w:tcPr>
            <w:tcW w:type="dxa" w:w="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5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UoM</w:t>
            </w:r>
          </w:p>
        </w:tc>
        <w:tc>
          <w:tcPr>
            <w:tcW w:type="dxa" w:w="112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 (USD)</w:t>
            </w:r>
          </w:p>
        </w:tc>
        <w:tc>
          <w:tcPr>
            <w:tcW w:type="dxa" w:w="112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  <w:tc>
          <w:tcPr>
            <w:tcW w:type="dxa" w:w="11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/ Phase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SVC-DM-001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Discovery &amp; Assessment – Current-state data inventory, quality assessment, migration strategy document, stakeholder workshops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$120,000.00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$120,000.00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 – Mar 2024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SVC-DM-002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&amp; Design – Target-state design, ETL mapping specs, data masking design, migration environment setup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$180,000.00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$180,000.00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 – May 2024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SVC-DM-003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 Migration – Pilot ETL of 20% data volume, validation report, performance benchmarking, QA sign-off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$200,000.00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$200,000.00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M3 – Jul 2024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SVC-DM-004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Production Migration – Full-scale data migration, cutover execution, rollback plan, reconciliation report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$320,000.00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$320,000.00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M4 – Oct 2024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SVC-DM-005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Stabilization &amp; Hypercare – 90-day post-migration monitoring, defect resolution, performance tuning, project closure report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$130,000.00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$130,000.00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M5 – Jan 2025</w:t>
            </w:r>
          </w:p>
        </w:tc>
      </w:tr>
      <w:tr>
        <w:tc>
          <w:tcPr>
            <w:tcW w:type="dxa" w:w="8180"/>
            <w:gridSpan w:val="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TOTAL CONTRACT VALUE (USD)</w:t>
            </w:r>
          </w:p>
        </w:tc>
        <w:tc>
          <w:tcPr>
            <w:tcW w:type="dxa" w:w="11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$950,000.00</w:t>
            </w:r>
          </w:p>
        </w:tc>
      </w:tr>
    </w:tbl>
    <w:p>
      <w:pPr>
        <w:spacing w:after="0" w:before="80"/>
      </w:pP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prices are in USD and are fixed per the SOW milestone schedule. Payment is milestone-based, Net 30 days from STC's written milestone acceptance.</w:t>
      </w:r>
    </w:p>
    <w:p>
      <w:pPr>
        <w:spacing w:after="0" w:before="160"/>
      </w:pPr>
    </w:p>
    <w:p>
      <w:pPr>
        <w:pStyle w:val="Heading1"/>
        <w:pBdr>
          <w:bottom w:val="single" w:color="C8960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4.  BUDGET &amp; FINANCIAL INFORMATION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Budget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IT-DT-CAPEX-2024-DM-007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Cost Centre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CC-STC-IT-DIGITAL-2024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GL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GL-7200-ITSVCS-EXT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Total PR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950,000.00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Approved Budget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1,000,000.00 (FY 2024 IT Capital Budget)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Budget Utilization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95.0% of approved budget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Funding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 Capital Expenditure (CAPEX) – FY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30 days from milestone invoice receipt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Currency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(United States Dollar)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Tax / VAT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to KSA VAT at 15% as applicable; to be confirmed at PO stage</w:t>
            </w:r>
          </w:p>
        </w:tc>
      </w:tr>
    </w:tbl>
    <w:p>
      <w:pPr>
        <w:spacing w:after="0" w:before="220"/>
      </w:pPr>
    </w:p>
    <w:p>
      <w:pPr>
        <w:pStyle w:val="Heading1"/>
        <w:pBdr>
          <w:bottom w:val="single" w:color="C8960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5.  VENDOR INFORMATION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Tata Consultancy Services Limited (TCS)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Vendor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VND-TCS-2024-007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Registered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 House, Raveline Street, Fort, Mumbai – 400001,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L22210MH1995PLC084781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Contact Person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 Nair – TCS Project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priya.nair@tcs.com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Contact 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+91-22-6778-9000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Governing MSA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MSA-TCS-STC-2024-001 (Effective: January 01, 2024)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SOW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SOW-TCS-STC-DM-2024-001 (Effective: February 01, 2024)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Vendor Currency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(invoicing in USD as per SOW)</w:t>
            </w:r>
          </w:p>
        </w:tc>
      </w:tr>
    </w:tbl>
    <w:p>
      <w:pPr>
        <w:spacing w:after="0" w:before="220"/>
      </w:pPr>
    </w:p>
    <w:p>
      <w:pPr>
        <w:pStyle w:val="Heading1"/>
        <w:pBdr>
          <w:bottom w:val="single" w:color="C8960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6.  CONTRACTUAL &amp; POLICY REFERENCES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5F73"/>
          <w:sz w:val="22"/>
          <w:szCs w:val="22"/>
        </w:rPr>
        <w:t xml:space="preserve">6.1  Governing MSA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PR is issued under Master Service Agreement MSA-TCS-STC-2024-001 (January 01, 2024 – December 31, 2026) between STC and TCS. All general terms and conditions, including Intellectual Property Rights (Section 6), Confidentiality &amp; NDA (Section 7), Indemnification (Section 9), Liability Cap (Section 10), Dispute Resolution (Section 12), and Termination (Section 13) are governed by the MSA.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5F73"/>
          <w:sz w:val="22"/>
          <w:szCs w:val="22"/>
        </w:rPr>
        <w:t xml:space="preserve">6.2  Governing SOW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Services authorized by this PR are fully defined in Statement of Work SOW-TCS-STC-DM-2024-001 (February 01, 2024 – January 31, 2025). The SOW specifies the project scope, 5-phase delivery plan, 7 formal deliverables, milestone payment schedule, project team, and change management process.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5F73"/>
          <w:sz w:val="22"/>
          <w:szCs w:val="22"/>
        </w:rPr>
        <w:t xml:space="preserve">6.3  Key Contractual Terms Applicable to this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Intellectual Property: All Work Product becomes exclusive STC property upon full payment (MSA §6 / SOW §7)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Confidentiality: 5-year NDA survival; subscriber/PII data protected under Saudi PDPL (MSA §7 / SOW §8)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Indemnification: TCS takes full liability for mishaps caused by its services, tools, or personnel (MSA §9 / SOW §10)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Liability Cap: Maximum payable = 12 months of fees under the SOW (~USD 950,000) (MSA §10 / SOW §11)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Termination: 30 days for cause; 60 days for convenience; orderly wind-down required (MSA §13 / SOW §13)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Dispute Resolution: Negotiation → SCCA Mediation → SCCA Binding Arbitration, Riyadh (MSA §12 / SOW §12)</w:t>
      </w:r>
    </w:p>
    <w:p>
      <w:pPr>
        <w:spacing w:after="0" w:before="220"/>
      </w:pPr>
    </w:p>
    <w:p>
      <w:pPr>
        <w:pStyle w:val="Heading1"/>
        <w:pBdr>
          <w:bottom w:val="single" w:color="C8960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7.  DELIVERY, TIMELINE &amp; LOCATION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Required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01, 2024 (SOW Commencement)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Completion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31, 2025 (End of Stabilization Phase)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Delivery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 Headquarters, Riyadh, Kingdom of Saudi Arabia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Vendor Work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 Delivery Centre, Mumbai, India (offshore) &amp; STC Riyadh (onsite)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Onsite Requirements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 Project Manager, Lead Architect – onsite during key milestones and cutover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M1 Due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31, 2024 – Discovery &amp;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M2 Due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31, 2024 – Architecture &amp;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M3 Due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31, 2024 – Pilot Migration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M4 Due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October 31, 2024 – Full Production Migration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M5 Due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31, 2025 – Stabilization &amp; Hypercare</w:t>
            </w:r>
          </w:p>
        </w:tc>
      </w:tr>
    </w:tbl>
    <w:p>
      <w:pPr>
        <w:spacing w:after="0" w:before="220"/>
      </w:pPr>
    </w:p>
    <w:p>
      <w:pPr>
        <w:pStyle w:val="Heading1"/>
        <w:pBdr>
          <w:bottom w:val="single" w:color="C8960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8.  PURCHASING GROUP &amp; INTERNAL ROUTING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Purchasing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Procurement – Enterprise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Purchasing Group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PG-IT-ENT-007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Procurement 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Professional Services – Data &amp;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Procurement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Award under existing MSA (MSA-TCS-STC-2024-001)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STC Procurement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 Procurement Policy v4.2 – Section 7 (IT Services above SAR 1M)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PR Initiator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Faisal Al-Otaibi, IT Project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Department Head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Khalid Al-Rashidi, VP – Digital Transformation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Procurement Officer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Ahmad Al-Mansouri, Chief Procurement Officer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Nora Al-Subaie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ERP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MM Module – PR Document Type: ZITPR</w:t>
            </w:r>
          </w:p>
        </w:tc>
      </w:tr>
    </w:tbl>
    <w:p>
      <w:pPr>
        <w:spacing w:after="0" w:before="220"/>
      </w:pPr>
    </w:p>
    <w:p>
      <w:pPr>
        <w:pStyle w:val="Heading1"/>
        <w:pBdr>
          <w:bottom w:val="single" w:color="C8960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9.  APPROVAL WORKFLOW &amp; STATUS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PR requires multi-level approval as per STC's procurement policy for IT service contracts exceeding USD 500,000. The current approval status is shown below: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2400"/>
        <w:gridCol w:w="1600"/>
        <w:gridCol w:w="1800"/>
        <w:gridCol w:w="1800"/>
      </w:tblGrid>
      <w:tr>
        <w:trPr>
          <w:tblHeader/>
        </w:trPr>
        <w:tc>
          <w:tcPr>
            <w:tcW w:type="dxa" w:w="17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5F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Level</w:t>
            </w:r>
          </w:p>
        </w:tc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5F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Approver Name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5F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5F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5F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L1 – Requestor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Faisal Al-Otaibi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 Project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Jan 15, 2024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L2 – Dept. Head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Khalid Al-Rashidi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VP – Digital Transformation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 – Finance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Nora Al-Subaie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Finance 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L4 – Procurement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Ahmad Al-Mansouri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Chief Procurement Officer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L5 – Final Authority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Saad Al-Barrak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 CEO, STC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80"/>
      </w:pP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Upon receipt of all approvals, this PR will be converted to a Purchase Order (PO) by the Procurement Office and issued to TCS against SOW-TCS-STC-DM-2024-001.</w:t>
      </w:r>
    </w:p>
    <w:p>
      <w:pPr>
        <w:spacing w:after="0" w:before="220"/>
      </w:pPr>
    </w:p>
    <w:p>
      <w:pPr>
        <w:pStyle w:val="Heading1"/>
        <w:pBdr>
          <w:bottom w:val="single" w:color="C8960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10.  BUSINESS JUSTIFICATION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procurement is required to support STC's strategic Digital Transformation programme. The enterprise data migration is a critical enabler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Decommissioning legacy on-premise infrastructure, reducing annual IT maintenance costs by an estimated 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Enabling real-time data analytics and AI/ML capabilities on the modern cloud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Ensuring regulatory compliance with Saudi PDPL and international data governance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Improving data quality and accessibility across STC's business units, driving faster decision-making</w:t>
      </w:r>
    </w:p>
    <w:p>
      <w:pPr>
        <w:spacing w:after="0" w:before="80"/>
      </w:pP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TCS was selected as the service provider under the pre-existing MSA (MSA-TCS-STC-2024-001) based on demonstrated expertise in large-scale telecom data migration engagements, availability of TCS MasterCraft DataPlus tooling, and competitive pricing validated during the MSA sourcing exercise.</w:t>
      </w:r>
    </w:p>
    <w:p>
      <w:r>
        <w:br w:type="page"/>
      </w:r>
    </w:p>
    <w:p>
      <w:pPr>
        <w:pStyle w:val="Heading1"/>
        <w:pBdr>
          <w:bottom w:val="single" w:color="C8960C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AUTHORIZED SIGNATURES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By signing below, the authorized parties confirm the business need, budget availability, and compliance with STC procurement policy for this Purchase Requisition.</w:t>
      </w:r>
    </w:p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EAF2FB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3366"/>
                <w:sz w:val="18"/>
                <w:szCs w:val="18"/>
              </w:rPr>
              <w:t xml:space="preserve">Requested By</w:t>
            </w:r>
          </w:p>
          <w:p>
            <w:pPr>
              <w:spacing w:after="0" w:before="100"/>
            </w:pP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Signature:  ______________________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Name:    Faisal Al-Otaibi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Title:     IT Project Manager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Date:     ______________________</w:t>
            </w:r>
          </w:p>
        </w:tc>
        <w:tc>
          <w:tcPr>
            <w:tcW w:type="dxa" w:w="312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5F5F5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3366"/>
                <w:sz w:val="18"/>
                <w:szCs w:val="18"/>
              </w:rPr>
              <w:t xml:space="preserve">Dept. Approval</w:t>
            </w:r>
          </w:p>
          <w:p>
            <w:pPr>
              <w:spacing w:after="0" w:before="100"/>
            </w:pP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Signature:  ______________________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Name:    Khalid Al-Rashidi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Title:     VP – Digital Transformation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Date:     ______________________</w:t>
            </w:r>
          </w:p>
        </w:tc>
        <w:tc>
          <w:tcPr>
            <w:tcW w:type="dxa" w:w="312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FFF8E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3366"/>
                <w:sz w:val="18"/>
                <w:szCs w:val="18"/>
              </w:rPr>
              <w:t xml:space="preserve">Final Approval</w:t>
            </w:r>
          </w:p>
          <w:p>
            <w:pPr>
              <w:spacing w:after="0" w:before="100"/>
            </w:pP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Signature:  ______________________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Name:    Ahmad Al-Mansouri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Title:     Chief Procurement Officer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Date:     ______________________</w:t>
            </w:r>
          </w:p>
        </w:tc>
      </w:tr>
    </w:tbl>
    <w:p>
      <w:pPr>
        <w:spacing w:after="0" w:before="180"/>
      </w:pPr>
    </w:p>
    <w:p>
      <w:pPr>
        <w:pBdr>
          <w:top w:val="single" w:color="003366" w:sz="4" w:space="6"/>
        </w:pBdr>
        <w:spacing w:before="18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PR No.: PR-STC-IT-2024-0023   |   Ref. SOW: SOW-TCS-STC-DM-2024-001   |   Ref. MSA: MSA-TCS-STC-2024-001   |   Version: v1.0   |   Date: January 15, 2024</w:t>
      </w:r>
    </w:p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66" w:sz="4" w:space="4"/>
      </w:pBdr>
    </w:pPr>
    <w:r>
      <w:rPr>
        <w:rFonts w:ascii="Arial" w:cs="Arial" w:eastAsia="Arial" w:hAnsi="Arial"/>
        <w:color w:val="555555"/>
        <w:sz w:val="17"/>
        <w:szCs w:val="17"/>
      </w:rPr>
      <w:t xml:space="preserve">Confidential  |  Ref. SOW: SOW-TCS-STC-DM-2024-001  |  Ref. MSA: MSA-TCS-STC-2024-001  |  Page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7"/>
        <w:szCs w:val="17"/>
      </w:rPr>
      <w:t xml:space="preserve"> of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4" w:space="4"/>
      </w:pBdr>
      <w:tabs>
        <w:tab w:val="right" w:pos="9026"/>
      </w:tabs>
    </w:pPr>
    <w:r>
      <w:rPr>
        <w:rFonts w:ascii="Arial" w:cs="Arial" w:eastAsia="Arial" w:hAnsi="Arial"/>
        <w:color w:val="003366"/>
        <w:sz w:val="17"/>
        <w:szCs w:val="17"/>
      </w:rPr>
      <w:t xml:space="preserve">PURCHASE REQUISITION  |  STC  |  Enterprise Data Migration</w:t>
    </w:r>
    <w:r>
      <w:rPr>
        <w:rFonts w:ascii="Arial" w:cs="Arial" w:eastAsia="Arial" w:hAnsi="Arial"/>
        <w:color w:val="555555"/>
        <w:sz w:val="17"/>
        <w:szCs w:val="17"/>
      </w:rPr>
      <w:t xml:space="preserve">	PR-STC-IT-2024-0023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05F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2026-04-26T02:45:16.365Z</dcterms:created>
  <dcterms:modified xsi:type="dcterms:W3CDTF">2026-04-26T02:45:16.366Z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