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24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PURCHASE ORDER (PO)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DDFF"/>
                <w:sz w:val="26"/>
                <w:szCs w:val="26"/>
              </w:rPr>
              <w:t xml:space="preserve">Enterprise Data Migration – STC Core Systems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PO Number: PO-STC-IT-2024-0047     |     PO Date: February 01, 2024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7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Ref. PR: PR-STC-IT-2024-0023   |   Ref. SOW: SOW-TCS-STC-DM-2024-001   |   Ref. MSA: MSA-TCS-STC-2024-001</w:t>
            </w:r>
          </w:p>
        </w:tc>
      </w:tr>
      <w:t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2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BILL TO / 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Saudi Telecom Company (STC)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P.O. Box 87, Riyadh 11432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Kingdom of Saudi Arabia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No.: 1010036265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Reg.: 300002471110003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Contact: Ahmad Al-Mansouri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procurement@stc.com.sa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VENDOR / SERVICE PROVIDER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Tata Consultancy Services Ltd. (TCS)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House, Raveline Street, Fort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– 400001, Maharashtra, India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CIN: L22210MH1995PLC084781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ID: VND-TCS-2024-007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Contact: Priya Nair (PM)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priya.nair@tcs.com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 PURCHASE ORDER – KEY ATTRIBUTES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Purchase Order is issued by Saudi Telecom Company (STC) to Tata Consultancy Services Limited (TCS) under MSA-TCS-STC-2024-001 and SOW-TCS-STC-DM-2024-001. This PO converts the approved Purchase Requisition PR-STC-IT-2024-0023 into a formal, binding procurement instruction.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Number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PO-STC-IT-2024-0047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01, 2024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Status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– ISSUED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GRN Indicator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 Required per Milestone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Limited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VND-TCS-2024-007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Telecom Company (STC)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– Digital Transformation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01, 2024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End 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31, 2025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Currency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(United States Dollar)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30 Days – Milestone-Based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Delivery Terms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SOW Milestone Schedule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Delivery Location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HQ, Riyadh, KSA &amp; TCS Mumbai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950,000.00 (excl. VAT)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incl. VAT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1,092,500.00 (@ 15% VAT)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Reference SOW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SOW-TCS-STC-DM-2024-001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Reference MSA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MSA-TCS-STC-2024-001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Reference PR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PR-STC-IT-2024-0023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Budget Code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IT-DT-CAPEX-2024-DM-007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 DESCRIPTION OF GOODS &amp; SERVICES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Purchase Order authorizes TCS to commence and deliver all professional services defined in SOW-TCS-STC-DM-2024-001 for the Enterprise Data Migration project of STC's Core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data migration planning, current-state assessment, and migration strategy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Legacy system data extraction, transformation, and loading (ETL) – design and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quality assessment, profiling, masking, anonymization, and reconciliation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Pilot migration (20% data volume) and full production migration to STC's target cloud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Post-migration stabilization, hypercare support (90 days), and project 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Documentation, training materials, runbooks, and knowledge transfer to STC internal teams</w:t>
      </w:r>
    </w:p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 LINE ITEMS, QUANTITIES &amp; UNIT PRICES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table below details each service line item, service code, quantity, unit price, and linked project milestone. All amounts are fixed-price per the SOW milestone schedule.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3200"/>
        <w:gridCol w:w="440"/>
        <w:gridCol w:w="1340"/>
        <w:gridCol w:w="1380"/>
        <w:gridCol w:w="1500"/>
      </w:tblGrid>
      <w:tr>
        <w:trPr>
          <w:tblHeader/>
        </w:trPr>
        <w:tc>
          <w:tcPr>
            <w:tcW w:type="dxa" w:w="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Code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3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Price (USD)</w:t>
            </w:r>
          </w:p>
        </w:tc>
        <w:tc>
          <w:tcPr>
            <w:tcW w:type="dxa" w:w="13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(USD)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Discovery &amp; Assessment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LS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$120,000.00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$120,000.00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M1 – Mar 31, 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&amp; Design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LS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$180,000.00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$180,000.00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M2 – May 31, 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Pilot Migration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LS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$200,000.00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$200,000.00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M3 – Jul 31, 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Production Migration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LS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$320,000.00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$320,000.00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M4 – Oct 31, 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Stabilization &amp; Hypercare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LS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$130,000.00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$130,000.00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M5 – Jan 31, 2025</w:t>
            </w:r>
          </w:p>
        </w:tc>
      </w:tr>
      <w:tr>
        <w:tc>
          <w:tcPr>
            <w:tcW w:type="dxa" w:w="6480"/>
            <w:gridSpan w:val="5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SUBTOTAL (excl. VAT)</w:t>
            </w:r>
          </w:p>
        </w:tc>
        <w:tc>
          <w:tcPr>
            <w:tcW w:type="dxa" w:w="13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$950,000.00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 TAX BREAKUP – KSA VAT @ 15%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services under this PO are subject to KSA Value Added Tax (VAT) at 15%. The tax breakup per service line is detailed below.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Description</w:t>
            </w:r>
          </w:p>
        </w:tc>
        <w:tc>
          <w:tcPr>
            <w:tcW w:type="dxa" w:w="136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Code</w:t>
            </w:r>
          </w:p>
        </w:tc>
        <w:tc>
          <w:tcPr>
            <w:tcW w:type="dxa" w:w="1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Taxable Amount (USD)</w:t>
            </w:r>
          </w:p>
        </w:tc>
        <w:tc>
          <w:tcPr>
            <w:tcW w:type="dxa" w:w="1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VAT Rate</w:t>
            </w:r>
          </w:p>
        </w:tc>
        <w:tc>
          <w:tcPr>
            <w:tcW w:type="dxa" w:w="1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VAT Amount (USD)</w:t>
            </w:r>
          </w:p>
        </w:tc>
        <w:tc>
          <w:tcPr>
            <w:tcW w:type="dxa" w:w="1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incl. VAT (USD)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Discovery &amp; Assessment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$18,000.00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$138,000.00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&amp; Design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$180,000.00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$27,000.00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$207,000.00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Pilot Migration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$200,000.00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$230,000.00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Production Migration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$320,000.00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$48,000.00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$368,000.00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Stabilization &amp; Hypercare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$19,500.00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$149,500.00</w:t>
            </w:r>
          </w:p>
        </w:tc>
      </w:tr>
      <w:tr>
        <w:tc>
          <w:tcPr>
            <w:tcW w:type="dxa" w:w="4560"/>
            <w:gridSpan w:val="2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$950,000.00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$142,500.00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$1,092,500.00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 DELIVERY TERMS &amp;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Delivery Terms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SOW milestone schedule; services delivered upon milestone completion and written STC acceptance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Primary Delivery 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Headquarters, P.O. Box 87, Riyadh 11432, Kingdom of Saudi Arabia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Work 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Delivery Centre, Mumbai, India (offshore) &amp; STC Riyadh (onsite during key milestones)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Onsite Requirement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Project Manager &amp; Lead Architect onsite during M3 Pilot and M4 Full Migration cutover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M1 – Discovery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M2 – 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M3 – Pilot 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31, 2024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M4 – Full 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31, 2024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M5 – Stabilization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31, 2025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6.  PAYMENT TERMS &amp; CONDITIONS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Pursuant to MSA Section 5 and SOW Section 5, payment under this PO is milestone-based: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TCS shall submit milestone invoices upon STC's written acceptance of the relevant milestone deliverable(s)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STC shall pay all undisputed invoices within Net 30 days of 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invoices must reference PO Number PO-STC-IT-2024-0047, the applicable SOW milestone, and service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 payments shall accrue interest at 1.5% per month on the overdue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STC may withhold payment only in the event of a bona fide written dispute raised within 10 business days of invoice 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amounts are in USD; VAT shall be invoiced separately at 15% and shall be borne by STC</w:t>
      </w:r>
    </w:p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7.  PO STATUS &amp; GRN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– ISSUED (February 01, 2024)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GRN Indicator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– Goods Receipt Note must be raised and accepted in STC ERP (SAP MM) for each milestone before invoice payment is processed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GRN Process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QA Lead raises GRN in SAP upon written milestone acceptance. GRN triggers Accounts Payable payment workflow.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ERP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MM Module | PO Document Type: ZITPO | PR Reference: ZITPR-2024-0023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Budget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IT-DT-CAPEX-2024-DM-007 | Cost Centre: CC-STC-IT-DIGITAL-2024 | GL: GL-7200-ITSVCS-EXT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Three-Way Match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GRN + Invoice three-way match required in SAP before payment release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8.  CONTRACTUAL &amp; POLICY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Governing MSA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MSA-TCS-STC-2024-001 (Jan 01, 2024 – Dec 31, 2026)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Governing SOW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SOW-TCS-STC-DM-2024-001 (Feb 01, 2024 – Jan 31, 2025)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Source PR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PR-STC-IT-2024-0023 (Approved Jan 30, 2024)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IP Rights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 Product becomes exclusive STC property upon full payment (MSA §6 / SOW §7)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5-year NDA survival; subscriber/PII data protected under Saudi PDPL (MSA §7 / SOW §8)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Indemnification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bears full liability for mishaps from its services, tools, or personnel (MSA §9 / SOW §10)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payable = 12 months of fees under SOW (~USD 950,000) (MSA §10 / SOW §11)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for cause; 60 days for convenience; orderly wind-down required (MSA §13 / SOW §13)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→ SCCA Mediation → SCCA Binding Arbitration, Riyadh (MSA §12 / SOW §12)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 of the Kingdom of Saudi Arabia; courts of Riyadh (MSA §11)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AUTHORIZED SIGNATURES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signing below, both parties confirm acceptance of this Purchase Order, its terms, and all incorporated references.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2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20"/>
                <w:szCs w:val="20"/>
              </w:rPr>
              <w:t xml:space="preserve">ISSUED BY – STC PROCUREMENT</w:t>
            </w:r>
          </w:p>
          <w:p>
            <w:pPr>
              <w:spacing w:after="0" w:before="12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___________________________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   Ahmad Al-Mansouri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     Chief Procurement Officer, STC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    February 01, 2024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Stamp / Seal: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20"/>
                <w:szCs w:val="20"/>
              </w:rPr>
              <w:t xml:space="preserve">ACCEPTED BY – TCS</w:t>
            </w:r>
          </w:p>
          <w:p>
            <w:pPr>
              <w:spacing w:after="0" w:before="12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___________________________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   Rajesh Gopinathan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     CEO &amp; Managing Director, TCS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    February 01, 2024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Stamp / Seal: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0" w:before="200"/>
      </w:pPr>
    </w:p>
    <w:p>
      <w:pPr>
        <w:pBdr>
          <w:top w:val="single" w:color="003366" w:sz="4" w:space="6"/>
        </w:pBdr>
        <w:spacing w:before="20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PO No: PO-STC-IT-2024-0047   |   PR Ref: PR-STC-IT-2024-0023   |   SOW: SOW-TCS-STC-DM-2024-001   |   MSA: MSA-TCS-STC-2024-001   |   Version: v1.0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Confidential  |  Governed by MSA-TCS-STC-2024-001 &amp; SOW-TCS-STC-DM-2024-001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4"/>
      </w:pBdr>
      <w:tabs>
        <w:tab w:val="right" w:pos="9026"/>
      </w:tabs>
    </w:pPr>
    <w:r>
      <w:rPr>
        <w:rFonts w:ascii="Arial" w:cs="Arial" w:eastAsia="Arial" w:hAnsi="Arial"/>
        <w:color w:val="003366"/>
        <w:sz w:val="18"/>
        <w:szCs w:val="18"/>
      </w:rPr>
      <w:t xml:space="preserve">PURCHASE ORDER  |  STC &amp; TCS  |  Data Migration Project</w:t>
    </w:r>
    <w:r>
      <w:rPr>
        <w:rFonts w:ascii="Arial" w:cs="Arial" w:eastAsia="Arial" w:hAnsi="Arial"/>
        <w:color w:val="555555"/>
        <w:sz w:val="18"/>
        <w:szCs w:val="18"/>
      </w:rPr>
      <w:t xml:space="preserve">	PO-STC-IT-2024-0047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5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2026-04-26T03:25:27.380Z</dcterms:created>
  <dcterms:modified xsi:type="dcterms:W3CDTF">2026-04-26T03:25:27.381Z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