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CC110">
      <w:pPr>
        <w:spacing w:before="20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C9E4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003366" w:sz="0" w:space="0"/>
              <w:left w:val="single" w:color="003366" w:sz="0" w:space="0"/>
              <w:bottom w:val="single" w:color="003366" w:sz="0" w:space="0"/>
              <w:right w:val="single" w:color="003366" w:sz="0" w:space="0"/>
            </w:tcBorders>
            <w:shd w:val="clear" w:color="auto" w:fill="003366"/>
            <w:tcMar>
              <w:top w:w="240" w:type="dxa"/>
              <w:left w:w="280" w:type="dxa"/>
              <w:bottom w:w="200" w:type="dxa"/>
              <w:right w:w="280" w:type="dxa"/>
            </w:tcMar>
          </w:tcPr>
          <w:p w14:paraId="444EDD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44"/>
                <w:szCs w:val="44"/>
              </w:rPr>
              <w:t>PURCHASE ORDER (PO)</w:t>
            </w:r>
          </w:p>
          <w:p w14:paraId="3E276990">
            <w:pPr>
              <w:spacing w:before="60"/>
              <w:jc w:val="center"/>
            </w:pPr>
            <w:r>
              <w:rPr>
                <w:rFonts w:ascii="Arial" w:hAnsi="Arial" w:eastAsia="Arial" w:cs="Arial"/>
                <w:color w:val="AADDFF"/>
                <w:sz w:val="26"/>
                <w:szCs w:val="26"/>
              </w:rPr>
              <w:t>Enterprise Data Migration – STC Core Systems</w:t>
            </w:r>
          </w:p>
          <w:p w14:paraId="4F717273">
            <w:pPr>
              <w:spacing w:before="60"/>
              <w:jc w:val="center"/>
            </w:pPr>
            <w:r>
              <w:rPr>
                <w:rFonts w:ascii="Arial" w:hAnsi="Arial" w:eastAsia="Arial" w:cs="Arial"/>
                <w:color w:val="CCCCCC"/>
                <w:sz w:val="20"/>
                <w:szCs w:val="20"/>
              </w:rPr>
              <w:t>PO Number: PO-STC-IT-2024-004</w:t>
            </w:r>
            <w:r>
              <w:rPr>
                <w:rFonts w:hint="default" w:cs="Arial"/>
                <w:color w:val="CCCCCC"/>
                <w:sz w:val="20"/>
                <w:szCs w:val="20"/>
                <w:lang w:val="en-US"/>
              </w:rPr>
              <w:t>8</w:t>
            </w:r>
            <w:r>
              <w:rPr>
                <w:rFonts w:ascii="Arial" w:hAnsi="Arial" w:eastAsia="Arial" w:cs="Arial"/>
                <w:color w:val="CCCCCC"/>
                <w:sz w:val="20"/>
                <w:szCs w:val="20"/>
              </w:rPr>
              <w:t xml:space="preserve">     |     PO Date: February 01, 2024</w:t>
            </w:r>
          </w:p>
        </w:tc>
      </w:tr>
      <w:tr w14:paraId="5F274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B8860B" w:sz="0" w:space="0"/>
              <w:left w:val="single" w:color="B8860B" w:sz="0" w:space="0"/>
              <w:bottom w:val="single" w:color="B8860B" w:sz="0" w:space="0"/>
              <w:right w:val="single" w:color="B8860B" w:sz="0" w:space="0"/>
            </w:tcBorders>
            <w:shd w:val="clear" w:color="auto" w:fill="FFF8E7"/>
            <w:tcMar>
              <w:top w:w="100" w:type="dxa"/>
              <w:left w:w="280" w:type="dxa"/>
              <w:bottom w:w="100" w:type="dxa"/>
              <w:right w:w="280" w:type="dxa"/>
            </w:tcMar>
          </w:tcPr>
          <w:p w14:paraId="7930C3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Ref. PR: PR-STC-IT-2024-0023   |   Ref. SOW: SOW-TCS-STC-DM-2024-001   |   Ref. MSA: MSA-TCS-STC-2024-001</w:t>
            </w:r>
          </w:p>
        </w:tc>
      </w:tr>
      <w:tr w14:paraId="76F72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003366" w:sz="0" w:space="0"/>
              <w:left w:val="single" w:color="003366" w:sz="0" w:space="0"/>
              <w:bottom w:val="single" w:color="003366" w:sz="0" w:space="0"/>
              <w:right w:val="single" w:color="003366" w:sz="0" w:space="0"/>
            </w:tcBorders>
            <w:shd w:val="clear" w:color="auto" w:fill="EAF2FB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65F3B23">
            <w:r>
              <w:rPr>
                <w:rFonts w:ascii="Arial" w:hAnsi="Arial" w:eastAsia="Arial" w:cs="Arial"/>
                <w:b/>
                <w:bCs/>
                <w:color w:val="003366"/>
                <w:sz w:val="18"/>
                <w:szCs w:val="18"/>
              </w:rPr>
              <w:t>BILL TO / CLIENT</w:t>
            </w:r>
          </w:p>
          <w:p w14:paraId="17EF23BC">
            <w:pPr>
              <w:spacing w:before="60"/>
              <w:rPr>
                <w:rFonts w:hint="default" w:ascii="Arial" w:hAnsi="Arial" w:eastAsia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  <w:lang w:val="en-US"/>
              </w:rPr>
              <w:t>SPACE X</w:t>
            </w:r>
          </w:p>
          <w:p w14:paraId="1D50E02A">
            <w:r>
              <w:rPr>
                <w:rFonts w:ascii="Arial" w:hAnsi="Arial" w:eastAsia="Arial" w:cs="Arial"/>
                <w:sz w:val="20"/>
                <w:szCs w:val="20"/>
              </w:rPr>
              <w:t>P.O. Box 87, Riyadh 1143</w:t>
            </w:r>
            <w:bookmarkStart w:id="0" w:name="_GoBack"/>
            <w:bookmarkEnd w:id="0"/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  <w:p w14:paraId="10284BC9">
            <w:r>
              <w:rPr>
                <w:rFonts w:ascii="Arial" w:hAnsi="Arial" w:eastAsia="Arial" w:cs="Arial"/>
                <w:sz w:val="20"/>
                <w:szCs w:val="20"/>
              </w:rPr>
              <w:t>Kingdom of Saudi Arabia</w:t>
            </w:r>
          </w:p>
          <w:p w14:paraId="2D2F9201">
            <w:r>
              <w:rPr>
                <w:rFonts w:ascii="Arial" w:hAnsi="Arial" w:eastAsia="Arial" w:cs="Arial"/>
                <w:sz w:val="20"/>
                <w:szCs w:val="20"/>
              </w:rPr>
              <w:t>CR No.: 1010036265</w:t>
            </w:r>
          </w:p>
          <w:p w14:paraId="112535F1">
            <w:r>
              <w:rPr>
                <w:rFonts w:ascii="Arial" w:hAnsi="Arial" w:eastAsia="Arial" w:cs="Arial"/>
                <w:sz w:val="20"/>
                <w:szCs w:val="20"/>
              </w:rPr>
              <w:t>VAT Reg.: 300002471110003</w:t>
            </w:r>
          </w:p>
          <w:p w14:paraId="4DF9910D">
            <w:pPr>
              <w:spacing w:before="80"/>
            </w:pPr>
            <w:r>
              <w:rPr>
                <w:rFonts w:ascii="Arial" w:hAnsi="Arial" w:eastAsia="Arial" w:cs="Arial"/>
                <w:sz w:val="20"/>
                <w:szCs w:val="20"/>
              </w:rPr>
              <w:t>Contact: Ahmad Al-Mansouri</w:t>
            </w:r>
          </w:p>
          <w:p w14:paraId="3D9A93F5">
            <w:r>
              <w:rPr>
                <w:rFonts w:ascii="Arial" w:hAnsi="Arial" w:eastAsia="Arial" w:cs="Arial"/>
                <w:sz w:val="20"/>
                <w:szCs w:val="20"/>
              </w:rPr>
              <w:t>procurement@stc.com.sa</w:t>
            </w:r>
          </w:p>
        </w:tc>
        <w:tc>
          <w:tcPr>
            <w:tcW w:w="4680" w:type="dxa"/>
            <w:tcBorders>
              <w:top w:val="single" w:color="003366" w:sz="0" w:space="0"/>
              <w:left w:val="single" w:color="003366" w:sz="0" w:space="0"/>
              <w:bottom w:val="single" w:color="003366" w:sz="0" w:space="0"/>
              <w:right w:val="single" w:color="003366" w:sz="0" w:space="0"/>
            </w:tcBorders>
            <w:shd w:val="clear" w:color="auto" w:fill="FFF8E7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19CF2B1">
            <w:r>
              <w:rPr>
                <w:rFonts w:ascii="Arial" w:hAnsi="Arial" w:eastAsia="Arial" w:cs="Arial"/>
                <w:b/>
                <w:bCs/>
                <w:color w:val="003366"/>
                <w:sz w:val="18"/>
                <w:szCs w:val="18"/>
              </w:rPr>
              <w:t>VENDOR / SERVICE PROVIDER</w:t>
            </w:r>
          </w:p>
          <w:p w14:paraId="2FDD2540">
            <w:pPr>
              <w:spacing w:before="60"/>
              <w:rPr>
                <w:rFonts w:hint="default" w:ascii="Arial" w:hAnsi="Arial" w:eastAsia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cs="Arial"/>
                <w:b/>
                <w:bCs/>
                <w:sz w:val="24"/>
                <w:szCs w:val="24"/>
                <w:lang w:val="en-US"/>
              </w:rPr>
              <w:t>TESLA(T)</w:t>
            </w:r>
          </w:p>
          <w:p w14:paraId="793DCA34">
            <w:r>
              <w:rPr>
                <w:rFonts w:ascii="Arial" w:hAnsi="Arial" w:eastAsia="Arial" w:cs="Arial"/>
                <w:sz w:val="20"/>
                <w:szCs w:val="20"/>
              </w:rPr>
              <w:t>TCS House, Raveline Street, Fort</w:t>
            </w:r>
          </w:p>
          <w:p w14:paraId="7AD6708A">
            <w:r>
              <w:rPr>
                <w:rFonts w:ascii="Arial" w:hAnsi="Arial" w:eastAsia="Arial" w:cs="Arial"/>
                <w:sz w:val="20"/>
                <w:szCs w:val="20"/>
              </w:rPr>
              <w:t>Mumbai – 400001, Maharashtra, India</w:t>
            </w:r>
          </w:p>
          <w:p w14:paraId="1966F620">
            <w:r>
              <w:rPr>
                <w:rFonts w:ascii="Arial" w:hAnsi="Arial" w:eastAsia="Arial" w:cs="Arial"/>
                <w:sz w:val="20"/>
                <w:szCs w:val="20"/>
              </w:rPr>
              <w:t>CIN: L22210MH1995PLC084781</w:t>
            </w:r>
          </w:p>
          <w:p w14:paraId="1F360801">
            <w:r>
              <w:rPr>
                <w:rFonts w:ascii="Arial" w:hAnsi="Arial" w:eastAsia="Arial" w:cs="Arial"/>
                <w:sz w:val="20"/>
                <w:szCs w:val="20"/>
              </w:rPr>
              <w:t>Vendor ID: VND-TCS-2024-007</w:t>
            </w:r>
          </w:p>
          <w:p w14:paraId="5743A1A7">
            <w:pPr>
              <w:spacing w:before="80"/>
            </w:pPr>
            <w:r>
              <w:rPr>
                <w:rFonts w:ascii="Arial" w:hAnsi="Arial" w:eastAsia="Arial" w:cs="Arial"/>
                <w:sz w:val="20"/>
                <w:szCs w:val="20"/>
              </w:rPr>
              <w:t>Contact: Priya Nair (PM)</w:t>
            </w:r>
          </w:p>
          <w:p w14:paraId="7CD56DE6">
            <w:r>
              <w:rPr>
                <w:rFonts w:ascii="Arial" w:hAnsi="Arial" w:eastAsia="Arial" w:cs="Arial"/>
                <w:sz w:val="20"/>
                <w:szCs w:val="20"/>
              </w:rPr>
              <w:t>priya.nair@tcs.com</w:t>
            </w:r>
          </w:p>
        </w:tc>
      </w:tr>
    </w:tbl>
    <w:p w14:paraId="7AC19A1D">
      <w:pPr>
        <w:spacing w:before="240" w:after="0"/>
      </w:pPr>
    </w:p>
    <w:p w14:paraId="1173BC18">
      <w:pPr>
        <w:pStyle w:val="2"/>
        <w:pBdr>
          <w:bottom w:val="single" w:color="B8860B" w:sz="8" w:space="4"/>
        </w:pBdr>
        <w:spacing w:before="320" w:after="140"/>
      </w:pPr>
      <w:r>
        <w:rPr>
          <w:rFonts w:ascii="Arial" w:hAnsi="Arial" w:eastAsia="Arial" w:cs="Arial"/>
          <w:b/>
          <w:bCs/>
          <w:color w:val="003366"/>
          <w:sz w:val="28"/>
          <w:szCs w:val="28"/>
        </w:rPr>
        <w:t>1.  PURCHASE ORDER – KEY ATTRIBUTES</w:t>
      </w:r>
    </w:p>
    <w:p w14:paraId="6B34BA18">
      <w:pPr>
        <w:spacing w:before="80" w:after="10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This Purchase Order is issued by Saudi Telecom Company (STC) to Tata Consultancy Services Limited (TCS) under MSA-TCS-STC-2024-001 and SOW-TCS-STC-DM-2024-001. This PO converts the approved Purchase Requisition PR-STC-IT-2024-0023 into a formal, binding procurement instruction.</w:t>
      </w:r>
    </w:p>
    <w:p w14:paraId="2F32A130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2580"/>
        <w:gridCol w:w="2100"/>
        <w:gridCol w:w="2580"/>
      </w:tblGrid>
      <w:tr w14:paraId="69857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023A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PO Number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4464">
            <w:r>
              <w:rPr>
                <w:rFonts w:ascii="Arial" w:hAnsi="Arial" w:eastAsia="Arial" w:cs="Arial"/>
                <w:sz w:val="20"/>
                <w:szCs w:val="20"/>
              </w:rPr>
              <w:t>PO-STC-IT-2024-0047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5EFC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PO Date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E304">
            <w:r>
              <w:rPr>
                <w:rFonts w:ascii="Arial" w:hAnsi="Arial" w:eastAsia="Arial" w:cs="Arial"/>
                <w:sz w:val="20"/>
                <w:szCs w:val="20"/>
              </w:rPr>
              <w:t>February 01, 2024</w:t>
            </w:r>
          </w:p>
        </w:tc>
      </w:tr>
      <w:tr w14:paraId="6157F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02AC9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PO Status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0E09">
            <w:r>
              <w:rPr>
                <w:rFonts w:ascii="Arial" w:hAnsi="Arial" w:eastAsia="Arial" w:cs="Arial"/>
                <w:sz w:val="20"/>
                <w:szCs w:val="20"/>
              </w:rPr>
              <w:t>APPROVED – ISSUED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9D5B0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GRN Indicator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897D">
            <w:r>
              <w:rPr>
                <w:rFonts w:ascii="Arial" w:hAnsi="Arial" w:eastAsia="Arial" w:cs="Arial"/>
                <w:sz w:val="20"/>
                <w:szCs w:val="20"/>
              </w:rPr>
              <w:t>GRN Required per Milestone</w:t>
            </w:r>
          </w:p>
        </w:tc>
      </w:tr>
      <w:tr w14:paraId="4F4AA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464A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Vendor Name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8FC9">
            <w:r>
              <w:rPr>
                <w:rFonts w:ascii="Arial" w:hAnsi="Arial" w:eastAsia="Arial" w:cs="Arial"/>
                <w:sz w:val="20"/>
                <w:szCs w:val="20"/>
              </w:rPr>
              <w:t>TCS Limited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33D8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Vendor ID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92EE5">
            <w:r>
              <w:rPr>
                <w:rFonts w:ascii="Arial" w:hAnsi="Arial" w:eastAsia="Arial" w:cs="Arial"/>
                <w:sz w:val="20"/>
                <w:szCs w:val="20"/>
              </w:rPr>
              <w:t>VND-TCS-2024-007</w:t>
            </w:r>
          </w:p>
        </w:tc>
      </w:tr>
      <w:tr w14:paraId="262EE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2A33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Client Name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F2A01">
            <w:r>
              <w:rPr>
                <w:rFonts w:ascii="Arial" w:hAnsi="Arial" w:eastAsia="Arial" w:cs="Arial"/>
                <w:sz w:val="20"/>
                <w:szCs w:val="20"/>
              </w:rPr>
              <w:t>Saudi Telecom Company (STC)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6DDB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Department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4AD7">
            <w:r>
              <w:rPr>
                <w:rFonts w:ascii="Arial" w:hAnsi="Arial" w:eastAsia="Arial" w:cs="Arial"/>
                <w:sz w:val="20"/>
                <w:szCs w:val="20"/>
              </w:rPr>
              <w:t>IT – Digital Transformation</w:t>
            </w:r>
          </w:p>
        </w:tc>
      </w:tr>
      <w:tr w14:paraId="132C9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24DC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Start Date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8A9EA">
            <w:r>
              <w:rPr>
                <w:rFonts w:ascii="Arial" w:hAnsi="Arial" w:eastAsia="Arial" w:cs="Arial"/>
                <w:sz w:val="20"/>
                <w:szCs w:val="20"/>
              </w:rPr>
              <w:t>February 01, 2024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5B7F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End Date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9712">
            <w:r>
              <w:rPr>
                <w:rFonts w:ascii="Arial" w:hAnsi="Arial" w:eastAsia="Arial" w:cs="Arial"/>
                <w:sz w:val="20"/>
                <w:szCs w:val="20"/>
              </w:rPr>
              <w:t>January 31, 2025</w:t>
            </w:r>
          </w:p>
        </w:tc>
      </w:tr>
      <w:tr w14:paraId="3BF6B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986A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Currency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B82C">
            <w:r>
              <w:rPr>
                <w:rFonts w:ascii="Arial" w:hAnsi="Arial" w:eastAsia="Arial" w:cs="Arial"/>
                <w:sz w:val="20"/>
                <w:szCs w:val="20"/>
              </w:rPr>
              <w:t>USD (United States Dollar)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F98F7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Payment Terms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DE2B">
            <w:r>
              <w:rPr>
                <w:rFonts w:ascii="Arial" w:hAnsi="Arial" w:eastAsia="Arial" w:cs="Arial"/>
                <w:sz w:val="20"/>
                <w:szCs w:val="20"/>
              </w:rPr>
              <w:t>Net 30 Days – Milestone-Based</w:t>
            </w:r>
          </w:p>
        </w:tc>
      </w:tr>
      <w:tr w14:paraId="7AEAF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5B5F8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Delivery Terms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AE62">
            <w:r>
              <w:rPr>
                <w:rFonts w:ascii="Arial" w:hAnsi="Arial" w:eastAsia="Arial" w:cs="Arial"/>
                <w:sz w:val="20"/>
                <w:szCs w:val="20"/>
              </w:rPr>
              <w:t>Per SOW Milestone Schedule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43D7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Delivery Location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D8477">
            <w:r>
              <w:rPr>
                <w:rFonts w:ascii="Arial" w:hAnsi="Arial" w:eastAsia="Arial" w:cs="Arial"/>
                <w:sz w:val="20"/>
                <w:szCs w:val="20"/>
              </w:rPr>
              <w:t>STC HQ, Riyadh, KSA &amp; TCS Mumbai</w:t>
            </w:r>
          </w:p>
        </w:tc>
      </w:tr>
      <w:tr w14:paraId="7958C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DDFE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Total Amount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9792">
            <w:r>
              <w:rPr>
                <w:rFonts w:ascii="Arial" w:hAnsi="Arial" w:eastAsia="Arial" w:cs="Arial"/>
                <w:sz w:val="20"/>
                <w:szCs w:val="20"/>
              </w:rPr>
              <w:t>USD 950,000.00 (excl. VAT)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E6D2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Total incl. VAT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3930">
            <w:r>
              <w:rPr>
                <w:rFonts w:ascii="Arial" w:hAnsi="Arial" w:eastAsia="Arial" w:cs="Arial"/>
                <w:sz w:val="20"/>
                <w:szCs w:val="20"/>
              </w:rPr>
              <w:t>USD 1,092,500.00 (@ 15% VAT)</w:t>
            </w:r>
          </w:p>
        </w:tc>
      </w:tr>
      <w:tr w14:paraId="17190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AB39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Reference SOW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075E">
            <w:r>
              <w:rPr>
                <w:rFonts w:ascii="Arial" w:hAnsi="Arial" w:eastAsia="Arial" w:cs="Arial"/>
                <w:sz w:val="20"/>
                <w:szCs w:val="20"/>
              </w:rPr>
              <w:t>SOW-TCS-STC-DM-2024-001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BE7E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Reference MSA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08A6">
            <w:r>
              <w:rPr>
                <w:rFonts w:ascii="Arial" w:hAnsi="Arial" w:eastAsia="Arial" w:cs="Arial"/>
                <w:sz w:val="20"/>
                <w:szCs w:val="20"/>
              </w:rPr>
              <w:t>MSA-TCS-STC-2024-001</w:t>
            </w:r>
          </w:p>
        </w:tc>
      </w:tr>
      <w:tr w14:paraId="4BB1A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4B85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Reference PR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15AA">
            <w:r>
              <w:rPr>
                <w:rFonts w:ascii="Arial" w:hAnsi="Arial" w:eastAsia="Arial" w:cs="Arial"/>
                <w:sz w:val="20"/>
                <w:szCs w:val="20"/>
              </w:rPr>
              <w:t>PR-STC-IT-2024-0023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B128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Budget Code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54BF">
            <w:r>
              <w:rPr>
                <w:rFonts w:ascii="Arial" w:hAnsi="Arial" w:eastAsia="Arial" w:cs="Arial"/>
                <w:sz w:val="20"/>
                <w:szCs w:val="20"/>
              </w:rPr>
              <w:t>IT-DT-CAPEX-2024-DM-007</w:t>
            </w:r>
          </w:p>
        </w:tc>
      </w:tr>
    </w:tbl>
    <w:p w14:paraId="02657EDA">
      <w:pPr>
        <w:spacing w:before="240" w:after="0"/>
      </w:pPr>
    </w:p>
    <w:p w14:paraId="0E1AEBE4">
      <w:pPr>
        <w:pStyle w:val="2"/>
        <w:pBdr>
          <w:bottom w:val="single" w:color="B8860B" w:sz="8" w:space="4"/>
        </w:pBdr>
        <w:spacing w:before="320" w:after="140"/>
      </w:pPr>
      <w:r>
        <w:rPr>
          <w:rFonts w:ascii="Arial" w:hAnsi="Arial" w:eastAsia="Arial" w:cs="Arial"/>
          <w:b/>
          <w:bCs/>
          <w:color w:val="003366"/>
          <w:sz w:val="28"/>
          <w:szCs w:val="28"/>
        </w:rPr>
        <w:t>2.  DESCRIPTION OF GOODS &amp; SERVICES</w:t>
      </w:r>
    </w:p>
    <w:p w14:paraId="10D0FF3D">
      <w:pPr>
        <w:spacing w:before="80" w:after="10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This Purchase Order authorizes TCS to commence and deliver all professional services defined in SOW-TCS-STC-DM-2024-001 for the Enterprise Data Migration project of STC's Core Systems.</w:t>
      </w:r>
    </w:p>
    <w:p w14:paraId="40F5735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Enterprise data migration planning, current-state assessment, and migration strategy development</w:t>
      </w:r>
    </w:p>
    <w:p w14:paraId="766AFC5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Legacy system data extraction, transformation, and loading (ETL) – design and execution</w:t>
      </w:r>
    </w:p>
    <w:p w14:paraId="56C2256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Data quality assessment, profiling, masking, anonymization, and reconciliation</w:t>
      </w:r>
    </w:p>
    <w:p w14:paraId="1DCE155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Pilot migration (20% data volume) and full production migration to STC's target cloud platform</w:t>
      </w:r>
    </w:p>
    <w:p w14:paraId="5B2AE91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Post-migration stabilization, hypercare support (90 days), and project closure</w:t>
      </w:r>
    </w:p>
    <w:p w14:paraId="23B1CDE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Documentation, training materials, runbooks, and knowledge transfer to STC internal teams</w:t>
      </w:r>
    </w:p>
    <w:p w14:paraId="576CE84D">
      <w:pPr>
        <w:spacing w:before="160" w:after="0"/>
      </w:pPr>
    </w:p>
    <w:p w14:paraId="030533A8">
      <w:pPr>
        <w:pStyle w:val="2"/>
        <w:pBdr>
          <w:bottom w:val="single" w:color="B8860B" w:sz="8" w:space="4"/>
        </w:pBdr>
        <w:spacing w:before="320" w:after="140"/>
      </w:pPr>
      <w:r>
        <w:rPr>
          <w:rFonts w:ascii="Arial" w:hAnsi="Arial" w:eastAsia="Arial" w:cs="Arial"/>
          <w:b/>
          <w:bCs/>
          <w:color w:val="003366"/>
          <w:sz w:val="28"/>
          <w:szCs w:val="28"/>
        </w:rPr>
        <w:t>3.  LINE ITEMS, QUANTITIES &amp; UNIT PRICES</w:t>
      </w:r>
    </w:p>
    <w:p w14:paraId="1D4B964C">
      <w:pPr>
        <w:spacing w:before="80" w:after="10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The table below details each service line item, service code, quantity, unit price, and linked project milestone. All amounts are fixed-price per the SOW milestone schedule.</w:t>
      </w:r>
    </w:p>
    <w:p w14:paraId="79FFAF90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7"/>
        <w:gridCol w:w="1094"/>
        <w:gridCol w:w="3147"/>
        <w:gridCol w:w="517"/>
        <w:gridCol w:w="1338"/>
        <w:gridCol w:w="1378"/>
        <w:gridCol w:w="1489"/>
      </w:tblGrid>
      <w:tr w14:paraId="0CBAC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dxa"/>
            <w:tcBorders>
              <w:top w:val="single" w:color="003366" w:sz="0" w:space="0"/>
              <w:left w:val="single" w:color="003366" w:sz="0" w:space="0"/>
              <w:bottom w:val="single" w:color="003366" w:sz="0" w:space="0"/>
              <w:right w:val="single" w:color="003366" w:sz="0" w:space="0"/>
            </w:tcBorders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928E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100" w:type="dxa"/>
            <w:tcBorders>
              <w:top w:val="single" w:color="003366" w:sz="0" w:space="0"/>
              <w:left w:val="single" w:color="003366" w:sz="0" w:space="0"/>
              <w:bottom w:val="single" w:color="003366" w:sz="0" w:space="0"/>
              <w:right w:val="single" w:color="003366" w:sz="0" w:space="0"/>
            </w:tcBorders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8DF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Service Code</w:t>
            </w:r>
          </w:p>
        </w:tc>
        <w:tc>
          <w:tcPr>
            <w:tcW w:w="3200" w:type="dxa"/>
            <w:tcBorders>
              <w:top w:val="single" w:color="003366" w:sz="0" w:space="0"/>
              <w:left w:val="single" w:color="003366" w:sz="0" w:space="0"/>
              <w:bottom w:val="single" w:color="003366" w:sz="0" w:space="0"/>
              <w:right w:val="single" w:color="003366" w:sz="0" w:space="0"/>
            </w:tcBorders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39D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440" w:type="dxa"/>
            <w:tcBorders>
              <w:top w:val="single" w:color="003366" w:sz="0" w:space="0"/>
              <w:left w:val="single" w:color="003366" w:sz="0" w:space="0"/>
              <w:bottom w:val="single" w:color="003366" w:sz="0" w:space="0"/>
              <w:right w:val="single" w:color="003366" w:sz="0" w:space="0"/>
            </w:tcBorders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3D0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Qty</w:t>
            </w:r>
          </w:p>
        </w:tc>
        <w:tc>
          <w:tcPr>
            <w:tcW w:w="1340" w:type="dxa"/>
            <w:tcBorders>
              <w:top w:val="single" w:color="003366" w:sz="0" w:space="0"/>
              <w:left w:val="single" w:color="003366" w:sz="0" w:space="0"/>
              <w:bottom w:val="single" w:color="003366" w:sz="0" w:space="0"/>
              <w:right w:val="single" w:color="003366" w:sz="0" w:space="0"/>
            </w:tcBorders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EB8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Unit Price (USD)</w:t>
            </w:r>
          </w:p>
        </w:tc>
        <w:tc>
          <w:tcPr>
            <w:tcW w:w="1380" w:type="dxa"/>
            <w:tcBorders>
              <w:top w:val="single" w:color="003366" w:sz="0" w:space="0"/>
              <w:left w:val="single" w:color="003366" w:sz="0" w:space="0"/>
              <w:bottom w:val="single" w:color="003366" w:sz="0" w:space="0"/>
              <w:right w:val="single" w:color="003366" w:sz="0" w:space="0"/>
            </w:tcBorders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C79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Total (USD)</w:t>
            </w:r>
          </w:p>
        </w:tc>
        <w:tc>
          <w:tcPr>
            <w:tcW w:w="1500" w:type="dxa"/>
            <w:tcBorders>
              <w:top w:val="single" w:color="003366" w:sz="0" w:space="0"/>
              <w:left w:val="single" w:color="003366" w:sz="0" w:space="0"/>
              <w:bottom w:val="single" w:color="003366" w:sz="0" w:space="0"/>
              <w:right w:val="single" w:color="003366" w:sz="0" w:space="0"/>
            </w:tcBorders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0B5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</w:tr>
      <w:tr w14:paraId="37080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4E8B2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AE70B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SVC-DM-001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A52F6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Discovery &amp; Assessment</w:t>
            </w:r>
          </w:p>
        </w:tc>
        <w:tc>
          <w:tcPr>
            <w:tcW w:w="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A1508">
            <w:pPr>
              <w:jc w:val="left"/>
              <w:rPr>
                <w:rFonts w:hint="default" w:cs="Arial"/>
                <w:sz w:val="19"/>
                <w:szCs w:val="19"/>
                <w:lang w:val="en-US"/>
              </w:rPr>
            </w:pPr>
            <w:r>
              <w:rPr>
                <w:rFonts w:hint="default" w:cs="Arial"/>
                <w:sz w:val="19"/>
                <w:szCs w:val="19"/>
                <w:lang w:val="en-US"/>
              </w:rPr>
              <w:t>0</w:t>
            </w:r>
          </w:p>
          <w:p w14:paraId="5681088F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LS</w:t>
            </w:r>
          </w:p>
        </w:tc>
        <w:tc>
          <w:tcPr>
            <w:tcW w:w="1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409EA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$120,000.00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73BF2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$120,000.00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1DFF7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M1 – Mar 31, 2024</w:t>
            </w:r>
          </w:p>
        </w:tc>
      </w:tr>
      <w:tr w14:paraId="002C8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8442D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CD945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SVC-DM-002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D9F68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Architecture &amp; Design</w:t>
            </w:r>
          </w:p>
        </w:tc>
        <w:tc>
          <w:tcPr>
            <w:tcW w:w="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8FB1B">
            <w:pPr>
              <w:jc w:val="left"/>
              <w:rPr>
                <w:rFonts w:hint="default" w:cs="Arial"/>
                <w:sz w:val="19"/>
                <w:szCs w:val="19"/>
                <w:lang w:val="en-US"/>
              </w:rPr>
            </w:pPr>
            <w:r>
              <w:rPr>
                <w:rFonts w:hint="default" w:cs="Arial"/>
                <w:sz w:val="19"/>
                <w:szCs w:val="19"/>
                <w:lang w:val="en-US"/>
              </w:rPr>
              <w:t>10</w:t>
            </w:r>
          </w:p>
          <w:p w14:paraId="56BED7B0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LS</w:t>
            </w:r>
          </w:p>
        </w:tc>
        <w:tc>
          <w:tcPr>
            <w:tcW w:w="1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99620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$180,000.00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2A94B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$180,000.00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0DC87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M2 – May 31, 2024</w:t>
            </w:r>
          </w:p>
        </w:tc>
      </w:tr>
      <w:tr w14:paraId="12E2E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FDA13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A7008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SVC-DM-003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6DB9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Pilot Migration</w:t>
            </w:r>
          </w:p>
        </w:tc>
        <w:tc>
          <w:tcPr>
            <w:tcW w:w="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A3EF5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1 LS</w:t>
            </w:r>
          </w:p>
        </w:tc>
        <w:tc>
          <w:tcPr>
            <w:tcW w:w="1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8A0C5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$200,000.00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4F198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$200,000.00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75F57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M3 – Jul 31, 2024</w:t>
            </w:r>
          </w:p>
        </w:tc>
      </w:tr>
      <w:tr w14:paraId="3F91E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3C864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4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E728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SVC-DM-004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AF719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Full Production Migration</w:t>
            </w:r>
          </w:p>
        </w:tc>
        <w:tc>
          <w:tcPr>
            <w:tcW w:w="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C5C3B">
            <w:pPr>
              <w:jc w:val="left"/>
              <w:rPr>
                <w:rFonts w:hint="default" w:cs="Arial"/>
                <w:sz w:val="19"/>
                <w:szCs w:val="19"/>
                <w:lang w:val="en-US"/>
              </w:rPr>
            </w:pPr>
            <w:r>
              <w:rPr>
                <w:rFonts w:hint="default" w:cs="Arial"/>
                <w:sz w:val="19"/>
                <w:szCs w:val="19"/>
                <w:lang w:val="en-US"/>
              </w:rPr>
              <w:t>30</w:t>
            </w:r>
          </w:p>
          <w:p w14:paraId="23AB550F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LS</w:t>
            </w:r>
          </w:p>
        </w:tc>
        <w:tc>
          <w:tcPr>
            <w:tcW w:w="1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C7FC3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$320,000.00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60C0F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$320,000.00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F1B54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M4 – Oct 31, 2024</w:t>
            </w:r>
          </w:p>
        </w:tc>
      </w:tr>
      <w:tr w14:paraId="1841E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367B6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967F8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SVC-DM-005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CD904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Stabilization &amp; Hypercare</w:t>
            </w:r>
          </w:p>
        </w:tc>
        <w:tc>
          <w:tcPr>
            <w:tcW w:w="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A00DC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1 LS</w:t>
            </w:r>
          </w:p>
        </w:tc>
        <w:tc>
          <w:tcPr>
            <w:tcW w:w="1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62AD2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$130,000.00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711D4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$130,000.00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C010E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M5 – Jan 31, 2025</w:t>
            </w:r>
          </w:p>
        </w:tc>
      </w:tr>
      <w:tr w14:paraId="2FFC0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80" w:type="dxa"/>
            <w:gridSpan w:val="5"/>
            <w:tcBorders>
              <w:top w:val="single" w:color="003366" w:sz="0" w:space="0"/>
              <w:left w:val="single" w:color="003366" w:sz="0" w:space="0"/>
              <w:bottom w:val="single" w:color="003366" w:sz="0" w:space="0"/>
              <w:right w:val="single" w:color="003366" w:sz="0" w:space="0"/>
            </w:tcBorders>
            <w:shd w:val="clear" w:color="auto" w:fill="FFF8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77E2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SUBTOTAL (excl. VAT)</w:t>
            </w:r>
          </w:p>
        </w:tc>
        <w:tc>
          <w:tcPr>
            <w:tcW w:w="1380" w:type="dxa"/>
            <w:tcBorders>
              <w:top w:val="single" w:color="003366" w:sz="0" w:space="0"/>
              <w:left w:val="single" w:color="003366" w:sz="0" w:space="0"/>
              <w:bottom w:val="single" w:color="003366" w:sz="0" w:space="0"/>
              <w:right w:val="single" w:color="003366" w:sz="0" w:space="0"/>
            </w:tcBorders>
            <w:shd w:val="clear" w:color="auto" w:fill="FFF8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E7CA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$950,000.00</w:t>
            </w:r>
          </w:p>
        </w:tc>
        <w:tc>
          <w:tcPr>
            <w:tcW w:w="1500" w:type="dxa"/>
            <w:tcBorders>
              <w:top w:val="single" w:color="003366" w:sz="0" w:space="0"/>
              <w:left w:val="single" w:color="003366" w:sz="0" w:space="0"/>
              <w:bottom w:val="single" w:color="003366" w:sz="0" w:space="0"/>
              <w:right w:val="single" w:color="003366" w:sz="0" w:space="0"/>
            </w:tcBorders>
            <w:shd w:val="clear" w:color="auto" w:fill="FFF8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E2413"/>
        </w:tc>
      </w:tr>
    </w:tbl>
    <w:p w14:paraId="46D591E3">
      <w:pPr>
        <w:spacing w:before="160" w:after="0"/>
      </w:pPr>
    </w:p>
    <w:p w14:paraId="19283408">
      <w:pPr>
        <w:pStyle w:val="2"/>
        <w:pBdr>
          <w:bottom w:val="single" w:color="B8860B" w:sz="8" w:space="4"/>
        </w:pBdr>
        <w:spacing w:before="320" w:after="140"/>
      </w:pPr>
      <w:r>
        <w:rPr>
          <w:rFonts w:ascii="Arial" w:hAnsi="Arial" w:eastAsia="Arial" w:cs="Arial"/>
          <w:b/>
          <w:bCs/>
          <w:color w:val="003366"/>
          <w:sz w:val="28"/>
          <w:szCs w:val="28"/>
        </w:rPr>
        <w:t>4.  TAX BREAKUP – KSA VAT @ 15%</w:t>
      </w:r>
    </w:p>
    <w:p w14:paraId="60DC9770">
      <w:pPr>
        <w:spacing w:before="80" w:after="10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All services under this PO are subject to KSA Value Added Tax (VAT) at 15%. The tax breakup per service line is detailed below.</w:t>
      </w:r>
    </w:p>
    <w:p w14:paraId="382DEE21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73"/>
        <w:gridCol w:w="1279"/>
        <w:gridCol w:w="1313"/>
        <w:gridCol w:w="1102"/>
        <w:gridCol w:w="1313"/>
        <w:gridCol w:w="1480"/>
      </w:tblGrid>
      <w:tr w14:paraId="64887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005F73" w:sz="0" w:space="0"/>
              <w:left w:val="single" w:color="005F73" w:sz="0" w:space="0"/>
              <w:bottom w:val="single" w:color="005F73" w:sz="0" w:space="0"/>
              <w:right w:val="single" w:color="005F73" w:sz="0" w:space="0"/>
            </w:tcBorders>
            <w:shd w:val="clear" w:color="auto" w:fill="005F7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564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Service Description</w:t>
            </w:r>
          </w:p>
        </w:tc>
        <w:tc>
          <w:tcPr>
            <w:tcW w:w="1360" w:type="dxa"/>
            <w:tcBorders>
              <w:top w:val="single" w:color="005F73" w:sz="0" w:space="0"/>
              <w:left w:val="single" w:color="005F73" w:sz="0" w:space="0"/>
              <w:bottom w:val="single" w:color="005F73" w:sz="0" w:space="0"/>
              <w:right w:val="single" w:color="005F73" w:sz="0" w:space="0"/>
            </w:tcBorders>
            <w:shd w:val="clear" w:color="auto" w:fill="005F7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06C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Service Code</w:t>
            </w:r>
          </w:p>
        </w:tc>
        <w:tc>
          <w:tcPr>
            <w:tcW w:w="1200" w:type="dxa"/>
            <w:tcBorders>
              <w:top w:val="single" w:color="005F73" w:sz="0" w:space="0"/>
              <w:left w:val="single" w:color="005F73" w:sz="0" w:space="0"/>
              <w:bottom w:val="single" w:color="005F73" w:sz="0" w:space="0"/>
              <w:right w:val="single" w:color="005F73" w:sz="0" w:space="0"/>
            </w:tcBorders>
            <w:shd w:val="clear" w:color="auto" w:fill="005F7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7A9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Taxable Amount (USD)</w:t>
            </w:r>
          </w:p>
        </w:tc>
        <w:tc>
          <w:tcPr>
            <w:tcW w:w="1200" w:type="dxa"/>
            <w:tcBorders>
              <w:top w:val="single" w:color="005F73" w:sz="0" w:space="0"/>
              <w:left w:val="single" w:color="005F73" w:sz="0" w:space="0"/>
              <w:bottom w:val="single" w:color="005F73" w:sz="0" w:space="0"/>
              <w:right w:val="single" w:color="005F73" w:sz="0" w:space="0"/>
            </w:tcBorders>
            <w:shd w:val="clear" w:color="auto" w:fill="005F7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CB3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VAT Rate</w:t>
            </w:r>
          </w:p>
        </w:tc>
        <w:tc>
          <w:tcPr>
            <w:tcW w:w="1200" w:type="dxa"/>
            <w:tcBorders>
              <w:top w:val="single" w:color="005F73" w:sz="0" w:space="0"/>
              <w:left w:val="single" w:color="005F73" w:sz="0" w:space="0"/>
              <w:bottom w:val="single" w:color="005F73" w:sz="0" w:space="0"/>
              <w:right w:val="single" w:color="005F73" w:sz="0" w:space="0"/>
            </w:tcBorders>
            <w:shd w:val="clear" w:color="auto" w:fill="005F7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4B4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VAT Amount (USD)</w:t>
            </w:r>
          </w:p>
        </w:tc>
        <w:tc>
          <w:tcPr>
            <w:tcW w:w="1200" w:type="dxa"/>
            <w:tcBorders>
              <w:top w:val="single" w:color="005F73" w:sz="0" w:space="0"/>
              <w:left w:val="single" w:color="005F73" w:sz="0" w:space="0"/>
              <w:bottom w:val="single" w:color="005F73" w:sz="0" w:space="0"/>
              <w:right w:val="single" w:color="005F73" w:sz="0" w:space="0"/>
            </w:tcBorders>
            <w:shd w:val="clear" w:color="auto" w:fill="005F7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26B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Total incl. VAT (USD)</w:t>
            </w:r>
          </w:p>
        </w:tc>
      </w:tr>
      <w:tr w14:paraId="0226A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A473C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Discovery &amp; Assessment</w:t>
            </w:r>
          </w:p>
        </w:tc>
        <w:tc>
          <w:tcPr>
            <w:tcW w:w="1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C03B9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SVC-DM-001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4A9AC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$120,000.00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40F84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15%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B1608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$18,000.00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9B145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$138,000.00</w:t>
            </w:r>
          </w:p>
        </w:tc>
      </w:tr>
      <w:tr w14:paraId="62061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4235C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Architecture &amp; Design</w:t>
            </w:r>
          </w:p>
        </w:tc>
        <w:tc>
          <w:tcPr>
            <w:tcW w:w="1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DC1D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SVC-DM-002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D1653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$180,000.00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2C344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15%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B8677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$27,000.00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D3F77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$207,000.00</w:t>
            </w:r>
          </w:p>
        </w:tc>
      </w:tr>
      <w:tr w14:paraId="24175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9A976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Pilot Migration</w:t>
            </w:r>
          </w:p>
        </w:tc>
        <w:tc>
          <w:tcPr>
            <w:tcW w:w="1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920AA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SVC-DM-003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E627B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$200,000.00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6FBDE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15%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8363C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$30,000.00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7E74E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$230,000.00</w:t>
            </w:r>
          </w:p>
        </w:tc>
      </w:tr>
      <w:tr w14:paraId="1368D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BE016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Full Production Migration</w:t>
            </w:r>
          </w:p>
        </w:tc>
        <w:tc>
          <w:tcPr>
            <w:tcW w:w="1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D28BF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SVC-DM-004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DF364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$320,000.00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EDCA9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15%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0B3BB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$48,000.00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C7305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$368,000.00</w:t>
            </w:r>
          </w:p>
        </w:tc>
      </w:tr>
      <w:tr w14:paraId="513CB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1E2EA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Stabilization &amp; Hypercare</w:t>
            </w:r>
          </w:p>
        </w:tc>
        <w:tc>
          <w:tcPr>
            <w:tcW w:w="1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ACB9D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>SVC-DM-005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475B9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$130,000.00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30963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15%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EAA66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$19,500.00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7B2C6">
            <w:pPr>
              <w:jc w:val="right"/>
            </w:pPr>
            <w:r>
              <w:rPr>
                <w:rFonts w:ascii="Arial" w:hAnsi="Arial" w:eastAsia="Arial" w:cs="Arial"/>
                <w:sz w:val="19"/>
                <w:szCs w:val="19"/>
              </w:rPr>
              <w:t>$149,500.00</w:t>
            </w:r>
          </w:p>
        </w:tc>
      </w:tr>
      <w:tr w14:paraId="6D166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60" w:type="dxa"/>
            <w:gridSpan w:val="2"/>
            <w:tcBorders>
              <w:top w:val="single" w:color="003366" w:sz="0" w:space="0"/>
              <w:left w:val="single" w:color="003366" w:sz="0" w:space="0"/>
              <w:bottom w:val="single" w:color="003366" w:sz="0" w:space="0"/>
              <w:right w:val="single" w:color="003366" w:sz="0" w:space="0"/>
            </w:tcBorders>
            <w:shd w:val="clear" w:color="auto" w:fill="EAF7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6342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B6B3A"/>
                <w:sz w:val="20"/>
                <w:szCs w:val="20"/>
              </w:rPr>
              <w:t>TOTAL</w:t>
            </w:r>
          </w:p>
        </w:tc>
        <w:tc>
          <w:tcPr>
            <w:tcW w:w="1200" w:type="dxa"/>
            <w:tcBorders>
              <w:top w:val="single" w:color="003366" w:sz="0" w:space="0"/>
              <w:left w:val="single" w:color="003366" w:sz="0" w:space="0"/>
              <w:bottom w:val="single" w:color="003366" w:sz="0" w:space="0"/>
              <w:right w:val="single" w:color="003366" w:sz="0" w:space="0"/>
            </w:tcBorders>
            <w:shd w:val="clear" w:color="auto" w:fill="EAF7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B77B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B6B3A"/>
                <w:sz w:val="20"/>
                <w:szCs w:val="20"/>
              </w:rPr>
              <w:t>$950,000.00</w:t>
            </w:r>
          </w:p>
        </w:tc>
        <w:tc>
          <w:tcPr>
            <w:tcW w:w="1200" w:type="dxa"/>
            <w:tcBorders>
              <w:top w:val="single" w:color="003366" w:sz="0" w:space="0"/>
              <w:left w:val="single" w:color="003366" w:sz="0" w:space="0"/>
              <w:bottom w:val="single" w:color="003366" w:sz="0" w:space="0"/>
              <w:right w:val="single" w:color="003366" w:sz="0" w:space="0"/>
            </w:tcBorders>
            <w:shd w:val="clear" w:color="auto" w:fill="EAF7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746E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B6B3A"/>
                <w:sz w:val="20"/>
                <w:szCs w:val="20"/>
              </w:rPr>
              <w:t>15%</w:t>
            </w:r>
          </w:p>
        </w:tc>
        <w:tc>
          <w:tcPr>
            <w:tcW w:w="1200" w:type="dxa"/>
            <w:tcBorders>
              <w:top w:val="single" w:color="003366" w:sz="0" w:space="0"/>
              <w:left w:val="single" w:color="003366" w:sz="0" w:space="0"/>
              <w:bottom w:val="single" w:color="003366" w:sz="0" w:space="0"/>
              <w:right w:val="single" w:color="003366" w:sz="0" w:space="0"/>
            </w:tcBorders>
            <w:shd w:val="clear" w:color="auto" w:fill="EAF7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EBE1B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B6B3A"/>
                <w:sz w:val="20"/>
                <w:szCs w:val="20"/>
              </w:rPr>
              <w:t>$142,500.00</w:t>
            </w:r>
          </w:p>
        </w:tc>
        <w:tc>
          <w:tcPr>
            <w:tcW w:w="1200" w:type="dxa"/>
            <w:tcBorders>
              <w:top w:val="single" w:color="003366" w:sz="0" w:space="0"/>
              <w:left w:val="single" w:color="003366" w:sz="0" w:space="0"/>
              <w:bottom w:val="single" w:color="003366" w:sz="0" w:space="0"/>
              <w:right w:val="single" w:color="003366" w:sz="0" w:space="0"/>
            </w:tcBorders>
            <w:shd w:val="clear" w:color="auto" w:fill="EAF7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EFC22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B6B3A"/>
                <w:sz w:val="20"/>
                <w:szCs w:val="20"/>
              </w:rPr>
              <w:t>$1,092,500.00</w:t>
            </w:r>
          </w:p>
        </w:tc>
      </w:tr>
    </w:tbl>
    <w:p w14:paraId="3518B801">
      <w:pPr>
        <w:spacing w:before="160" w:after="0"/>
      </w:pPr>
    </w:p>
    <w:p w14:paraId="02190D8C">
      <w:pPr>
        <w:pStyle w:val="2"/>
        <w:pBdr>
          <w:bottom w:val="single" w:color="B8860B" w:sz="8" w:space="4"/>
        </w:pBdr>
        <w:spacing w:before="320" w:after="140"/>
      </w:pPr>
      <w:r>
        <w:rPr>
          <w:rFonts w:ascii="Arial" w:hAnsi="Arial" w:eastAsia="Arial" w:cs="Arial"/>
          <w:b/>
          <w:bCs/>
          <w:color w:val="003366"/>
          <w:sz w:val="28"/>
          <w:szCs w:val="28"/>
        </w:rPr>
        <w:t>5.  DELIVERY TERMS &amp; LOCATION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239C4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3FC6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Delivery Terms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C087">
            <w:r>
              <w:rPr>
                <w:rFonts w:ascii="Arial" w:hAnsi="Arial" w:eastAsia="Arial" w:cs="Arial"/>
                <w:sz w:val="20"/>
                <w:szCs w:val="20"/>
              </w:rPr>
              <w:t>Per SOW milestone schedule; services delivered upon milestone completion and written STC acceptance</w:t>
            </w:r>
          </w:p>
        </w:tc>
      </w:tr>
      <w:tr w14:paraId="05933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5E20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Primary Delivery Location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7180">
            <w:r>
              <w:rPr>
                <w:rFonts w:ascii="Arial" w:hAnsi="Arial" w:eastAsia="Arial" w:cs="Arial"/>
                <w:sz w:val="20"/>
                <w:szCs w:val="20"/>
              </w:rPr>
              <w:t>STC Headquarters, P.O. Box 87, Riyadh 11432, Kingdom of Saudi Arabia</w:t>
            </w:r>
          </w:p>
        </w:tc>
      </w:tr>
      <w:tr w14:paraId="11E22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EA1C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Vendor Work Location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12AD">
            <w:r>
              <w:rPr>
                <w:rFonts w:ascii="Arial" w:hAnsi="Arial" w:eastAsia="Arial" w:cs="Arial"/>
                <w:sz w:val="20"/>
                <w:szCs w:val="20"/>
              </w:rPr>
              <w:t>TCS Delivery Centre, Mumbai, India (offshore) &amp; STC Riyadh (onsite during key milestones)</w:t>
            </w:r>
          </w:p>
        </w:tc>
      </w:tr>
      <w:tr w14:paraId="1C9D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58613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Onsite Requirement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8D118">
            <w:r>
              <w:rPr>
                <w:rFonts w:ascii="Arial" w:hAnsi="Arial" w:eastAsia="Arial" w:cs="Arial"/>
                <w:sz w:val="20"/>
                <w:szCs w:val="20"/>
              </w:rPr>
              <w:t>TCS Project Manager &amp; Lead Architect onsite during M3 Pilot and M4 Full Migration cutover</w:t>
            </w:r>
          </w:p>
        </w:tc>
      </w:tr>
      <w:tr w14:paraId="5C7D9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209F8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M1 – Discovery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935F">
            <w:r>
              <w:rPr>
                <w:rFonts w:ascii="Arial" w:hAnsi="Arial" w:eastAsia="Arial" w:cs="Arial"/>
                <w:sz w:val="20"/>
                <w:szCs w:val="20"/>
              </w:rPr>
              <w:t>March 31, 2024</w:t>
            </w:r>
          </w:p>
        </w:tc>
      </w:tr>
      <w:tr w14:paraId="74110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BAC5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M2 – Architecture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5623">
            <w:r>
              <w:rPr>
                <w:rFonts w:ascii="Arial" w:hAnsi="Arial" w:eastAsia="Arial" w:cs="Arial"/>
                <w:sz w:val="20"/>
                <w:szCs w:val="20"/>
              </w:rPr>
              <w:t>May 31, 2024</w:t>
            </w:r>
          </w:p>
        </w:tc>
      </w:tr>
      <w:tr w14:paraId="203C7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8176D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M3 – Pilot Migration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B8FE">
            <w:r>
              <w:rPr>
                <w:rFonts w:ascii="Arial" w:hAnsi="Arial" w:eastAsia="Arial" w:cs="Arial"/>
                <w:sz w:val="20"/>
                <w:szCs w:val="20"/>
              </w:rPr>
              <w:t>July 31, 2024</w:t>
            </w:r>
          </w:p>
        </w:tc>
      </w:tr>
      <w:tr w14:paraId="6970A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CDCA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M4 – Full Migration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A3C6">
            <w:r>
              <w:rPr>
                <w:rFonts w:ascii="Arial" w:hAnsi="Arial" w:eastAsia="Arial" w:cs="Arial"/>
                <w:sz w:val="20"/>
                <w:szCs w:val="20"/>
              </w:rPr>
              <w:t>October 31, 2024</w:t>
            </w:r>
          </w:p>
        </w:tc>
      </w:tr>
      <w:tr w14:paraId="604E5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5C11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M5 – Stabilization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5F0C">
            <w:r>
              <w:rPr>
                <w:rFonts w:ascii="Arial" w:hAnsi="Arial" w:eastAsia="Arial" w:cs="Arial"/>
                <w:sz w:val="20"/>
                <w:szCs w:val="20"/>
              </w:rPr>
              <w:t>January 31, 2025</w:t>
            </w:r>
          </w:p>
        </w:tc>
      </w:tr>
    </w:tbl>
    <w:p w14:paraId="4EA62F57">
      <w:pPr>
        <w:spacing w:before="160" w:after="0"/>
      </w:pPr>
    </w:p>
    <w:p w14:paraId="56516F0E">
      <w:pPr>
        <w:pStyle w:val="2"/>
        <w:pBdr>
          <w:bottom w:val="single" w:color="B8860B" w:sz="8" w:space="4"/>
        </w:pBdr>
        <w:spacing w:before="320" w:after="140"/>
      </w:pPr>
      <w:r>
        <w:rPr>
          <w:rFonts w:ascii="Arial" w:hAnsi="Arial" w:eastAsia="Arial" w:cs="Arial"/>
          <w:b/>
          <w:bCs/>
          <w:color w:val="003366"/>
          <w:sz w:val="28"/>
          <w:szCs w:val="28"/>
        </w:rPr>
        <w:t>6.  PAYMENT TERMS &amp; CONDITIONS</w:t>
      </w:r>
    </w:p>
    <w:p w14:paraId="239E607D">
      <w:pPr>
        <w:spacing w:before="80" w:after="10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Pursuant to MSA Section 5 and SOW Section 5, payment under this PO is milestone-based:</w:t>
      </w:r>
    </w:p>
    <w:p w14:paraId="7EE9D1A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TCS shall submit milestone invoices upon STC's written acceptance of the relevant milestone deliverable(s)</w:t>
      </w:r>
    </w:p>
    <w:p w14:paraId="26BF175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STC shall pay all undisputed invoices within Net 30 days of receipt</w:t>
      </w:r>
    </w:p>
    <w:p w14:paraId="3D414A4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All invoices must reference PO Number PO-STC-IT-2024-0047, the applicable SOW milestone, and service code</w:t>
      </w:r>
    </w:p>
    <w:p w14:paraId="7853873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Late payments shall accrue interest at 1.5% per month on the overdue balance</w:t>
      </w:r>
    </w:p>
    <w:p w14:paraId="4D7210C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STC may withhold payment only in the event of a bona fide written dispute raised within 10 business days of invoice receipt</w:t>
      </w:r>
    </w:p>
    <w:p w14:paraId="5F5644F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All amounts are in USD; VAT shall be invoiced separately at 15% and shall be borne by STC</w:t>
      </w:r>
    </w:p>
    <w:p w14:paraId="5FBAEAE8">
      <w:pPr>
        <w:spacing w:before="160" w:after="0"/>
      </w:pPr>
    </w:p>
    <w:p w14:paraId="4937FE97">
      <w:pPr>
        <w:pStyle w:val="2"/>
        <w:pBdr>
          <w:bottom w:val="single" w:color="B8860B" w:sz="8" w:space="4"/>
        </w:pBdr>
        <w:spacing w:before="320" w:after="140"/>
      </w:pPr>
      <w:r>
        <w:rPr>
          <w:rFonts w:ascii="Arial" w:hAnsi="Arial" w:eastAsia="Arial" w:cs="Arial"/>
          <w:b/>
          <w:bCs/>
          <w:color w:val="003366"/>
          <w:sz w:val="28"/>
          <w:szCs w:val="28"/>
        </w:rPr>
        <w:t>7.  PO STATUS &amp; GRN INDICATOR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3E4D0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8259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PO Status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321C">
            <w:r>
              <w:rPr>
                <w:rFonts w:ascii="Arial" w:hAnsi="Arial" w:eastAsia="Arial" w:cs="Arial"/>
                <w:sz w:val="20"/>
                <w:szCs w:val="20"/>
              </w:rPr>
              <w:t>APPROVED – ISSUED (February 01, 2024)</w:t>
            </w:r>
          </w:p>
        </w:tc>
      </w:tr>
      <w:tr w14:paraId="5A14C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6A3C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GRN Indicator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D9249">
            <w:r>
              <w:rPr>
                <w:rFonts w:ascii="Arial" w:hAnsi="Arial" w:eastAsia="Arial" w:cs="Arial"/>
                <w:sz w:val="20"/>
                <w:szCs w:val="20"/>
              </w:rPr>
              <w:t>REQUIRED – Goods Receipt Note must be raised and accepted in STC ERP (SAP MM) for each milestone before invoice payment is processed</w:t>
            </w:r>
          </w:p>
        </w:tc>
      </w:tr>
      <w:tr w14:paraId="58846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A1754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GRN Process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C6D2">
            <w:r>
              <w:rPr>
                <w:rFonts w:ascii="Arial" w:hAnsi="Arial" w:eastAsia="Arial" w:cs="Arial"/>
                <w:sz w:val="20"/>
                <w:szCs w:val="20"/>
              </w:rPr>
              <w:t>STC QA Lead raises GRN in SAP upon written milestone acceptance. GRN triggers Accounts Payable payment workflow.</w:t>
            </w:r>
          </w:p>
        </w:tc>
      </w:tr>
      <w:tr w14:paraId="720FE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8AE4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ERP Reference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44FE">
            <w:r>
              <w:rPr>
                <w:rFonts w:ascii="Arial" w:hAnsi="Arial" w:eastAsia="Arial" w:cs="Arial"/>
                <w:sz w:val="20"/>
                <w:szCs w:val="20"/>
              </w:rPr>
              <w:t>SAP MM Module | PO Document Type: ZITPO | PR Reference: ZITPR-2024-0023</w:t>
            </w:r>
          </w:p>
        </w:tc>
      </w:tr>
      <w:tr w14:paraId="32004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2E57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Budget Code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F591">
            <w:r>
              <w:rPr>
                <w:rFonts w:ascii="Arial" w:hAnsi="Arial" w:eastAsia="Arial" w:cs="Arial"/>
                <w:sz w:val="20"/>
                <w:szCs w:val="20"/>
              </w:rPr>
              <w:t>IT-DT-CAPEX-2024-DM-007 | Cost Centre: CC-STC-IT-DIGITAL-2024 | GL: GL-7200-ITSVCS-EXT</w:t>
            </w:r>
          </w:p>
        </w:tc>
      </w:tr>
      <w:tr w14:paraId="4310C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E157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Three-Way Match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434E">
            <w:r>
              <w:rPr>
                <w:rFonts w:ascii="Arial" w:hAnsi="Arial" w:eastAsia="Arial" w:cs="Arial"/>
                <w:sz w:val="20"/>
                <w:szCs w:val="20"/>
              </w:rPr>
              <w:t>PO + GRN + Invoice three-way match required in SAP before payment release</w:t>
            </w:r>
          </w:p>
        </w:tc>
      </w:tr>
    </w:tbl>
    <w:p w14:paraId="148F97E3">
      <w:pPr>
        <w:spacing w:before="240" w:after="0"/>
      </w:pPr>
    </w:p>
    <w:p w14:paraId="7A5415B8">
      <w:r>
        <w:br w:type="page"/>
      </w:r>
    </w:p>
    <w:p w14:paraId="3F41E3A2">
      <w:pPr>
        <w:pStyle w:val="2"/>
        <w:pBdr>
          <w:bottom w:val="single" w:color="B8860B" w:sz="8" w:space="4"/>
        </w:pBdr>
        <w:spacing w:before="320" w:after="140"/>
      </w:pPr>
      <w:r>
        <w:rPr>
          <w:rFonts w:ascii="Arial" w:hAnsi="Arial" w:eastAsia="Arial" w:cs="Arial"/>
          <w:b/>
          <w:bCs/>
          <w:color w:val="003366"/>
          <w:sz w:val="28"/>
          <w:szCs w:val="28"/>
        </w:rPr>
        <w:t>8.  CONTRACTUAL &amp; POLICY REFERENCES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4AE99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3328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Governing MSA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E218">
            <w:r>
              <w:rPr>
                <w:rFonts w:ascii="Arial" w:hAnsi="Arial" w:eastAsia="Arial" w:cs="Arial"/>
                <w:sz w:val="20"/>
                <w:szCs w:val="20"/>
              </w:rPr>
              <w:t>MSA-TCS-STC-2024-001 (Jan 01, 2024 – Dec 31, 2026)</w:t>
            </w:r>
          </w:p>
        </w:tc>
      </w:tr>
      <w:tr w14:paraId="3C15A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9B80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Governing SOW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DC18">
            <w:r>
              <w:rPr>
                <w:rFonts w:ascii="Arial" w:hAnsi="Arial" w:eastAsia="Arial" w:cs="Arial"/>
                <w:sz w:val="20"/>
                <w:szCs w:val="20"/>
              </w:rPr>
              <w:t>SOW-TCS-STC-DM-2024-001 (Feb 01, 2024 – Jan 31, 2025)</w:t>
            </w:r>
          </w:p>
        </w:tc>
      </w:tr>
      <w:tr w14:paraId="34051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831F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Source PR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F5812">
            <w:r>
              <w:rPr>
                <w:rFonts w:ascii="Arial" w:hAnsi="Arial" w:eastAsia="Arial" w:cs="Arial"/>
                <w:sz w:val="20"/>
                <w:szCs w:val="20"/>
              </w:rPr>
              <w:t>PR-STC-IT-2024-0023 (Approved Jan 30, 2024)</w:t>
            </w:r>
          </w:p>
        </w:tc>
      </w:tr>
      <w:tr w14:paraId="11D29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F0A9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IP Rights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B733">
            <w:r>
              <w:rPr>
                <w:rFonts w:ascii="Arial" w:hAnsi="Arial" w:eastAsia="Arial" w:cs="Arial"/>
                <w:sz w:val="20"/>
                <w:szCs w:val="20"/>
              </w:rPr>
              <w:t>All Work Product becomes exclusive STC property upon full payment (MSA §6 / SOW §7)</w:t>
            </w:r>
          </w:p>
        </w:tc>
      </w:tr>
      <w:tr w14:paraId="7D05D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9E75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Confidentiality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00E9">
            <w:r>
              <w:rPr>
                <w:rFonts w:ascii="Arial" w:hAnsi="Arial" w:eastAsia="Arial" w:cs="Arial"/>
                <w:sz w:val="20"/>
                <w:szCs w:val="20"/>
              </w:rPr>
              <w:t>5-year NDA survival; subscriber/PII data protected under Saudi PDPL (MSA §7 / SOW §8)</w:t>
            </w:r>
          </w:p>
        </w:tc>
      </w:tr>
      <w:tr w14:paraId="1171A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88FDA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Indemnification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A1A6">
            <w:r>
              <w:rPr>
                <w:rFonts w:ascii="Arial" w:hAnsi="Arial" w:eastAsia="Arial" w:cs="Arial"/>
                <w:sz w:val="20"/>
                <w:szCs w:val="20"/>
              </w:rPr>
              <w:t>TCS bears full liability for mishaps from its services, tools, or personnel (MSA §9 / SOW §10)</w:t>
            </w:r>
          </w:p>
        </w:tc>
      </w:tr>
      <w:tr w14:paraId="20275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1FCA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Liability Cap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22D9">
            <w:r>
              <w:rPr>
                <w:rFonts w:ascii="Arial" w:hAnsi="Arial" w:eastAsia="Arial" w:cs="Arial"/>
                <w:sz w:val="20"/>
                <w:szCs w:val="20"/>
              </w:rPr>
              <w:t>Max payable = 12 months of fees under SOW (~USD 950,000) (MSA §10 / SOW §11)</w:t>
            </w:r>
          </w:p>
        </w:tc>
      </w:tr>
      <w:tr w14:paraId="7894B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D772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Termination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D379">
            <w:r>
              <w:rPr>
                <w:rFonts w:ascii="Arial" w:hAnsi="Arial" w:eastAsia="Arial" w:cs="Arial"/>
                <w:sz w:val="20"/>
                <w:szCs w:val="20"/>
              </w:rPr>
              <w:t>30 days for cause; 60 days for convenience; orderly wind-down required (MSA §13 / SOW §13)</w:t>
            </w:r>
          </w:p>
        </w:tc>
      </w:tr>
      <w:tr w14:paraId="458A4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4E2E4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Dispute Resolution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2910">
            <w:r>
              <w:rPr>
                <w:rFonts w:ascii="Arial" w:hAnsi="Arial" w:eastAsia="Arial" w:cs="Arial"/>
                <w:sz w:val="20"/>
                <w:szCs w:val="20"/>
              </w:rPr>
              <w:t>Negotiation → SCCA Mediation → SCCA Binding Arbitration, Riyadh (MSA §12 / SOW §12)</w:t>
            </w:r>
          </w:p>
        </w:tc>
      </w:tr>
      <w:tr w14:paraId="7EBAE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4312">
            <w:r>
              <w:rPr>
                <w:rFonts w:ascii="Arial" w:hAnsi="Arial" w:eastAsia="Arial" w:cs="Arial"/>
                <w:b/>
                <w:bCs/>
                <w:color w:val="003366"/>
                <w:sz w:val="20"/>
                <w:szCs w:val="20"/>
              </w:rPr>
              <w:t>Governing Law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4D01">
            <w:r>
              <w:rPr>
                <w:rFonts w:ascii="Arial" w:hAnsi="Arial" w:eastAsia="Arial" w:cs="Arial"/>
                <w:sz w:val="20"/>
                <w:szCs w:val="20"/>
              </w:rPr>
              <w:t>Laws of the Kingdom of Saudi Arabia; courts of Riyadh (MSA §11)</w:t>
            </w:r>
          </w:p>
        </w:tc>
      </w:tr>
    </w:tbl>
    <w:p w14:paraId="1BF8D075">
      <w:pPr>
        <w:spacing w:before="240" w:after="0"/>
      </w:pPr>
    </w:p>
    <w:p w14:paraId="1DA6492B">
      <w:r>
        <w:br w:type="page"/>
      </w:r>
    </w:p>
    <w:p w14:paraId="2B2A776F">
      <w:pPr>
        <w:pStyle w:val="2"/>
        <w:pBdr>
          <w:bottom w:val="single" w:color="B8860B" w:sz="8" w:space="4"/>
        </w:pBdr>
        <w:spacing w:before="320" w:after="140"/>
      </w:pPr>
      <w:r>
        <w:rPr>
          <w:rFonts w:ascii="Arial" w:hAnsi="Arial" w:eastAsia="Arial" w:cs="Arial"/>
          <w:b/>
          <w:bCs/>
          <w:color w:val="003366"/>
          <w:sz w:val="28"/>
          <w:szCs w:val="28"/>
        </w:rPr>
        <w:t>AUTHORIZED SIGNATURES</w:t>
      </w:r>
    </w:p>
    <w:p w14:paraId="0068C341">
      <w:pPr>
        <w:spacing w:before="80" w:after="100"/>
        <w:jc w:val="both"/>
      </w:pPr>
      <w:r>
        <w:rPr>
          <w:rFonts w:ascii="Arial" w:hAnsi="Arial" w:eastAsia="Arial" w:cs="Arial"/>
          <w:color w:val="1A1A1A"/>
          <w:sz w:val="22"/>
          <w:szCs w:val="22"/>
        </w:rPr>
        <w:t>By signing below, both parties confirm acceptance of this Purchase Order, its terms, and all incorporated references.</w:t>
      </w:r>
    </w:p>
    <w:p w14:paraId="79A2F4D5">
      <w:pPr>
        <w:spacing w:before="20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DF50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003366" w:sz="0" w:space="0"/>
              <w:left w:val="single" w:color="003366" w:sz="0" w:space="0"/>
              <w:bottom w:val="single" w:color="003366" w:sz="0" w:space="0"/>
              <w:right w:val="single" w:color="003366" w:sz="0" w:space="0"/>
            </w:tcBorders>
            <w:shd w:val="clear" w:color="auto" w:fill="EAF2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5DDEB63">
            <w:r>
              <w:rPr>
                <w:rFonts w:ascii="Arial" w:hAnsi="Arial" w:eastAsia="Arial" w:cs="Arial"/>
                <w:b/>
                <w:bCs/>
                <w:caps/>
                <w:color w:val="003366"/>
                <w:sz w:val="20"/>
                <w:szCs w:val="20"/>
              </w:rPr>
              <w:t>ISSUED BY – STC PROCUREMENT</w:t>
            </w:r>
          </w:p>
          <w:p w14:paraId="25B3BA08">
            <w:pPr>
              <w:spacing w:before="120" w:after="0"/>
            </w:pPr>
          </w:p>
          <w:p w14:paraId="677AB44A">
            <w:r>
              <w:rPr>
                <w:rFonts w:ascii="Arial" w:hAnsi="Arial" w:eastAsia="Arial" w:cs="Arial"/>
                <w:sz w:val="20"/>
                <w:szCs w:val="20"/>
              </w:rPr>
              <w:t>Signature:  ___________________________</w:t>
            </w:r>
          </w:p>
          <w:p w14:paraId="4CDECA6F">
            <w:pPr>
              <w:spacing w:before="100" w:after="0"/>
            </w:pPr>
          </w:p>
          <w:p w14:paraId="1CDACB4E">
            <w:r>
              <w:rPr>
                <w:rFonts w:ascii="Arial" w:hAnsi="Arial" w:eastAsia="Arial" w:cs="Arial"/>
                <w:sz w:val="20"/>
                <w:szCs w:val="20"/>
              </w:rPr>
              <w:t>Name:    Ahmad Al-Mansouri</w:t>
            </w:r>
          </w:p>
          <w:p w14:paraId="2D11950D">
            <w:r>
              <w:rPr>
                <w:rFonts w:ascii="Arial" w:hAnsi="Arial" w:eastAsia="Arial" w:cs="Arial"/>
                <w:sz w:val="20"/>
                <w:szCs w:val="20"/>
              </w:rPr>
              <w:t>Title:      Chief Procurement Officer, STC</w:t>
            </w:r>
          </w:p>
          <w:p w14:paraId="394CCEA1">
            <w:r>
              <w:rPr>
                <w:rFonts w:ascii="Arial" w:hAnsi="Arial" w:eastAsia="Arial" w:cs="Arial"/>
                <w:sz w:val="20"/>
                <w:szCs w:val="20"/>
              </w:rPr>
              <w:t>Date:      February 01, 2024</w:t>
            </w:r>
          </w:p>
          <w:p w14:paraId="1DFE3C1C">
            <w:pPr>
              <w:spacing w:before="80" w:after="0"/>
            </w:pPr>
          </w:p>
          <w:p w14:paraId="503CBD7F">
            <w:r>
              <w:rPr>
                <w:rFonts w:ascii="Arial" w:hAnsi="Arial" w:eastAsia="Arial" w:cs="Arial"/>
                <w:sz w:val="20"/>
                <w:szCs w:val="20"/>
              </w:rPr>
              <w:t>Official Stamp / Seal:</w:t>
            </w:r>
          </w:p>
          <w:p w14:paraId="6D9E44E4">
            <w:r>
              <w:rPr>
                <w:rFonts w:ascii="Arial" w:hAnsi="Arial" w:eastAsia="Arial" w:cs="Arial"/>
                <w:sz w:val="20"/>
                <w:szCs w:val="20"/>
              </w:rPr>
              <w:t>___________________________</w:t>
            </w:r>
          </w:p>
        </w:tc>
        <w:tc>
          <w:tcPr>
            <w:tcW w:w="4680" w:type="dxa"/>
            <w:tcBorders>
              <w:top w:val="single" w:color="003366" w:sz="0" w:space="0"/>
              <w:left w:val="single" w:color="003366" w:sz="0" w:space="0"/>
              <w:bottom w:val="single" w:color="003366" w:sz="0" w:space="0"/>
              <w:right w:val="single" w:color="003366" w:sz="0" w:space="0"/>
            </w:tcBorders>
            <w:shd w:val="clear" w:color="auto" w:fill="FFF8E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2768EB7">
            <w:r>
              <w:rPr>
                <w:rFonts w:ascii="Arial" w:hAnsi="Arial" w:eastAsia="Arial" w:cs="Arial"/>
                <w:b/>
                <w:bCs/>
                <w:caps/>
                <w:color w:val="003366"/>
                <w:sz w:val="20"/>
                <w:szCs w:val="20"/>
              </w:rPr>
              <w:t>ACCEPTED BY – TCS</w:t>
            </w:r>
          </w:p>
          <w:p w14:paraId="068248C2">
            <w:pPr>
              <w:spacing w:before="120" w:after="0"/>
            </w:pPr>
          </w:p>
          <w:p w14:paraId="19C86D0A">
            <w:r>
              <w:rPr>
                <w:rFonts w:ascii="Arial" w:hAnsi="Arial" w:eastAsia="Arial" w:cs="Arial"/>
                <w:sz w:val="20"/>
                <w:szCs w:val="20"/>
              </w:rPr>
              <w:t>Signature:  ___________________________</w:t>
            </w:r>
          </w:p>
          <w:p w14:paraId="4A0ED379">
            <w:pPr>
              <w:spacing w:before="100" w:after="0"/>
            </w:pPr>
          </w:p>
          <w:p w14:paraId="3D34121A">
            <w:r>
              <w:rPr>
                <w:rFonts w:ascii="Arial" w:hAnsi="Arial" w:eastAsia="Arial" w:cs="Arial"/>
                <w:sz w:val="20"/>
                <w:szCs w:val="20"/>
              </w:rPr>
              <w:t>Name:    Rajesh Gopinathan</w:t>
            </w:r>
          </w:p>
          <w:p w14:paraId="35FE9162">
            <w:r>
              <w:rPr>
                <w:rFonts w:ascii="Arial" w:hAnsi="Arial" w:eastAsia="Arial" w:cs="Arial"/>
                <w:sz w:val="20"/>
                <w:szCs w:val="20"/>
              </w:rPr>
              <w:t>Title:      CEO &amp; Managing Director, TCS</w:t>
            </w:r>
          </w:p>
          <w:p w14:paraId="6613D4F9">
            <w:r>
              <w:rPr>
                <w:rFonts w:ascii="Arial" w:hAnsi="Arial" w:eastAsia="Arial" w:cs="Arial"/>
                <w:sz w:val="20"/>
                <w:szCs w:val="20"/>
              </w:rPr>
              <w:t>Date:      February 01, 2024</w:t>
            </w:r>
          </w:p>
          <w:p w14:paraId="441F3299">
            <w:pPr>
              <w:spacing w:before="80" w:after="0"/>
            </w:pPr>
          </w:p>
          <w:p w14:paraId="33F50170">
            <w:r>
              <w:rPr>
                <w:rFonts w:ascii="Arial" w:hAnsi="Arial" w:eastAsia="Arial" w:cs="Arial"/>
                <w:sz w:val="20"/>
                <w:szCs w:val="20"/>
              </w:rPr>
              <w:t>Official Stamp / Seal:</w:t>
            </w:r>
          </w:p>
          <w:p w14:paraId="4CC7CC61">
            <w:r>
              <w:rPr>
                <w:rFonts w:ascii="Arial" w:hAnsi="Arial" w:eastAsia="Arial" w:cs="Arial"/>
                <w:sz w:val="20"/>
                <w:szCs w:val="20"/>
              </w:rPr>
              <w:t>___________________________</w:t>
            </w:r>
          </w:p>
        </w:tc>
      </w:tr>
    </w:tbl>
    <w:p w14:paraId="43540FE3">
      <w:pPr>
        <w:spacing w:before="200" w:after="0"/>
      </w:pPr>
    </w:p>
    <w:p w14:paraId="5032864D">
      <w:pPr>
        <w:pBdr>
          <w:top w:val="single" w:color="003366" w:sz="4" w:space="6"/>
        </w:pBdr>
        <w:spacing w:before="200"/>
        <w:jc w:val="center"/>
      </w:pPr>
      <w:r>
        <w:rPr>
          <w:rFonts w:ascii="Arial" w:hAnsi="Arial" w:eastAsia="Arial" w:cs="Arial"/>
          <w:color w:val="555555"/>
          <w:sz w:val="17"/>
          <w:szCs w:val="17"/>
        </w:rPr>
        <w:t>PO No: PO-STC-IT-2024-0047   |   PR Ref: PR-STC-IT-2024-0023   |   SOW: SOW-TCS-STC-DM-2024-001   |   MSA: MSA-TCS-STC-2024-001   |   Version: v1.0</w:t>
      </w:r>
    </w:p>
    <w:sectPr>
      <w:headerReference r:id="rId3" w:type="default"/>
      <w:footerReference r:id="rId4" w:type="default"/>
      <w:pgSz w:w="12240" w:h="15840"/>
      <w:pgMar w:top="1080" w:right="1000" w:bottom="108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66F5E">
    <w:pPr>
      <w:pBdr>
        <w:top w:val="single" w:color="003366" w:sz="4" w:space="4"/>
      </w:pBdr>
    </w:pPr>
    <w:r>
      <w:rPr>
        <w:rFonts w:ascii="Arial" w:hAnsi="Arial" w:eastAsia="Arial" w:cs="Arial"/>
        <w:color w:val="555555"/>
        <w:sz w:val="18"/>
        <w:szCs w:val="18"/>
      </w:rPr>
      <w:t xml:space="preserve">Confidential  |  Governed by MSA-TCS-STC-2024-001 &amp; SOW-TCS-STC-DM-2024-001  |  Page </w:t>
    </w:r>
    <w:r>
      <w:rPr>
        <w:rFonts w:ascii="Arial" w:hAnsi="Arial" w:eastAsia="Arial" w:cs="Arial"/>
        <w:color w:val="555555"/>
        <w:sz w:val="18"/>
        <w:szCs w:val="18"/>
      </w:rPr>
      <w:fldChar w:fldCharType="begin"/>
    </w:r>
    <w:r>
      <w:rPr>
        <w:rFonts w:ascii="Arial" w:hAnsi="Arial" w:eastAsia="Arial" w:cs="Arial"/>
        <w:color w:val="555555"/>
        <w:sz w:val="18"/>
        <w:szCs w:val="18"/>
      </w:rPr>
      <w:instrText xml:space="preserve">PAGE</w:instrText>
    </w:r>
    <w:r>
      <w:rPr>
        <w:rFonts w:ascii="Arial" w:hAnsi="Arial" w:eastAsia="Arial" w:cs="Arial"/>
        <w:color w:val="555555"/>
        <w:sz w:val="18"/>
        <w:szCs w:val="18"/>
      </w:rPr>
      <w:fldChar w:fldCharType="separate"/>
    </w:r>
    <w:r>
      <w:rPr>
        <w:rFonts w:ascii="Arial" w:hAnsi="Arial" w:eastAsia="Arial" w:cs="Arial"/>
        <w:color w:val="555555"/>
        <w:sz w:val="18"/>
        <w:szCs w:val="18"/>
      </w:rPr>
      <w:fldChar w:fldCharType="end"/>
    </w:r>
    <w:r>
      <w:rPr>
        <w:rFonts w:ascii="Arial" w:hAnsi="Arial" w:eastAsia="Arial" w:cs="Arial"/>
        <w:color w:val="555555"/>
        <w:sz w:val="18"/>
        <w:szCs w:val="18"/>
      </w:rPr>
      <w:t xml:space="preserve"> of </w:t>
    </w:r>
    <w:r>
      <w:rPr>
        <w:rFonts w:ascii="Arial" w:hAnsi="Arial" w:eastAsia="Arial" w:cs="Arial"/>
        <w:color w:val="555555"/>
        <w:sz w:val="18"/>
        <w:szCs w:val="18"/>
      </w:rPr>
      <w:fldChar w:fldCharType="begin"/>
    </w:r>
    <w:r>
      <w:rPr>
        <w:rFonts w:ascii="Arial" w:hAnsi="Arial" w:eastAsia="Arial" w:cs="Arial"/>
        <w:color w:val="555555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555555"/>
        <w:sz w:val="18"/>
        <w:szCs w:val="18"/>
      </w:rPr>
      <w:fldChar w:fldCharType="separate"/>
    </w:r>
    <w:r>
      <w:rPr>
        <w:rFonts w:ascii="Arial" w:hAnsi="Arial" w:eastAsia="Arial" w:cs="Arial"/>
        <w:color w:val="555555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E3609">
    <w:pPr>
      <w:pBdr>
        <w:bottom w:val="single" w:color="003366" w:sz="4" w:space="4"/>
      </w:pBdr>
      <w:tabs>
        <w:tab w:val="right" w:pos="9026"/>
      </w:tabs>
    </w:pPr>
    <w:r>
      <w:rPr>
        <w:rFonts w:ascii="Arial" w:hAnsi="Arial" w:eastAsia="Arial" w:cs="Arial"/>
        <w:color w:val="003366"/>
        <w:sz w:val="18"/>
        <w:szCs w:val="18"/>
      </w:rPr>
      <w:t>PURCHASE ORDER  |  STC &amp; TCS  |  Data Migration Project</w:t>
    </w:r>
    <w:r>
      <w:rPr>
        <w:rFonts w:ascii="Arial" w:hAnsi="Arial" w:eastAsia="Arial" w:cs="Arial"/>
        <w:color w:val="555555"/>
        <w:sz w:val="18"/>
        <w:szCs w:val="18"/>
      </w:rPr>
      <w:tab/>
    </w:r>
    <w:r>
      <w:rPr>
        <w:rFonts w:ascii="Arial" w:hAnsi="Arial" w:eastAsia="Arial" w:cs="Arial"/>
        <w:color w:val="555555"/>
        <w:sz w:val="18"/>
        <w:szCs w:val="18"/>
      </w:rPr>
      <w:t>PO-STC-IT-2024-0047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B1268C4"/>
    <w:rsid w:val="330F50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40"/>
      <w:outlineLvl w:val="0"/>
    </w:pPr>
    <w:rPr>
      <w:rFonts w:ascii="Arial" w:hAnsi="Arial" w:eastAsia="Arial" w:cs="Arial"/>
      <w:b/>
      <w:bCs/>
      <w:color w:val="003366"/>
      <w:sz w:val="28"/>
      <w:szCs w:val="28"/>
    </w:rPr>
  </w:style>
  <w:style w:type="paragraph" w:styleId="3">
    <w:name w:val="heading 2"/>
    <w:next w:val="1"/>
    <w:qFormat/>
    <w:uiPriority w:val="0"/>
    <w:pPr>
      <w:spacing w:before="180" w:after="80"/>
      <w:outlineLvl w:val="1"/>
    </w:pPr>
    <w:rPr>
      <w:rFonts w:ascii="Arial" w:hAnsi="Arial" w:eastAsia="Arial" w:cs="Arial"/>
      <w:b/>
      <w:bCs/>
      <w:color w:val="005F73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491</Words>
  <Characters>2962</Characters>
  <TotalTime>1</TotalTime>
  <ScaleCrop>false</ScaleCrop>
  <LinksUpToDate>false</LinksUpToDate>
  <CharactersWithSpaces>3343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2026-04-26T03:25:00Z</dcterms:created>
  <dc:creator>Un-named</dc:creator>
  <cp:lastModifiedBy>ws_htu2026</cp:lastModifiedBy>
  <dcterms:modified xsi:type="dcterms:W3CDTF">2026-05-11T04:23:20Z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eyJoZGlkIjoiZmE2MmEyNDYyZGMzYWZhYmYwYjhmMWYzNGY2ZTI4NTQifQ==</vt:lpwstr>
  </property>
  <property fmtid="{D5CDD505-2E9C-101B-9397-08002B2CF9AE}" pid="3" name="KSOProductBuildVer">
    <vt:lpwstr>1033-12.1.0.25862</vt:lpwstr>
  </property>
  <property fmtid="{D5CDD505-2E9C-101B-9397-08002B2CF9AE}" pid="4" name="ICV">
    <vt:lpwstr>7D963986857F45DC8530CAC5387B1BAA_12</vt:lpwstr>
  </property>
</Properties>
</file>