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24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INVOICE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DDFF"/>
                <w:sz w:val="26"/>
                <w:szCs w:val="26"/>
              </w:rPr>
              <w:t xml:space="preserve">Enterprise Data Migration – STC Core Systems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Invoice Number: INV-001     |     Invoice Date: April 05, 2024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7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Ref: PO-STC-IT-2024-0047   |   GRN Ref: GRN-001   |   SOW: SOW-TCS-STC-DM-2024-001   |   MSA: MSA-TCS-STC-2024-001</w:t>
            </w:r>
          </w:p>
        </w:tc>
      </w:tr>
      <w:t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BILL TO /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Saudi Telecom Company (STC)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P.O. Box 87, Riyadh 11432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Kingdom of Saudi Arabia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No.: 1010036265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Reg.: 300002471110003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Contact: Ahmad Al-Mansouri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procurement@stc.com.sa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BILLED BY / VENDOR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Tata Consultancy Services Ltd. (TCS)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House, Raveline Street, Fort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– 400001, Maharashtra, India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CIN: L22210MH1995PLC084781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ID: VND-TCS-2024-007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Contact: Priya Nair (PM)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priya.nair@tcs.com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 INVOICE – KEY DETAILS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Invoice is issued by Tata Consultancy Services Limited (TCS) to Saudi Telecom Company (STC) for services delivered under Milestone 1 (M1 – Discovery &amp; Assessment) of the Purchase Order PO-STC-IT-2024-0047, issued under MSA-TCS-STC-2024-001 and SOW-TCS-STC-DM-2024-001.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05, 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Reference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PO-STC-IT-2024-0047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GRN Reference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GRN-001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 Ltd.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VND-TCS-2024-007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Telecom Company (STC)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STC-IT-2024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Invoice Status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Invoice Period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01 – Apr 05, 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Due 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05, 2024 (Net 30)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Tax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KSA VAT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Milestone Ref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– Discovery &amp; Assessment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SOW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Subtotal (USD)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VAT (USD)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Amount (USD)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$138,000.00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GRN &amp; PAYMENT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 DESCRIPTION OF SERVICES INVOICED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invoice covers the delivery and STC acceptance of Milestone 1 (M1 – Discovery &amp; Assessment) as defined in SOW-TCS-STC-DM-2024-001. The following services were completed: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Current-state data inventory across all source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Comprehensive data quality assessment and profiling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migration risk identification and mitigation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Migration strategy document with tooling and ETL approach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Stakeholder alignment workshops and project kickoff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Sign-off by STC Project Manager and QA Lead on deliverables</w:t>
      </w:r>
    </w:p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 LINE ITEMS WITH HSN CODES &amp; SERVICE CODES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table below details the service line item, HSN code, description, quantity, unit price, and total invoice amount: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900"/>
        <w:gridCol w:w="3200"/>
        <w:gridCol w:w="500"/>
        <w:gridCol w:w="1100"/>
        <w:gridCol w:w="1200"/>
        <w:gridCol w:w="1110"/>
      </w:tblGrid>
      <w:tr>
        <w:trPr>
          <w:tblHeader/>
        </w:trPr>
        <w:tc>
          <w:tcPr>
            <w:tcW w:type="dxa" w:w="35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HSN Code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Service</w:t>
            </w:r>
          </w:p>
        </w:tc>
        <w:tc>
          <w:tcPr>
            <w:tcW w:type="dxa" w:w="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 (USD)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(USD)</w:t>
            </w:r>
          </w:p>
        </w:tc>
        <w:tc>
          <w:tcPr>
            <w:tcW w:type="dxa" w:w="111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Code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997411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Discovery &amp; Assessment – Current-state data inventory, quality assessment, migration strategy document, stakeholder workshops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SVC-DM-001</w:t>
            </w:r>
          </w:p>
        </w:tc>
      </w:tr>
      <w:tr>
        <w:tc>
          <w:tcPr>
            <w:tcW w:type="dxa" w:w="6050"/>
            <w:gridSpan w:val="5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SUBTOTAL (excl. VAT)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$120,000.00</w:t>
            </w:r>
          </w:p>
        </w:tc>
        <w:tc>
          <w:tcPr>
            <w:tcW w:type="dxa" w:w="111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 TAX BREAKUP – KSA VAT @ 15%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services invoiced are subject to Kingdom of Saudi Arabia (KSA) Value Added Tax (VAT) at the rate of 15% as per prevailing KSA tax regulations. The tax calculation is detailed below: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400"/>
        <w:gridCol w:w="1200"/>
        <w:gridCol w:w="12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Description</w:t>
            </w:r>
          </w:p>
        </w:tc>
        <w:tc>
          <w:tcPr>
            <w:tcW w:type="dxa" w:w="11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HSN Code</w:t>
            </w:r>
          </w:p>
        </w:tc>
        <w:tc>
          <w:tcPr>
            <w:tcW w:type="dxa" w:w="14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Taxable Amt (USD)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Rate</w:t>
            </w:r>
          </w:p>
        </w:tc>
        <w:tc>
          <w:tcPr>
            <w:tcW w:type="dxa" w:w="1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Amount (USD)</w:t>
            </w:r>
          </w:p>
        </w:tc>
        <w:tc>
          <w:tcPr>
            <w:tcW w:type="dxa" w:w="166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Incl. Tax (USD)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Discovery &amp; Assessment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997411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$120,000.00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$18,000.00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$138,000.00</w:t>
            </w:r>
          </w:p>
        </w:tc>
      </w:tr>
      <w:tr>
        <w:tc>
          <w:tcPr>
            <w:tcW w:type="dxa" w:w="3900"/>
            <w:gridSpan w:val="2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INVOICE TOTAL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$120,000.00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$18,000.00</w:t>
            </w:r>
          </w:p>
        </w:tc>
        <w:tc>
          <w:tcPr>
            <w:tcW w:type="dxa" w:w="1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7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$138,000.00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 INVOICE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Subtotal (excl. VAT)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120,000.00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VAT @ 15%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18,000.00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INVOICE AMOUNT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138,000.00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 Days from Invoice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Due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05, 2024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 PAYMENT &amp; GRN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PO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PO-STC-IT-2024-0047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GRN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GRN-001 – Received &amp;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STC-IT-2024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Invoice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– Awaiting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Three-Way Match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✓  |  GRN ✓  |  Invoice ✓  Ready for Payment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7.  BANK DETAILS FOR PAYMENT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should be made to the following bank account: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Bank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ICICI Bank Limited, Mumbai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1234567890123456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SWIFT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ICICIN2S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IFSC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ICIC0000001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Savings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Beneficiary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House, Raveline Street, Fort, Mumbai – 400001, Maharashtra, India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8.  PAYMENT INSTRUCTIONS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Please note the following important information regarding payment of this invoice: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invoice is issued against PO-STC-IT-2024-0047 and SOW-STC-TCS-DM-2024-001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is due within Net 30 days from the invoice date (Due Date: May 05,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Goods Receipt Note (GRN-001) must be matched against this invoice before payment processing in SAP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reference the PO number (PO-STC-IT-2024-0047) and Invoice number (INV-001) in all payment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payments will accrue interest at 1.5% per month on the outstanding balance per MSA Section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bank transfer charges and fees should be borne by the paying party (STC)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any payment inquiries, contact: Priya Nair (TCS Project Manager) at priya.nair@tcs.com or +91-22-6778-9000</w:t>
      </w:r>
    </w:p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9.  REFERENCES &amp; GOVERNING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PO-STC-IT-2024-0047 (Issued: Feb 01, 2024)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 (Eff. Feb 01, 2024 – Jan 31,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Master Service Agreement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MSA-TCS-STC-2024-001 (Jan 01, 2024 – Dec 31,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Milestone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– Discovery &amp; Assessment (Due: Mar 31, 2024 | Delivered: Apr 05, 2024)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 of the Kingdom of Saudi Arabia; Riyadh Courts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→ SCCA Mediation → SCCA Binding Arbitration (Riyadh)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10.  AUTHORIZED SIGNATURE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issuing this invoice, TCS certifies that all services listed have been completed, delivered, and accepted by STC as per the PO and SOW. This invoice is submitted for payment processing.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20"/>
                <w:szCs w:val="20"/>
              </w:rPr>
              <w:t xml:space="preserve">ISSUED BY – TCS</w:t>
            </w:r>
          </w:p>
          <w:p>
            <w:pPr>
              <w:spacing w:after="0" w:before="12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   Priya Nair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    Project Manager, TCS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 April 05, 2024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Stamp / Seal: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20"/>
                <w:szCs w:val="20"/>
              </w:rPr>
              <w:t xml:space="preserve">RECEIVED / ACKNOWLEDGED BY – STC</w:t>
            </w:r>
          </w:p>
          <w:p>
            <w:pPr>
              <w:spacing w:after="0" w:before="12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   Faisal Al-Otaibi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    IT Project Manager, STC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 _______________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Stamp / Seal: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0" w:before="200"/>
      </w:pPr>
    </w:p>
    <w:p>
      <w:pPr>
        <w:pBdr>
          <w:top w:val="single" w:color="003366" w:sz="4" w:space="6"/>
        </w:pBdr>
        <w:spacing w:before="20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Invoice No: INV-001   |   PO Ref: PO-STC-IT-2024-0047   |   GRN Ref: GRN-001   |   SOW: SOW-TCS-STC-DM-2024-001   |   MSA: MSA-TCS-STC-2024-001   |   Version: v1.0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 |  PO Ref: PO-STC-IT-2024-0047  |  Ref. MSA: MSA-TCS-STC-2024-001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4"/>
      </w:pBdr>
      <w:tabs>
        <w:tab w:val="right" w:pos="9026"/>
      </w:tabs>
    </w:pPr>
    <w:r>
      <w:rPr>
        <w:rFonts w:ascii="Arial" w:cs="Arial" w:eastAsia="Arial" w:hAnsi="Arial"/>
        <w:color w:val="003366"/>
        <w:sz w:val="18"/>
        <w:szCs w:val="18"/>
      </w:rPr>
      <w:t xml:space="preserve">INVOICE  |  TCS &amp; STC  |  Data Migration Project</w:t>
    </w:r>
    <w:r>
      <w:rPr>
        <w:rFonts w:ascii="Arial" w:cs="Arial" w:eastAsia="Arial" w:hAnsi="Arial"/>
        <w:color w:val="555555"/>
        <w:sz w:val="18"/>
        <w:szCs w:val="18"/>
      </w:rPr>
      <w:t xml:space="preserve">	INV-001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5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2026-04-26T03:45:58.603Z</dcterms:created>
  <dcterms:modified xsi:type="dcterms:W3CDTF">2026-04-26T03:45:58.604Z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