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3366" w:sz="1"/>
              <w:left w:val="single" w:color="003366" w:sz="1"/>
              <w:bottom w:val="single" w:color="003366" w:sz="1"/>
              <w:right w:val="single" w:color="003366" w:sz="1"/>
            </w:tcBorders>
            <w:shd w:fill="003366" w:val="clear"/>
            <w:tcMar>
              <w:top w:type="dxa" w:w="240"/>
              <w:left w:type="dxa" w:w="240"/>
              <w:bottom w:type="dxa" w:w="200"/>
              <w:right w:type="dxa" w:w="240"/>
            </w:tcMar>
          </w:tcPr>
          <w:p>
            <w:pPr>
              <w:jc w:val="center"/>
            </w:pPr>
            <w:r>
              <w:rPr>
                <w:rFonts w:ascii="Arial" w:cs="Arial" w:eastAsia="Arial" w:hAnsi="Arial"/>
                <w:b/>
                <w:bCs/>
                <w:color w:val="FFFFFF"/>
                <w:sz w:val="40"/>
                <w:szCs w:val="40"/>
              </w:rPr>
              <w:t xml:space="preserve">STATEMENT OF WORK (SOW)</w:t>
            </w:r>
          </w:p>
          <w:p>
            <w:pPr>
              <w:spacing w:before="60"/>
              <w:jc w:val="center"/>
            </w:pPr>
            <w:r>
              <w:rPr>
                <w:rFonts w:ascii="Arial" w:cs="Arial" w:eastAsia="Arial" w:hAnsi="Arial"/>
                <w:color w:val="AADDFF"/>
                <w:sz w:val="26"/>
                <w:szCs w:val="26"/>
              </w:rPr>
              <w:t xml:space="preserve">Data Migration Project</w:t>
            </w:r>
          </w:p>
          <w:p>
            <w:pPr>
              <w:spacing w:before="60"/>
              <w:jc w:val="center"/>
            </w:pPr>
            <w:r>
              <w:rPr>
                <w:rFonts w:ascii="Arial" w:cs="Arial" w:eastAsia="Arial" w:hAnsi="Arial"/>
                <w:color w:val="CCCCCC"/>
                <w:sz w:val="20"/>
                <w:szCs w:val="20"/>
              </w:rPr>
              <w:t xml:space="preserve">SOW ID: SOW-TCS-STC-DM-2024-001     |     Effective Date: February 01, 2024</w:t>
            </w:r>
          </w:p>
        </w:tc>
      </w:tr>
      <w:tr>
        <w:tc>
          <w:tcPr>
            <w:tcW w:type="dxa" w:w="9360"/>
            <w:gridSpan w:val="2"/>
            <w:tcBorders>
              <w:top w:val="single" w:color="C8960C" w:sz="1"/>
              <w:left w:val="single" w:color="C8960C" w:sz="1"/>
              <w:bottom w:val="single" w:color="C8960C" w:sz="1"/>
              <w:right w:val="single" w:color="C8960C" w:sz="1"/>
            </w:tcBorders>
            <w:shd w:fill="FFF8E7" w:val="clear"/>
            <w:tcMar>
              <w:top w:type="dxa" w:w="100"/>
              <w:left w:type="dxa" w:w="240"/>
              <w:bottom w:type="dxa" w:w="100"/>
              <w:right w:type="dxa" w:w="240"/>
            </w:tcMar>
          </w:tcPr>
          <w:p>
            <w:pPr>
              <w:jc w:val="center"/>
            </w:pPr>
            <w:r>
              <w:rPr>
                <w:rFonts w:ascii="Arial" w:cs="Arial" w:eastAsia="Arial" w:hAnsi="Arial"/>
                <w:b/>
                <w:bCs/>
                <w:color w:val="003366"/>
                <w:sz w:val="20"/>
                <w:szCs w:val="20"/>
              </w:rPr>
              <w:t xml:space="preserve">Issued under Master Service Agreement  |  MSA ID: MSA-TCS-STC-2024-001</w:t>
            </w:r>
          </w:p>
        </w:tc>
      </w:tr>
      <w:tr>
        <w:tc>
          <w:tcPr>
            <w:tcW w:type="dxa" w:w="4680"/>
            <w:tcBorders>
              <w:top w:val="single" w:color="003366" w:sz="1"/>
              <w:left w:val="single" w:color="003366" w:sz="1"/>
              <w:bottom w:val="single" w:color="003366" w:sz="1"/>
              <w:right w:val="single" w:color="003366" w:sz="1"/>
            </w:tcBorders>
            <w:shd w:fill="EAF2FB" w:val="clear"/>
            <w:tcMar>
              <w:top w:type="dxa" w:w="160"/>
              <w:left w:type="dxa" w:w="180"/>
              <w:bottom w:type="dxa" w:w="160"/>
              <w:right w:type="dxa" w:w="180"/>
            </w:tcMar>
          </w:tcPr>
          <w:p>
            <w:r>
              <w:rPr>
                <w:rFonts w:ascii="Arial" w:cs="Arial" w:eastAsia="Arial" w:hAnsi="Arial"/>
                <w:b/>
                <w:bCs/>
                <w:color w:val="003366"/>
                <w:sz w:val="18"/>
                <w:szCs w:val="18"/>
              </w:rPr>
              <w:t xml:space="preserve">CLIENT</w:t>
            </w:r>
          </w:p>
          <w:p>
            <w:pPr>
              <w:spacing w:before="60"/>
            </w:pPr>
            <w:r>
              <w:rPr>
                <w:rFonts w:ascii="Arial" w:cs="Arial" w:eastAsia="Arial" w:hAnsi="Arial"/>
                <w:b/>
                <w:bCs/>
                <w:sz w:val="24"/>
                <w:szCs w:val="24"/>
              </w:rPr>
              <w:t xml:space="preserve">Saudi Telecom Company (STC)</w:t>
            </w:r>
          </w:p>
          <w:p>
            <w:r>
              <w:rPr>
                <w:rFonts w:ascii="Arial" w:cs="Arial" w:eastAsia="Arial" w:hAnsi="Arial"/>
                <w:sz w:val="20"/>
                <w:szCs w:val="20"/>
              </w:rPr>
              <w:t xml:space="preserve">P.O. Box 87, Riyadh 11432</w:t>
            </w:r>
          </w:p>
          <w:p>
            <w:r>
              <w:rPr>
                <w:rFonts w:ascii="Arial" w:cs="Arial" w:eastAsia="Arial" w:hAnsi="Arial"/>
                <w:sz w:val="20"/>
                <w:szCs w:val="20"/>
              </w:rPr>
              <w:t xml:space="preserve">Kingdom of Saudi Arabia</w:t>
            </w:r>
          </w:p>
          <w:p>
            <w:r>
              <w:rPr>
                <w:rFonts w:ascii="Arial" w:cs="Arial" w:eastAsia="Arial" w:hAnsi="Arial"/>
                <w:sz w:val="20"/>
                <w:szCs w:val="20"/>
              </w:rPr>
              <w:t xml:space="preserve">CR No.: 1010036265</w:t>
            </w:r>
          </w:p>
        </w:tc>
        <w:tc>
          <w:tcPr>
            <w:tcW w:type="dxa" w:w="4680"/>
            <w:tcBorders>
              <w:top w:val="single" w:color="003366" w:sz="1"/>
              <w:left w:val="single" w:color="003366" w:sz="1"/>
              <w:bottom w:val="single" w:color="003366" w:sz="1"/>
              <w:right w:val="single" w:color="003366" w:sz="1"/>
            </w:tcBorders>
            <w:shd w:fill="FFF8E7" w:val="clear"/>
            <w:tcMar>
              <w:top w:type="dxa" w:w="160"/>
              <w:left w:type="dxa" w:w="180"/>
              <w:bottom w:type="dxa" w:w="160"/>
              <w:right w:type="dxa" w:w="180"/>
            </w:tcMar>
          </w:tcPr>
          <w:p>
            <w:r>
              <w:rPr>
                <w:rFonts w:ascii="Arial" w:cs="Arial" w:eastAsia="Arial" w:hAnsi="Arial"/>
                <w:b/>
                <w:bCs/>
                <w:color w:val="003366"/>
                <w:sz w:val="18"/>
                <w:szCs w:val="18"/>
              </w:rPr>
              <w:t xml:space="preserve">VENDOR / SERVICE PROVIDER</w:t>
            </w:r>
          </w:p>
          <w:p>
            <w:pPr>
              <w:spacing w:before="60"/>
            </w:pPr>
            <w:r>
              <w:rPr>
                <w:rFonts w:ascii="Arial" w:cs="Arial" w:eastAsia="Arial" w:hAnsi="Arial"/>
                <w:b/>
                <w:bCs/>
                <w:sz w:val="24"/>
                <w:szCs w:val="24"/>
              </w:rPr>
              <w:t xml:space="preserve">Tata Consultancy Services Limited (TCS)</w:t>
            </w:r>
          </w:p>
          <w:p>
            <w:r>
              <w:rPr>
                <w:rFonts w:ascii="Arial" w:cs="Arial" w:eastAsia="Arial" w:hAnsi="Arial"/>
                <w:sz w:val="20"/>
                <w:szCs w:val="20"/>
              </w:rPr>
              <w:t xml:space="preserve">TCS House, Raveline Street, Fort</w:t>
            </w:r>
          </w:p>
          <w:p>
            <w:r>
              <w:rPr>
                <w:rFonts w:ascii="Arial" w:cs="Arial" w:eastAsia="Arial" w:hAnsi="Arial"/>
                <w:sz w:val="20"/>
                <w:szCs w:val="20"/>
              </w:rPr>
              <w:t xml:space="preserve">Mumbai – 400001, Maharashtra, India</w:t>
            </w:r>
          </w:p>
          <w:p>
            <w:r>
              <w:rPr>
                <w:rFonts w:ascii="Arial" w:cs="Arial" w:eastAsia="Arial" w:hAnsi="Arial"/>
                <w:sz w:val="20"/>
                <w:szCs w:val="20"/>
              </w:rPr>
              <w:t xml:space="preserve">CIN: L22210MH1995PLC084781</w:t>
            </w:r>
          </w:p>
        </w:tc>
      </w:tr>
    </w:tbl>
    <w:p>
      <w:pPr>
        <w:spacing w:after="0" w:before="240"/>
      </w:pPr>
    </w:p>
    <w:p>
      <w:pPr>
        <w:pStyle w:val="Heading1"/>
        <w:pBdr>
          <w:bottom w:val="single" w:color="C8960C" w:sz="8" w:space="4"/>
        </w:pBdr>
        <w:spacing w:after="160" w:before="340"/>
      </w:pPr>
      <w:r>
        <w:rPr>
          <w:rFonts w:ascii="Arial" w:cs="Arial" w:eastAsia="Arial" w:hAnsi="Arial"/>
          <w:b/>
          <w:bCs/>
          <w:color w:val="003366"/>
          <w:sz w:val="28"/>
          <w:szCs w:val="28"/>
        </w:rPr>
        <w:t xml:space="preserve">1.  SOW SUMMARY &amp; KEY ATTRIBUTES</w:t>
      </w:r>
    </w:p>
    <w:p>
      <w:pPr>
        <w:spacing w:after="100" w:before="80"/>
        <w:jc w:val="both"/>
      </w:pPr>
      <w:r>
        <w:rPr>
          <w:rFonts w:ascii="Arial" w:cs="Arial" w:eastAsia="Arial" w:hAnsi="Arial"/>
          <w:color w:val="1A1A1A"/>
          <w:sz w:val="22"/>
          <w:szCs w:val="22"/>
        </w:rPr>
        <w:t xml:space="preserve">This Statement of Work ('SOW') is executed pursuant to and forms part of the Master Service Agreement dated January 01, 2024 (MSA ID: MSA-TCS-STC-2024-001) between Saudi Telecom Company (STC) and Tata Consultancy Services Limited (TCS). All terms defined in the MSA apply to this SOW. In the event of any conflict between this SOW and the MSA, the MSA shall prevail.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SOW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SOW-TCS-STC-DM-2024-001</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MSA Reference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MSA-TCS-STC-2024-001</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Vendor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VND-TCS-2024-007</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Vendor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Tata Consultancy Services Limited (TCS)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Client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Saudi Telecom Company (STC)</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Project Title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Data Migration – STC Core Systems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SOW Start 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01, 2024</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SOW End 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31, 2025</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Payment Terms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30 days from milestone invoice receipt</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Currency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(United States Dollar)</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Created By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Procurement Office, Saudi Telecom Company (STC)</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3366"/>
                <w:sz w:val="20"/>
                <w:szCs w:val="20"/>
              </w:rPr>
              <w:t xml:space="preserve">Termination Clause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written notice for cause; 60 days for convenience (per MSA Section 13)</w:t>
            </w:r>
          </w:p>
        </w:tc>
      </w:tr>
    </w:tbl>
    <w:p>
      <w:pPr>
        <w:spacing w:after="0" w:before="240"/>
      </w:pPr>
    </w:p>
    <w:p>
      <w:pPr>
        <w:pStyle w:val="Heading1"/>
        <w:pBdr>
          <w:bottom w:val="single" w:color="C8960C" w:sz="8" w:space="4"/>
        </w:pBdr>
        <w:spacing w:after="160" w:before="340"/>
      </w:pPr>
      <w:r>
        <w:rPr>
          <w:rFonts w:ascii="Arial" w:cs="Arial" w:eastAsia="Arial" w:hAnsi="Arial"/>
          <w:b/>
          <w:bCs/>
          <w:color w:val="003366"/>
          <w:sz w:val="28"/>
          <w:szCs w:val="28"/>
        </w:rPr>
        <w:t xml:space="preserve">2.  PROJECT BACKGROUND &amp; OBJECTIVES</w:t>
      </w:r>
    </w:p>
    <w:p>
      <w:pPr>
        <w:spacing w:after="100" w:before="80"/>
        <w:jc w:val="both"/>
      </w:pPr>
      <w:r>
        <w:rPr>
          <w:rFonts w:ascii="Arial" w:cs="Arial" w:eastAsia="Arial" w:hAnsi="Arial"/>
          <w:color w:val="1A1A1A"/>
          <w:sz w:val="22"/>
          <w:szCs w:val="22"/>
        </w:rPr>
        <w:t xml:space="preserve">STC is undertaking a strategic initiative to migrate its core enterprise data assets from legacy on-premise systems to a modern cloud-based data platform. The migration encompasses subscriber data, billing records, network configuration data, and supporting operational datasets across multiple business units.</w:t>
      </w:r>
    </w:p>
    <w:p>
      <w:pPr>
        <w:spacing w:after="0" w:before="80"/>
      </w:pPr>
    </w:p>
    <w:p>
      <w:pPr>
        <w:spacing w:after="100" w:before="80"/>
        <w:jc w:val="both"/>
      </w:pPr>
      <w:r>
        <w:rPr>
          <w:rFonts w:ascii="Arial" w:cs="Arial" w:eastAsia="Arial" w:hAnsi="Arial"/>
          <w:color w:val="1A1A1A"/>
          <w:sz w:val="22"/>
          <w:szCs w:val="22"/>
        </w:rPr>
        <w:t xml:space="preserve">TCS has been engaged under MSA-TCS-STC-2024-001 to lead the end-to-end data migration effort, leveraging its TCS MasterCraft DataPlus tooling and proven migration methodology. The key objectives of this engagement are:</w:t>
      </w:r>
    </w:p>
    <w:p>
      <w:pPr>
        <w:pStyle w:val="ListParagraph"/>
        <w:numPr>
          <w:ilvl w:val="0"/>
          <w:numId w:val="2"/>
        </w:numPr>
        <w:spacing w:after="60" w:before="60"/>
      </w:pPr>
      <w:r>
        <w:rPr>
          <w:rFonts w:ascii="Arial" w:cs="Arial" w:eastAsia="Arial" w:hAnsi="Arial"/>
          <w:color w:val="1A1A1A"/>
          <w:sz w:val="22"/>
          <w:szCs w:val="22"/>
        </w:rPr>
        <w:t xml:space="preserve">Migrate 100% of in-scope data assets with zero data loss and less than 0.01% error rate</w:t>
      </w:r>
    </w:p>
    <w:p>
      <w:pPr>
        <w:pStyle w:val="ListParagraph"/>
        <w:numPr>
          <w:ilvl w:val="0"/>
          <w:numId w:val="2"/>
        </w:numPr>
        <w:spacing w:after="60" w:before="60"/>
      </w:pPr>
      <w:r>
        <w:rPr>
          <w:rFonts w:ascii="Arial" w:cs="Arial" w:eastAsia="Arial" w:hAnsi="Arial"/>
          <w:color w:val="1A1A1A"/>
          <w:sz w:val="22"/>
          <w:szCs w:val="22"/>
        </w:rPr>
        <w:t xml:space="preserve">Achieve business continuity with no more than 4 hours of planned downtime during cutover</w:t>
      </w:r>
    </w:p>
    <w:p>
      <w:pPr>
        <w:pStyle w:val="ListParagraph"/>
        <w:numPr>
          <w:ilvl w:val="0"/>
          <w:numId w:val="2"/>
        </w:numPr>
        <w:spacing w:after="60" w:before="60"/>
      </w:pPr>
      <w:r>
        <w:rPr>
          <w:rFonts w:ascii="Arial" w:cs="Arial" w:eastAsia="Arial" w:hAnsi="Arial"/>
          <w:color w:val="1A1A1A"/>
          <w:sz w:val="22"/>
          <w:szCs w:val="22"/>
        </w:rPr>
        <w:t xml:space="preserve">Ensure full compliance with Saudi PDPL, GDPR, and STC's internal data governance policies</w:t>
      </w:r>
    </w:p>
    <w:p>
      <w:pPr>
        <w:pStyle w:val="ListParagraph"/>
        <w:numPr>
          <w:ilvl w:val="0"/>
          <w:numId w:val="2"/>
        </w:numPr>
        <w:spacing w:after="60" w:before="60"/>
      </w:pPr>
      <w:r>
        <w:rPr>
          <w:rFonts w:ascii="Arial" w:cs="Arial" w:eastAsia="Arial" w:hAnsi="Arial"/>
          <w:color w:val="1A1A1A"/>
          <w:sz w:val="22"/>
          <w:szCs w:val="22"/>
        </w:rPr>
        <w:t xml:space="preserve">Complete the migration within the agreed 12-month timeline and USD 950,000 budget</w:t>
      </w:r>
    </w:p>
    <w:p>
      <w:pPr>
        <w:pStyle w:val="ListParagraph"/>
        <w:numPr>
          <w:ilvl w:val="0"/>
          <w:numId w:val="2"/>
        </w:numPr>
        <w:spacing w:after="60" w:before="60"/>
      </w:pPr>
      <w:r>
        <w:rPr>
          <w:rFonts w:ascii="Arial" w:cs="Arial" w:eastAsia="Arial" w:hAnsi="Arial"/>
          <w:color w:val="1A1A1A"/>
          <w:sz w:val="22"/>
          <w:szCs w:val="22"/>
        </w:rPr>
        <w:t xml:space="preserve">Deliver comprehensive documentation and knowledge transfer to STC's internal teams</w:t>
      </w:r>
    </w:p>
    <w:p>
      <w:pPr>
        <w:pStyle w:val="Heading1"/>
        <w:pBdr>
          <w:bottom w:val="single" w:color="C8960C" w:sz="8" w:space="4"/>
        </w:pBdr>
        <w:spacing w:after="160" w:before="340"/>
      </w:pPr>
      <w:r>
        <w:rPr>
          <w:rFonts w:ascii="Arial" w:cs="Arial" w:eastAsia="Arial" w:hAnsi="Arial"/>
          <w:b/>
          <w:bCs/>
          <w:color w:val="003366"/>
          <w:sz w:val="28"/>
          <w:szCs w:val="28"/>
        </w:rPr>
        <w:t xml:space="preserve">3.  SCOPE OF SERVICES</w:t>
      </w:r>
    </w:p>
    <w:p>
      <w:pPr>
        <w:pStyle w:val="Heading2"/>
        <w:spacing w:after="80" w:before="200"/>
      </w:pPr>
      <w:r>
        <w:rPr>
          <w:rFonts w:ascii="Arial" w:cs="Arial" w:eastAsia="Arial" w:hAnsi="Arial"/>
          <w:b/>
          <w:bCs/>
          <w:color w:val="005F73"/>
          <w:sz w:val="24"/>
          <w:szCs w:val="24"/>
        </w:rPr>
        <w:t xml:space="preserve">3.1  In-Scope Services</w:t>
      </w:r>
    </w:p>
    <w:p>
      <w:pPr>
        <w:spacing w:after="100" w:before="80"/>
        <w:jc w:val="both"/>
      </w:pPr>
      <w:r>
        <w:rPr>
          <w:rFonts w:ascii="Arial" w:cs="Arial" w:eastAsia="Arial" w:hAnsi="Arial"/>
          <w:color w:val="1A1A1A"/>
          <w:sz w:val="22"/>
          <w:szCs w:val="22"/>
        </w:rPr>
        <w:t xml:space="preserve">TCS shall deliver the following services under this SOW:</w:t>
      </w:r>
    </w:p>
    <w:p>
      <w:pPr>
        <w:spacing w:after="60" w:before="140"/>
      </w:pPr>
      <w:r>
        <w:rPr>
          <w:rFonts w:ascii="Arial" w:cs="Arial" w:eastAsia="Arial" w:hAnsi="Arial"/>
          <w:b/>
          <w:bCs/>
          <w:color w:val="003366"/>
          <w:sz w:val="22"/>
          <w:szCs w:val="22"/>
          <w:u w:val="single"/>
        </w:rPr>
        <w:t xml:space="preserve">Phase 1 – Discovery &amp; Assessment (Feb – Mar 2024)</w:t>
      </w:r>
    </w:p>
    <w:p>
      <w:pPr>
        <w:pStyle w:val="ListParagraph"/>
        <w:numPr>
          <w:ilvl w:val="0"/>
          <w:numId w:val="2"/>
        </w:numPr>
        <w:spacing w:after="60" w:before="60"/>
      </w:pPr>
      <w:r>
        <w:rPr>
          <w:rFonts w:ascii="Arial" w:cs="Arial" w:eastAsia="Arial" w:hAnsi="Arial"/>
          <w:color w:val="1A1A1A"/>
          <w:sz w:val="22"/>
          <w:szCs w:val="22"/>
        </w:rPr>
        <w:t xml:space="preserve">Current-state data inventory and profiling across all source systems</w:t>
      </w:r>
    </w:p>
    <w:p>
      <w:pPr>
        <w:pStyle w:val="ListParagraph"/>
        <w:numPr>
          <w:ilvl w:val="0"/>
          <w:numId w:val="2"/>
        </w:numPr>
        <w:spacing w:after="60" w:before="60"/>
      </w:pPr>
      <w:r>
        <w:rPr>
          <w:rFonts w:ascii="Arial" w:cs="Arial" w:eastAsia="Arial" w:hAnsi="Arial"/>
          <w:color w:val="1A1A1A"/>
          <w:sz w:val="22"/>
          <w:szCs w:val="22"/>
        </w:rPr>
        <w:t xml:space="preserve">Data quality assessment and risk identification report</w:t>
      </w:r>
    </w:p>
    <w:p>
      <w:pPr>
        <w:pStyle w:val="ListParagraph"/>
        <w:numPr>
          <w:ilvl w:val="0"/>
          <w:numId w:val="2"/>
        </w:numPr>
        <w:spacing w:after="60" w:before="60"/>
      </w:pPr>
      <w:r>
        <w:rPr>
          <w:rFonts w:ascii="Arial" w:cs="Arial" w:eastAsia="Arial" w:hAnsi="Arial"/>
          <w:color w:val="1A1A1A"/>
          <w:sz w:val="22"/>
          <w:szCs w:val="22"/>
        </w:rPr>
        <w:t xml:space="preserve">Migration strategy document including tooling selection, ETL approach, and cutover plan</w:t>
      </w:r>
    </w:p>
    <w:p>
      <w:pPr>
        <w:pStyle w:val="ListParagraph"/>
        <w:numPr>
          <w:ilvl w:val="0"/>
          <w:numId w:val="2"/>
        </w:numPr>
        <w:spacing w:after="60" w:before="60"/>
      </w:pPr>
      <w:r>
        <w:rPr>
          <w:rFonts w:ascii="Arial" w:cs="Arial" w:eastAsia="Arial" w:hAnsi="Arial"/>
          <w:color w:val="1A1A1A"/>
          <w:sz w:val="22"/>
          <w:szCs w:val="22"/>
        </w:rPr>
        <w:t xml:space="preserve">Stakeholder alignment workshops and sign-off sessions</w:t>
      </w:r>
    </w:p>
    <w:p>
      <w:pPr>
        <w:spacing w:after="60" w:before="140"/>
      </w:pPr>
      <w:r>
        <w:rPr>
          <w:rFonts w:ascii="Arial" w:cs="Arial" w:eastAsia="Arial" w:hAnsi="Arial"/>
          <w:b/>
          <w:bCs/>
          <w:color w:val="003366"/>
          <w:sz w:val="22"/>
          <w:szCs w:val="22"/>
          <w:u w:val="single"/>
        </w:rPr>
        <w:t xml:space="preserve">Phase 2 – Architecture &amp; Design (Apr – May 2024)</w:t>
      </w:r>
    </w:p>
    <w:p>
      <w:pPr>
        <w:pStyle w:val="ListParagraph"/>
        <w:numPr>
          <w:ilvl w:val="0"/>
          <w:numId w:val="2"/>
        </w:numPr>
        <w:spacing w:after="60" w:before="60"/>
      </w:pPr>
      <w:r>
        <w:rPr>
          <w:rFonts w:ascii="Arial" w:cs="Arial" w:eastAsia="Arial" w:hAnsi="Arial"/>
          <w:color w:val="1A1A1A"/>
          <w:sz w:val="22"/>
          <w:szCs w:val="22"/>
        </w:rPr>
        <w:t xml:space="preserve">Target-state data architecture design aligned with STC's cloud platform (AWS / Azure)</w:t>
      </w:r>
    </w:p>
    <w:p>
      <w:pPr>
        <w:pStyle w:val="ListParagraph"/>
        <w:numPr>
          <w:ilvl w:val="0"/>
          <w:numId w:val="2"/>
        </w:numPr>
        <w:spacing w:after="60" w:before="60"/>
      </w:pPr>
      <w:r>
        <w:rPr>
          <w:rFonts w:ascii="Arial" w:cs="Arial" w:eastAsia="Arial" w:hAnsi="Arial"/>
          <w:color w:val="1A1A1A"/>
          <w:sz w:val="22"/>
          <w:szCs w:val="22"/>
        </w:rPr>
        <w:t xml:space="preserve">ETL mapping specifications and transformation logic documentation</w:t>
      </w:r>
    </w:p>
    <w:p>
      <w:pPr>
        <w:pStyle w:val="ListParagraph"/>
        <w:numPr>
          <w:ilvl w:val="0"/>
          <w:numId w:val="2"/>
        </w:numPr>
        <w:spacing w:after="60" w:before="60"/>
      </w:pPr>
      <w:r>
        <w:rPr>
          <w:rFonts w:ascii="Arial" w:cs="Arial" w:eastAsia="Arial" w:hAnsi="Arial"/>
          <w:color w:val="1A1A1A"/>
          <w:sz w:val="22"/>
          <w:szCs w:val="22"/>
        </w:rPr>
        <w:t xml:space="preserve">Data masking and anonymization design for sensitive subscriber fields</w:t>
      </w:r>
    </w:p>
    <w:p>
      <w:pPr>
        <w:pStyle w:val="ListParagraph"/>
        <w:numPr>
          <w:ilvl w:val="0"/>
          <w:numId w:val="2"/>
        </w:numPr>
        <w:spacing w:after="60" w:before="60"/>
      </w:pPr>
      <w:r>
        <w:rPr>
          <w:rFonts w:ascii="Arial" w:cs="Arial" w:eastAsia="Arial" w:hAnsi="Arial"/>
          <w:color w:val="1A1A1A"/>
          <w:sz w:val="22"/>
          <w:szCs w:val="22"/>
        </w:rPr>
        <w:t xml:space="preserve">Migration environment setup (Dev, QA, Staging, Production)</w:t>
      </w:r>
    </w:p>
    <w:p>
      <w:pPr>
        <w:spacing w:after="60" w:before="140"/>
      </w:pPr>
      <w:r>
        <w:rPr>
          <w:rFonts w:ascii="Arial" w:cs="Arial" w:eastAsia="Arial" w:hAnsi="Arial"/>
          <w:b/>
          <w:bCs/>
          <w:color w:val="003366"/>
          <w:sz w:val="22"/>
          <w:szCs w:val="22"/>
          <w:u w:val="single"/>
        </w:rPr>
        <w:t xml:space="preserve">Phase 3 – Pilot Migration (Jun – Jul 2024)</w:t>
      </w:r>
    </w:p>
    <w:p>
      <w:pPr>
        <w:pStyle w:val="ListParagraph"/>
        <w:numPr>
          <w:ilvl w:val="0"/>
          <w:numId w:val="2"/>
        </w:numPr>
        <w:spacing w:after="60" w:before="60"/>
      </w:pPr>
      <w:r>
        <w:rPr>
          <w:rFonts w:ascii="Arial" w:cs="Arial" w:eastAsia="Arial" w:hAnsi="Arial"/>
          <w:color w:val="1A1A1A"/>
          <w:sz w:val="22"/>
          <w:szCs w:val="22"/>
        </w:rPr>
        <w:t xml:space="preserve">Pilot migration covering 20% of total data volume (representative subset)</w:t>
      </w:r>
    </w:p>
    <w:p>
      <w:pPr>
        <w:pStyle w:val="ListParagraph"/>
        <w:numPr>
          <w:ilvl w:val="0"/>
          <w:numId w:val="2"/>
        </w:numPr>
        <w:spacing w:after="60" w:before="60"/>
      </w:pPr>
      <w:r>
        <w:rPr>
          <w:rFonts w:ascii="Arial" w:cs="Arial" w:eastAsia="Arial" w:hAnsi="Arial"/>
          <w:color w:val="1A1A1A"/>
          <w:sz w:val="22"/>
          <w:szCs w:val="22"/>
        </w:rPr>
        <w:t xml:space="preserve">Data validation, reconciliation, and data quality reports</w:t>
      </w:r>
    </w:p>
    <w:p>
      <w:pPr>
        <w:pStyle w:val="ListParagraph"/>
        <w:numPr>
          <w:ilvl w:val="0"/>
          <w:numId w:val="2"/>
        </w:numPr>
        <w:spacing w:after="60" w:before="60"/>
      </w:pPr>
      <w:r>
        <w:rPr>
          <w:rFonts w:ascii="Arial" w:cs="Arial" w:eastAsia="Arial" w:hAnsi="Arial"/>
          <w:color w:val="1A1A1A"/>
          <w:sz w:val="22"/>
          <w:szCs w:val="22"/>
        </w:rPr>
        <w:t xml:space="preserve">Performance benchmarking and tuning of ETL pipelines</w:t>
      </w:r>
    </w:p>
    <w:p>
      <w:pPr>
        <w:pStyle w:val="ListParagraph"/>
        <w:numPr>
          <w:ilvl w:val="0"/>
          <w:numId w:val="2"/>
        </w:numPr>
        <w:spacing w:after="60" w:before="60"/>
      </w:pPr>
      <w:r>
        <w:rPr>
          <w:rFonts w:ascii="Arial" w:cs="Arial" w:eastAsia="Arial" w:hAnsi="Arial"/>
          <w:color w:val="1A1A1A"/>
          <w:sz w:val="22"/>
          <w:szCs w:val="22"/>
        </w:rPr>
        <w:t xml:space="preserve">Pilot lessons-learned report and sign-off by STC QA Lead</w:t>
      </w:r>
    </w:p>
    <w:p>
      <w:pPr>
        <w:spacing w:after="60" w:before="140"/>
      </w:pPr>
      <w:r>
        <w:rPr>
          <w:rFonts w:ascii="Arial" w:cs="Arial" w:eastAsia="Arial" w:hAnsi="Arial"/>
          <w:b/>
          <w:bCs/>
          <w:color w:val="003366"/>
          <w:sz w:val="22"/>
          <w:szCs w:val="22"/>
          <w:u w:val="single"/>
        </w:rPr>
        <w:t xml:space="preserve">Phase 4 – Full Production Migration (Aug – Oct 2024)</w:t>
      </w:r>
    </w:p>
    <w:p>
      <w:pPr>
        <w:pStyle w:val="ListParagraph"/>
        <w:numPr>
          <w:ilvl w:val="0"/>
          <w:numId w:val="2"/>
        </w:numPr>
        <w:spacing w:after="60" w:before="60"/>
      </w:pPr>
      <w:r>
        <w:rPr>
          <w:rFonts w:ascii="Arial" w:cs="Arial" w:eastAsia="Arial" w:hAnsi="Arial"/>
          <w:color w:val="1A1A1A"/>
          <w:sz w:val="22"/>
          <w:szCs w:val="22"/>
        </w:rPr>
        <w:t xml:space="preserve">Full-scale migration of all in-scope data assets in agreed batch sequence</w:t>
      </w:r>
    </w:p>
    <w:p>
      <w:pPr>
        <w:pStyle w:val="ListParagraph"/>
        <w:numPr>
          <w:ilvl w:val="0"/>
          <w:numId w:val="2"/>
        </w:numPr>
        <w:spacing w:after="60" w:before="60"/>
      </w:pPr>
      <w:r>
        <w:rPr>
          <w:rFonts w:ascii="Arial" w:cs="Arial" w:eastAsia="Arial" w:hAnsi="Arial"/>
          <w:color w:val="1A1A1A"/>
          <w:sz w:val="22"/>
          <w:szCs w:val="22"/>
        </w:rPr>
        <w:t xml:space="preserve">Cutover execution per approved cutover plan; rollback capability maintained until STC sign-off</w:t>
      </w:r>
    </w:p>
    <w:p>
      <w:pPr>
        <w:pStyle w:val="ListParagraph"/>
        <w:numPr>
          <w:ilvl w:val="0"/>
          <w:numId w:val="2"/>
        </w:numPr>
        <w:spacing w:after="60" w:before="60"/>
      </w:pPr>
      <w:r>
        <w:rPr>
          <w:rFonts w:ascii="Arial" w:cs="Arial" w:eastAsia="Arial" w:hAnsi="Arial"/>
          <w:color w:val="1A1A1A"/>
          <w:sz w:val="22"/>
          <w:szCs w:val="22"/>
        </w:rPr>
        <w:t xml:space="preserve">Real-time monitoring dashboard and exception reporting during migration windows</w:t>
      </w:r>
    </w:p>
    <w:p>
      <w:pPr>
        <w:pStyle w:val="ListParagraph"/>
        <w:numPr>
          <w:ilvl w:val="0"/>
          <w:numId w:val="2"/>
        </w:numPr>
        <w:spacing w:after="60" w:before="60"/>
      </w:pPr>
      <w:r>
        <w:rPr>
          <w:rFonts w:ascii="Arial" w:cs="Arial" w:eastAsia="Arial" w:hAnsi="Arial"/>
          <w:color w:val="1A1A1A"/>
          <w:sz w:val="22"/>
          <w:szCs w:val="22"/>
        </w:rPr>
        <w:t xml:space="preserve">Post-cutover data reconciliation and sign-off report</w:t>
      </w:r>
    </w:p>
    <w:p>
      <w:pPr>
        <w:spacing w:after="60" w:before="140"/>
      </w:pPr>
      <w:r>
        <w:rPr>
          <w:rFonts w:ascii="Arial" w:cs="Arial" w:eastAsia="Arial" w:hAnsi="Arial"/>
          <w:b/>
          <w:bCs/>
          <w:color w:val="003366"/>
          <w:sz w:val="22"/>
          <w:szCs w:val="22"/>
          <w:u w:val="single"/>
        </w:rPr>
        <w:t xml:space="preserve">Phase 5 – Stabilization &amp; Hypercare (Nov 2024 – Jan 2025)</w:t>
      </w:r>
    </w:p>
    <w:p>
      <w:pPr>
        <w:pStyle w:val="ListParagraph"/>
        <w:numPr>
          <w:ilvl w:val="0"/>
          <w:numId w:val="2"/>
        </w:numPr>
        <w:spacing w:after="60" w:before="60"/>
      </w:pPr>
      <w:r>
        <w:rPr>
          <w:rFonts w:ascii="Arial" w:cs="Arial" w:eastAsia="Arial" w:hAnsi="Arial"/>
          <w:color w:val="1A1A1A"/>
          <w:sz w:val="22"/>
          <w:szCs w:val="22"/>
        </w:rPr>
        <w:t xml:space="preserve">90-day post-migration hypercare support with dedicated TCS resources</w:t>
      </w:r>
    </w:p>
    <w:p>
      <w:pPr>
        <w:pStyle w:val="ListParagraph"/>
        <w:numPr>
          <w:ilvl w:val="0"/>
          <w:numId w:val="2"/>
        </w:numPr>
        <w:spacing w:after="60" w:before="60"/>
      </w:pPr>
      <w:r>
        <w:rPr>
          <w:rFonts w:ascii="Arial" w:cs="Arial" w:eastAsia="Arial" w:hAnsi="Arial"/>
          <w:color w:val="1A1A1A"/>
          <w:sz w:val="22"/>
          <w:szCs w:val="22"/>
        </w:rPr>
        <w:t xml:space="preserve">Defect tracking, root-cause analysis, and resolution within agreed SLA</w:t>
      </w:r>
    </w:p>
    <w:p>
      <w:pPr>
        <w:pStyle w:val="ListParagraph"/>
        <w:numPr>
          <w:ilvl w:val="0"/>
          <w:numId w:val="2"/>
        </w:numPr>
        <w:spacing w:after="60" w:before="60"/>
      </w:pPr>
      <w:r>
        <w:rPr>
          <w:rFonts w:ascii="Arial" w:cs="Arial" w:eastAsia="Arial" w:hAnsi="Arial"/>
          <w:color w:val="1A1A1A"/>
          <w:sz w:val="22"/>
          <w:szCs w:val="22"/>
        </w:rPr>
        <w:t xml:space="preserve">Performance tuning and optimization of migrated data environment</w:t>
      </w:r>
    </w:p>
    <w:p>
      <w:pPr>
        <w:pStyle w:val="ListParagraph"/>
        <w:numPr>
          <w:ilvl w:val="0"/>
          <w:numId w:val="2"/>
        </w:numPr>
        <w:spacing w:after="60" w:before="60"/>
      </w:pPr>
      <w:r>
        <w:rPr>
          <w:rFonts w:ascii="Arial" w:cs="Arial" w:eastAsia="Arial" w:hAnsi="Arial"/>
          <w:color w:val="1A1A1A"/>
          <w:sz w:val="22"/>
          <w:szCs w:val="22"/>
        </w:rPr>
        <w:t xml:space="preserve">Final project closure report and lessons-learned documentation</w:t>
      </w:r>
    </w:p>
    <w:p>
      <w:pPr>
        <w:spacing w:after="0" w:before="80"/>
      </w:pPr>
    </w:p>
    <w:p>
      <w:pPr>
        <w:pStyle w:val="Heading2"/>
        <w:spacing w:after="80" w:before="200"/>
      </w:pPr>
      <w:r>
        <w:rPr>
          <w:rFonts w:ascii="Arial" w:cs="Arial" w:eastAsia="Arial" w:hAnsi="Arial"/>
          <w:b/>
          <w:bCs/>
          <w:color w:val="005F73"/>
          <w:sz w:val="24"/>
          <w:szCs w:val="24"/>
        </w:rPr>
        <w:t xml:space="preserve">3.2  Out-of-Scope Items</w:t>
      </w:r>
    </w:p>
    <w:p>
      <w:pPr>
        <w:spacing w:after="100" w:before="80"/>
        <w:jc w:val="both"/>
      </w:pPr>
      <w:r>
        <w:rPr>
          <w:rFonts w:ascii="Arial" w:cs="Arial" w:eastAsia="Arial" w:hAnsi="Arial"/>
          <w:color w:val="1A1A1A"/>
          <w:sz w:val="22"/>
          <w:szCs w:val="22"/>
        </w:rPr>
        <w:t xml:space="preserve">The following are explicitly excluded from this SOW unless agreed via a separate Change Order:</w:t>
      </w:r>
    </w:p>
    <w:p>
      <w:pPr>
        <w:pStyle w:val="ListParagraph"/>
        <w:numPr>
          <w:ilvl w:val="0"/>
          <w:numId w:val="2"/>
        </w:numPr>
        <w:spacing w:after="60" w:before="60"/>
      </w:pPr>
      <w:r>
        <w:rPr>
          <w:rFonts w:ascii="Arial" w:cs="Arial" w:eastAsia="Arial" w:hAnsi="Arial"/>
          <w:color w:val="1A1A1A"/>
          <w:sz w:val="22"/>
          <w:szCs w:val="22"/>
        </w:rPr>
        <w:t xml:space="preserve">Migration of application code, APIs, or front-end systems</w:t>
      </w:r>
    </w:p>
    <w:p>
      <w:pPr>
        <w:pStyle w:val="ListParagraph"/>
        <w:numPr>
          <w:ilvl w:val="0"/>
          <w:numId w:val="2"/>
        </w:numPr>
        <w:spacing w:after="60" w:before="60"/>
      </w:pPr>
      <w:r>
        <w:rPr>
          <w:rFonts w:ascii="Arial" w:cs="Arial" w:eastAsia="Arial" w:hAnsi="Arial"/>
          <w:color w:val="1A1A1A"/>
          <w:sz w:val="22"/>
          <w:szCs w:val="22"/>
        </w:rPr>
        <w:t xml:space="preserve">Infrastructure provisioning or cloud subscription management</w:t>
      </w:r>
    </w:p>
    <w:p>
      <w:pPr>
        <w:pStyle w:val="ListParagraph"/>
        <w:numPr>
          <w:ilvl w:val="0"/>
          <w:numId w:val="2"/>
        </w:numPr>
        <w:spacing w:after="60" w:before="60"/>
      </w:pPr>
      <w:r>
        <w:rPr>
          <w:rFonts w:ascii="Arial" w:cs="Arial" w:eastAsia="Arial" w:hAnsi="Arial"/>
          <w:color w:val="1A1A1A"/>
          <w:sz w:val="22"/>
          <w:szCs w:val="22"/>
        </w:rPr>
        <w:t xml:space="preserve">Changes to source system data models or business logic</w:t>
      </w:r>
    </w:p>
    <w:p>
      <w:pPr>
        <w:pStyle w:val="ListParagraph"/>
        <w:numPr>
          <w:ilvl w:val="0"/>
          <w:numId w:val="2"/>
        </w:numPr>
        <w:spacing w:after="60" w:before="60"/>
      </w:pPr>
      <w:r>
        <w:rPr>
          <w:rFonts w:ascii="Arial" w:cs="Arial" w:eastAsia="Arial" w:hAnsi="Arial"/>
          <w:color w:val="1A1A1A"/>
          <w:sz w:val="22"/>
          <w:szCs w:val="22"/>
        </w:rPr>
        <w:t xml:space="preserve">Data created or modified after the agreed data freeze date</w:t>
      </w:r>
    </w:p>
    <w:p>
      <w:pPr>
        <w:pStyle w:val="ListParagraph"/>
        <w:numPr>
          <w:ilvl w:val="0"/>
          <w:numId w:val="2"/>
        </w:numPr>
        <w:spacing w:after="60" w:before="60"/>
      </w:pPr>
      <w:r>
        <w:rPr>
          <w:rFonts w:ascii="Arial" w:cs="Arial" w:eastAsia="Arial" w:hAnsi="Arial"/>
          <w:color w:val="1A1A1A"/>
          <w:sz w:val="22"/>
          <w:szCs w:val="22"/>
        </w:rPr>
        <w:t xml:space="preserve">Ongoing steady-state operations management post-stabilization</w:t>
      </w:r>
    </w:p>
    <w:p>
      <w:pPr>
        <w:pStyle w:val="Heading1"/>
        <w:pBdr>
          <w:bottom w:val="single" w:color="C8960C" w:sz="8" w:space="4"/>
        </w:pBdr>
        <w:spacing w:after="160" w:before="340"/>
      </w:pPr>
      <w:r>
        <w:rPr>
          <w:rFonts w:ascii="Arial" w:cs="Arial" w:eastAsia="Arial" w:hAnsi="Arial"/>
          <w:b/>
          <w:bCs/>
          <w:color w:val="003366"/>
          <w:sz w:val="28"/>
          <w:szCs w:val="28"/>
        </w:rPr>
        <w:t xml:space="preserve">4.  DELIVERABLES</w:t>
      </w:r>
    </w:p>
    <w:p>
      <w:pPr>
        <w:spacing w:after="100" w:before="80"/>
        <w:jc w:val="both"/>
      </w:pPr>
      <w:r>
        <w:rPr>
          <w:rFonts w:ascii="Arial" w:cs="Arial" w:eastAsia="Arial" w:hAnsi="Arial"/>
          <w:color w:val="1A1A1A"/>
          <w:sz w:val="22"/>
          <w:szCs w:val="22"/>
        </w:rPr>
        <w:t xml:space="preserve">TCS shall produce and deliver the following formal deliverables, each subject to STC review and written acceptance within ten (10) business days of submission:</w:t>
      </w:r>
    </w:p>
    <w:p>
      <w:pPr>
        <w:pStyle w:val="ListParagraph"/>
        <w:numPr>
          <w:ilvl w:val="0"/>
          <w:numId w:val="2"/>
        </w:numPr>
        <w:spacing w:after="60" w:before="60"/>
      </w:pPr>
      <w:r>
        <w:rPr>
          <w:rFonts w:ascii="Arial" w:cs="Arial" w:eastAsia="Arial" w:hAnsi="Arial"/>
          <w:color w:val="1A1A1A"/>
          <w:sz w:val="22"/>
          <w:szCs w:val="22"/>
        </w:rPr>
        <w:t xml:space="preserve">D1 – Data Inventory &amp; Quality Assessment Report</w:t>
      </w:r>
    </w:p>
    <w:p>
      <w:pPr>
        <w:pStyle w:val="ListParagraph"/>
        <w:numPr>
          <w:ilvl w:val="0"/>
          <w:numId w:val="2"/>
        </w:numPr>
        <w:spacing w:after="60" w:before="60"/>
      </w:pPr>
      <w:r>
        <w:rPr>
          <w:rFonts w:ascii="Arial" w:cs="Arial" w:eastAsia="Arial" w:hAnsi="Arial"/>
          <w:color w:val="1A1A1A"/>
          <w:sz w:val="22"/>
          <w:szCs w:val="22"/>
        </w:rPr>
        <w:t xml:space="preserve">D2 – Migration Strategy &amp; Architecture Document</w:t>
      </w:r>
    </w:p>
    <w:p>
      <w:pPr>
        <w:pStyle w:val="ListParagraph"/>
        <w:numPr>
          <w:ilvl w:val="0"/>
          <w:numId w:val="2"/>
        </w:numPr>
        <w:spacing w:after="60" w:before="60"/>
      </w:pPr>
      <w:r>
        <w:rPr>
          <w:rFonts w:ascii="Arial" w:cs="Arial" w:eastAsia="Arial" w:hAnsi="Arial"/>
          <w:color w:val="1A1A1A"/>
          <w:sz w:val="22"/>
          <w:szCs w:val="22"/>
        </w:rPr>
        <w:t xml:space="preserve">D3 – ETL Design Specifications &amp; Data Mapping Workbook</w:t>
      </w:r>
    </w:p>
    <w:p>
      <w:pPr>
        <w:pStyle w:val="ListParagraph"/>
        <w:numPr>
          <w:ilvl w:val="0"/>
          <w:numId w:val="2"/>
        </w:numPr>
        <w:spacing w:after="60" w:before="60"/>
      </w:pPr>
      <w:r>
        <w:rPr>
          <w:rFonts w:ascii="Arial" w:cs="Arial" w:eastAsia="Arial" w:hAnsi="Arial"/>
          <w:color w:val="1A1A1A"/>
          <w:sz w:val="22"/>
          <w:szCs w:val="22"/>
        </w:rPr>
        <w:t xml:space="preserve">D4 – Pilot Migration Execution &amp; Validation Report</w:t>
      </w:r>
    </w:p>
    <w:p>
      <w:pPr>
        <w:pStyle w:val="ListParagraph"/>
        <w:numPr>
          <w:ilvl w:val="0"/>
          <w:numId w:val="2"/>
        </w:numPr>
        <w:spacing w:after="60" w:before="60"/>
      </w:pPr>
      <w:r>
        <w:rPr>
          <w:rFonts w:ascii="Arial" w:cs="Arial" w:eastAsia="Arial" w:hAnsi="Arial"/>
          <w:color w:val="1A1A1A"/>
          <w:sz w:val="22"/>
          <w:szCs w:val="22"/>
        </w:rPr>
        <w:t xml:space="preserve">D5 – Full Migration Execution &amp; Reconciliation Report</w:t>
      </w:r>
    </w:p>
    <w:p>
      <w:pPr>
        <w:pStyle w:val="ListParagraph"/>
        <w:numPr>
          <w:ilvl w:val="0"/>
          <w:numId w:val="2"/>
        </w:numPr>
        <w:spacing w:after="60" w:before="60"/>
      </w:pPr>
      <w:r>
        <w:rPr>
          <w:rFonts w:ascii="Arial" w:cs="Arial" w:eastAsia="Arial" w:hAnsi="Arial"/>
          <w:color w:val="1A1A1A"/>
          <w:sz w:val="22"/>
          <w:szCs w:val="22"/>
        </w:rPr>
        <w:t xml:space="preserve">D6 – Post-Migration Hypercare Support Log &amp; Closure Report</w:t>
      </w:r>
    </w:p>
    <w:p>
      <w:pPr>
        <w:pStyle w:val="ListParagraph"/>
        <w:numPr>
          <w:ilvl w:val="0"/>
          <w:numId w:val="2"/>
        </w:numPr>
        <w:spacing w:after="60" w:before="60"/>
      </w:pPr>
      <w:r>
        <w:rPr>
          <w:rFonts w:ascii="Arial" w:cs="Arial" w:eastAsia="Arial" w:hAnsi="Arial"/>
          <w:color w:val="1A1A1A"/>
          <w:sz w:val="22"/>
          <w:szCs w:val="22"/>
        </w:rPr>
        <w:t xml:space="preserve">D7 – Knowledge Transfer Package (runbooks, training materials, admin guides)</w:t>
      </w:r>
    </w:p>
    <w:p>
      <w:pPr>
        <w:spacing w:after="0" w:before="80"/>
      </w:pPr>
    </w:p>
    <w:p>
      <w:pPr>
        <w:spacing w:after="100" w:before="80"/>
        <w:jc w:val="both"/>
      </w:pPr>
      <w:r>
        <w:rPr>
          <w:rFonts w:ascii="Arial" w:cs="Arial" w:eastAsia="Arial" w:hAnsi="Arial"/>
          <w:color w:val="1A1A1A"/>
          <w:sz w:val="22"/>
          <w:szCs w:val="22"/>
        </w:rPr>
        <w:t xml:space="preserve">All deliverables shall be submitted in English, in formats agreed by both parties (DOCX, PDF, XLSX as appropriate), and stored in the shared project repository maintained on STC's SharePoint environment.</w:t>
      </w:r>
    </w:p>
    <w:p>
      <w:pPr>
        <w:pStyle w:val="Heading1"/>
        <w:pBdr>
          <w:bottom w:val="single" w:color="C8960C" w:sz="8" w:space="4"/>
        </w:pBdr>
        <w:spacing w:after="160" w:before="340"/>
      </w:pPr>
      <w:r>
        <w:rPr>
          <w:rFonts w:ascii="Arial" w:cs="Arial" w:eastAsia="Arial" w:hAnsi="Arial"/>
          <w:b/>
          <w:bCs/>
          <w:color w:val="003366"/>
          <w:sz w:val="28"/>
          <w:szCs w:val="28"/>
        </w:rPr>
        <w:t xml:space="preserve">5.  MILESTONES &amp; PAYMENT SCHEDULE</w:t>
      </w:r>
    </w:p>
    <w:p>
      <w:pPr>
        <w:spacing w:after="100" w:before="80"/>
        <w:jc w:val="both"/>
      </w:pPr>
      <w:r>
        <w:rPr>
          <w:rFonts w:ascii="Arial" w:cs="Arial" w:eastAsia="Arial" w:hAnsi="Arial"/>
          <w:color w:val="1A1A1A"/>
          <w:sz w:val="22"/>
          <w:szCs w:val="22"/>
        </w:rPr>
        <w:t xml:space="preserve">Payment shall be milestone-based. Each invoice shall be submitted upon STC's written acceptance of the milestone deliverable(s). Pursuant to MSA Section 5, STC shall pay all undisputed invoices within Net 30 days of receipt. Late payments shall accrue interest at 1.5% per month.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440"/>
        <w:gridCol w:w="1920"/>
      </w:tblGrid>
      <w:tr>
        <w:trPr>
          <w:tblHeader/>
        </w:trPr>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c>
          <w:tcPr>
            <w:tcW w:type="dxa" w:w="4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44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Due Date</w:t>
            </w:r>
          </w:p>
        </w:tc>
        <w:tc>
          <w:tcPr>
            <w:tcW w:type="dxa" w:w="192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Payment (USD)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M1 – Discovery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Current-state assessment, data inventory, migration strategy document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 31, 2024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$120,000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M2 – Design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Target architecture design, ETL mapping specs, tooling setup &amp; configuration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May 31, 2024</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$180,000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M3 – Pilot Migration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Pilot migration of 20% data volume; validation and reconciliation report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Jul 31, 2024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$200,000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M4 – Full Migration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production data migration; cutover execution and rollback readiness plan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Oct 31, 2024</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$320,000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M5 – Stabilization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Post-migration monitoring, defect fixes, performance tuning (90-day support)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31, 2025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$130,000</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4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left"/>
            </w:pPr>
            <w:r>
              <w:rPr>
                <w:rFonts w:ascii="Arial" w:cs="Arial" w:eastAsia="Arial" w:hAnsi="Arial"/>
                <w:b/>
                <w:bCs/>
                <w:sz w:val="20"/>
                <w:szCs w:val="20"/>
              </w:rPr>
              <w:t xml:space="preserve"/>
            </w:r>
          </w:p>
        </w:tc>
        <w:tc>
          <w:tcPr>
            <w:tcW w:type="dxa" w:w="144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left"/>
            </w:pPr>
            <w:r>
              <w:rPr>
                <w:rFonts w:ascii="Arial" w:cs="Arial" w:eastAsia="Arial" w:hAnsi="Arial"/>
                <w:b/>
                <w:bCs/>
                <w:sz w:val="20"/>
                <w:szCs w:val="20"/>
              </w:rPr>
              <w:t xml:space="preserve"/>
            </w:r>
          </w:p>
        </w:tc>
        <w:tc>
          <w:tcPr>
            <w:tcW w:type="dxa" w:w="192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right"/>
            </w:pPr>
            <w:r>
              <w:rPr>
                <w:rFonts w:ascii="Arial" w:cs="Arial" w:eastAsia="Arial" w:hAnsi="Arial"/>
                <w:b/>
                <w:bCs/>
                <w:sz w:val="20"/>
                <w:szCs w:val="20"/>
              </w:rPr>
              <w:t xml:space="preserve">$950,000</w:t>
            </w:r>
          </w:p>
        </w:tc>
      </w:tr>
    </w:tbl>
    <w:p>
      <w:pPr>
        <w:spacing w:after="0" w:before="80"/>
      </w:pPr>
    </w:p>
    <w:p>
      <w:pPr>
        <w:spacing w:after="100" w:before="80"/>
        <w:jc w:val="both"/>
      </w:pPr>
      <w:r>
        <w:rPr>
          <w:rFonts w:ascii="Arial" w:cs="Arial" w:eastAsia="Arial" w:hAnsi="Arial"/>
          <w:color w:val="1A1A1A"/>
          <w:sz w:val="22"/>
          <w:szCs w:val="22"/>
        </w:rPr>
        <w:t xml:space="preserve">All fees are in USD. Taxes, duties, and withholding obligations shall be governed by applicable law and the MSA. Expenses (travel, accommodation) are billable at cost with prior STC approval and shall not exceed 5% of total SOW value.</w:t>
      </w:r>
    </w:p>
    <w:p>
      <w:pPr>
        <w:pStyle w:val="Heading1"/>
        <w:pBdr>
          <w:bottom w:val="single" w:color="C8960C" w:sz="8" w:space="4"/>
        </w:pBdr>
        <w:spacing w:after="160" w:before="340"/>
      </w:pPr>
      <w:r>
        <w:rPr>
          <w:rFonts w:ascii="Arial" w:cs="Arial" w:eastAsia="Arial" w:hAnsi="Arial"/>
          <w:b/>
          <w:bCs/>
          <w:color w:val="003366"/>
          <w:sz w:val="28"/>
          <w:szCs w:val="28"/>
        </w:rPr>
        <w:t xml:space="preserve">6.  ASSUMPTIONS &amp; DEPENDENCIES</w:t>
      </w:r>
    </w:p>
    <w:p>
      <w:pPr>
        <w:pStyle w:val="Heading2"/>
        <w:spacing w:after="80" w:before="200"/>
      </w:pPr>
      <w:r>
        <w:rPr>
          <w:rFonts w:ascii="Arial" w:cs="Arial" w:eastAsia="Arial" w:hAnsi="Arial"/>
          <w:b/>
          <w:bCs/>
          <w:color w:val="005F73"/>
          <w:sz w:val="24"/>
          <w:szCs w:val="24"/>
        </w:rPr>
        <w:t xml:space="preserve">6.1  STC Responsibilities</w:t>
      </w:r>
    </w:p>
    <w:p>
      <w:pPr>
        <w:pStyle w:val="ListParagraph"/>
        <w:numPr>
          <w:ilvl w:val="0"/>
          <w:numId w:val="2"/>
        </w:numPr>
        <w:spacing w:after="60" w:before="60"/>
      </w:pPr>
      <w:r>
        <w:rPr>
          <w:rFonts w:ascii="Arial" w:cs="Arial" w:eastAsia="Arial" w:hAnsi="Arial"/>
          <w:color w:val="1A1A1A"/>
          <w:sz w:val="22"/>
          <w:szCs w:val="22"/>
        </w:rPr>
        <w:t xml:space="preserve">Provide timely access to source systems, data environments, and documentation within 10 business days of request</w:t>
      </w:r>
    </w:p>
    <w:p>
      <w:pPr>
        <w:pStyle w:val="ListParagraph"/>
        <w:numPr>
          <w:ilvl w:val="0"/>
          <w:numId w:val="2"/>
        </w:numPr>
        <w:spacing w:after="60" w:before="60"/>
      </w:pPr>
      <w:r>
        <w:rPr>
          <w:rFonts w:ascii="Arial" w:cs="Arial" w:eastAsia="Arial" w:hAnsi="Arial"/>
          <w:color w:val="1A1A1A"/>
          <w:sz w:val="22"/>
          <w:szCs w:val="22"/>
        </w:rPr>
        <w:t xml:space="preserve">Assign a dedicated STC Project Manager and QA Lead with decision-making authority</w:t>
      </w:r>
    </w:p>
    <w:p>
      <w:pPr>
        <w:pStyle w:val="ListParagraph"/>
        <w:numPr>
          <w:ilvl w:val="0"/>
          <w:numId w:val="2"/>
        </w:numPr>
        <w:spacing w:after="60" w:before="60"/>
      </w:pPr>
      <w:r>
        <w:rPr>
          <w:rFonts w:ascii="Arial" w:cs="Arial" w:eastAsia="Arial" w:hAnsi="Arial"/>
          <w:color w:val="1A1A1A"/>
          <w:sz w:val="22"/>
          <w:szCs w:val="22"/>
        </w:rPr>
        <w:t xml:space="preserve">Complete milestone acceptance reviews within ten (10) business days of TCS submission</w:t>
      </w:r>
    </w:p>
    <w:p>
      <w:pPr>
        <w:pStyle w:val="ListParagraph"/>
        <w:numPr>
          <w:ilvl w:val="0"/>
          <w:numId w:val="2"/>
        </w:numPr>
        <w:spacing w:after="60" w:before="60"/>
      </w:pPr>
      <w:r>
        <w:rPr>
          <w:rFonts w:ascii="Arial" w:cs="Arial" w:eastAsia="Arial" w:hAnsi="Arial"/>
          <w:color w:val="1A1A1A"/>
          <w:sz w:val="22"/>
          <w:szCs w:val="22"/>
        </w:rPr>
        <w:t xml:space="preserve">Provide a data freeze window of at least 72 hours for final production cutover</w:t>
      </w:r>
    </w:p>
    <w:p>
      <w:pPr>
        <w:pStyle w:val="ListParagraph"/>
        <w:numPr>
          <w:ilvl w:val="0"/>
          <w:numId w:val="2"/>
        </w:numPr>
        <w:spacing w:after="60" w:before="60"/>
      </w:pPr>
      <w:r>
        <w:rPr>
          <w:rFonts w:ascii="Arial" w:cs="Arial" w:eastAsia="Arial" w:hAnsi="Arial"/>
          <w:color w:val="1A1A1A"/>
          <w:sz w:val="22"/>
          <w:szCs w:val="22"/>
        </w:rPr>
        <w:t xml:space="preserve">Ensure relevant STC teams are available for knowledge transfer sessions</w:t>
      </w:r>
    </w:p>
    <w:p>
      <w:pPr>
        <w:pStyle w:val="Heading2"/>
        <w:spacing w:after="80" w:before="200"/>
      </w:pPr>
      <w:r>
        <w:rPr>
          <w:rFonts w:ascii="Arial" w:cs="Arial" w:eastAsia="Arial" w:hAnsi="Arial"/>
          <w:b/>
          <w:bCs/>
          <w:color w:val="005F73"/>
          <w:sz w:val="24"/>
          <w:szCs w:val="24"/>
        </w:rPr>
        <w:t xml:space="preserve">6.2  TCS Assumptions</w:t>
      </w:r>
    </w:p>
    <w:p>
      <w:pPr>
        <w:pStyle w:val="ListParagraph"/>
        <w:numPr>
          <w:ilvl w:val="0"/>
          <w:numId w:val="2"/>
        </w:numPr>
        <w:spacing w:after="60" w:before="60"/>
      </w:pPr>
      <w:r>
        <w:rPr>
          <w:rFonts w:ascii="Arial" w:cs="Arial" w:eastAsia="Arial" w:hAnsi="Arial"/>
          <w:color w:val="1A1A1A"/>
          <w:sz w:val="22"/>
          <w:szCs w:val="22"/>
        </w:rPr>
        <w:t xml:space="preserve">Source data volumes do not exceed 5 TB per migration batch as estimated in the Discovery phase</w:t>
      </w:r>
    </w:p>
    <w:p>
      <w:pPr>
        <w:pStyle w:val="ListParagraph"/>
        <w:numPr>
          <w:ilvl w:val="0"/>
          <w:numId w:val="2"/>
        </w:numPr>
        <w:spacing w:after="60" w:before="60"/>
      </w:pPr>
      <w:r>
        <w:rPr>
          <w:rFonts w:ascii="Arial" w:cs="Arial" w:eastAsia="Arial" w:hAnsi="Arial"/>
          <w:color w:val="1A1A1A"/>
          <w:sz w:val="22"/>
          <w:szCs w:val="22"/>
        </w:rPr>
        <w:t xml:space="preserve">STC's target cloud environment is provisioned and accessible prior to Phase 2 commencement</w:t>
      </w:r>
    </w:p>
    <w:p>
      <w:pPr>
        <w:pStyle w:val="ListParagraph"/>
        <w:numPr>
          <w:ilvl w:val="0"/>
          <w:numId w:val="2"/>
        </w:numPr>
        <w:spacing w:after="60" w:before="60"/>
      </w:pPr>
      <w:r>
        <w:rPr>
          <w:rFonts w:ascii="Arial" w:cs="Arial" w:eastAsia="Arial" w:hAnsi="Arial"/>
          <w:color w:val="1A1A1A"/>
          <w:sz w:val="22"/>
          <w:szCs w:val="22"/>
        </w:rPr>
        <w:t xml:space="preserve">Any scope change with a material impact on effort or timeline shall be addressed via a Change Order signed by both parties</w:t>
      </w:r>
    </w:p>
    <w:p>
      <w:pPr>
        <w:pStyle w:val="Heading1"/>
        <w:pBdr>
          <w:bottom w:val="single" w:color="C8960C" w:sz="8" w:space="4"/>
        </w:pBdr>
        <w:spacing w:after="160" w:before="340"/>
      </w:pPr>
      <w:r>
        <w:rPr>
          <w:rFonts w:ascii="Arial" w:cs="Arial" w:eastAsia="Arial" w:hAnsi="Arial"/>
          <w:b/>
          <w:bCs/>
          <w:color w:val="003366"/>
          <w:sz w:val="28"/>
          <w:szCs w:val="28"/>
        </w:rPr>
        <w:t xml:space="preserve">7.  INTELLECTUAL PROPERTY RIGHTS</w:t>
      </w:r>
    </w:p>
    <w:p>
      <w:pPr>
        <w:spacing w:after="100" w:before="80"/>
        <w:jc w:val="both"/>
      </w:pPr>
      <w:r>
        <w:rPr>
          <w:rFonts w:ascii="Arial" w:cs="Arial" w:eastAsia="Arial" w:hAnsi="Arial"/>
          <w:color w:val="1A1A1A"/>
          <w:sz w:val="22"/>
          <w:szCs w:val="22"/>
        </w:rPr>
        <w:t xml:space="preserve">This SOW is subject to Section 6 of the MSA (MSA-TCS-STC-2024-001). All Work Product created specifically for STC under this SOW shall be the exclusive property of STC upon full payment. TCS retains ownership of its Background IP (including TCS MasterCraft DataPlus, TCS BaNCS migration utilities, and proprietary ETL frameworks), and grants STC a non-exclusive, perpetual, royalty-free license to use such Background IP solely as embedded in the delivered Work Product. TCS shall disclose all third-party open-source components used in the deliverables prior to delivery.</w:t>
      </w:r>
    </w:p>
    <w:p>
      <w:pPr>
        <w:pStyle w:val="Heading1"/>
        <w:pBdr>
          <w:bottom w:val="single" w:color="C8960C" w:sz="8" w:space="4"/>
        </w:pBdr>
        <w:spacing w:after="160" w:before="340"/>
      </w:pPr>
      <w:r>
        <w:rPr>
          <w:rFonts w:ascii="Arial" w:cs="Arial" w:eastAsia="Arial" w:hAnsi="Arial"/>
          <w:b/>
          <w:bCs/>
          <w:color w:val="003366"/>
          <w:sz w:val="28"/>
          <w:szCs w:val="28"/>
        </w:rPr>
        <w:t xml:space="preserve">8.  CONFIDENTIALITY &amp; NON-DISCLOSURE</w:t>
      </w:r>
    </w:p>
    <w:p>
      <w:pPr>
        <w:spacing w:after="100" w:before="80"/>
        <w:jc w:val="both"/>
      </w:pPr>
      <w:r>
        <w:rPr>
          <w:rFonts w:ascii="Arial" w:cs="Arial" w:eastAsia="Arial" w:hAnsi="Arial"/>
          <w:color w:val="1A1A1A"/>
          <w:sz w:val="22"/>
          <w:szCs w:val="22"/>
        </w:rPr>
        <w:t xml:space="preserve">All data, system information, and project artifacts exchanged under this SOW are subject to Section 7 of the MSA. Both parties acknowledge that subscriber data, billing records, and network configuration data shared during migration constitute Confidential Information of STC and shall be handled with the highest degree of data protection. TCS shall ensure all personnel assigned to this project execute individual confidentiality agreements consistent with MSA Section 7 before accessing any STC data. Non-disclosure obligations survive expiry or termination of this SOW for five (5) years, and indefinitely for trade secrets.</w:t>
      </w:r>
    </w:p>
    <w:p>
      <w:pPr>
        <w:pStyle w:val="Heading1"/>
        <w:pBdr>
          <w:bottom w:val="single" w:color="C8960C" w:sz="8" w:space="4"/>
        </w:pBdr>
        <w:spacing w:after="160" w:before="340"/>
      </w:pPr>
      <w:r>
        <w:rPr>
          <w:rFonts w:ascii="Arial" w:cs="Arial" w:eastAsia="Arial" w:hAnsi="Arial"/>
          <w:b/>
          <w:bCs/>
          <w:color w:val="003366"/>
          <w:sz w:val="28"/>
          <w:szCs w:val="28"/>
        </w:rPr>
        <w:t xml:space="preserve">9.  DATA PROTECTION &amp; SECURITY</w:t>
      </w:r>
    </w:p>
    <w:p>
      <w:pPr>
        <w:pStyle w:val="ListParagraph"/>
        <w:numPr>
          <w:ilvl w:val="0"/>
          <w:numId w:val="2"/>
        </w:numPr>
        <w:spacing w:after="60" w:before="60"/>
      </w:pPr>
      <w:r>
        <w:rPr>
          <w:rFonts w:ascii="Arial" w:cs="Arial" w:eastAsia="Arial" w:hAnsi="Arial"/>
          <w:color w:val="1A1A1A"/>
          <w:sz w:val="22"/>
          <w:szCs w:val="22"/>
        </w:rPr>
        <w:t xml:space="preserve">TCS shall comply with the Saudi Personal Data Protection Law (PDPL), GDPR (where applicable), and STC's internal data governance policies throughout the engagement</w:t>
      </w:r>
    </w:p>
    <w:p>
      <w:pPr>
        <w:pStyle w:val="ListParagraph"/>
        <w:numPr>
          <w:ilvl w:val="0"/>
          <w:numId w:val="2"/>
        </w:numPr>
        <w:spacing w:after="60" w:before="60"/>
      </w:pPr>
      <w:r>
        <w:rPr>
          <w:rFonts w:ascii="Arial" w:cs="Arial" w:eastAsia="Arial" w:hAnsi="Arial"/>
          <w:color w:val="1A1A1A"/>
          <w:sz w:val="22"/>
          <w:szCs w:val="22"/>
        </w:rPr>
        <w:t xml:space="preserve">All PII and sensitive subscriber data shall be masked or pseudonymized in non-production environments</w:t>
      </w:r>
    </w:p>
    <w:p>
      <w:pPr>
        <w:pStyle w:val="ListParagraph"/>
        <w:numPr>
          <w:ilvl w:val="0"/>
          <w:numId w:val="2"/>
        </w:numPr>
        <w:spacing w:after="60" w:before="60"/>
      </w:pPr>
      <w:r>
        <w:rPr>
          <w:rFonts w:ascii="Arial" w:cs="Arial" w:eastAsia="Arial" w:hAnsi="Arial"/>
          <w:color w:val="1A1A1A"/>
          <w:sz w:val="22"/>
          <w:szCs w:val="22"/>
        </w:rPr>
        <w:t xml:space="preserve">TCS shall maintain an audit log of all data access and transformation activities</w:t>
      </w:r>
    </w:p>
    <w:p>
      <w:pPr>
        <w:pStyle w:val="ListParagraph"/>
        <w:numPr>
          <w:ilvl w:val="0"/>
          <w:numId w:val="2"/>
        </w:numPr>
        <w:spacing w:after="60" w:before="60"/>
      </w:pPr>
      <w:r>
        <w:rPr>
          <w:rFonts w:ascii="Arial" w:cs="Arial" w:eastAsia="Arial" w:hAnsi="Arial"/>
          <w:color w:val="1A1A1A"/>
          <w:sz w:val="22"/>
          <w:szCs w:val="22"/>
        </w:rPr>
        <w:t xml:space="preserve">In the event of a confirmed or suspected data breach, TCS shall notify STC within 72 hours as required under MSA Section 8</w:t>
      </w:r>
    </w:p>
    <w:p>
      <w:pPr>
        <w:pStyle w:val="ListParagraph"/>
        <w:numPr>
          <w:ilvl w:val="0"/>
          <w:numId w:val="2"/>
        </w:numPr>
        <w:spacing w:after="60" w:before="60"/>
      </w:pPr>
      <w:r>
        <w:rPr>
          <w:rFonts w:ascii="Arial" w:cs="Arial" w:eastAsia="Arial" w:hAnsi="Arial"/>
          <w:color w:val="1A1A1A"/>
          <w:sz w:val="22"/>
          <w:szCs w:val="22"/>
        </w:rPr>
        <w:t xml:space="preserve">Upon project completion or termination, TCS shall securely delete or return all STC data in accordance with MSA Section 7.5</w:t>
      </w:r>
    </w:p>
    <w:p>
      <w:pPr>
        <w:pStyle w:val="Heading1"/>
        <w:pBdr>
          <w:bottom w:val="single" w:color="C8960C" w:sz="8" w:space="4"/>
        </w:pBdr>
        <w:spacing w:after="160" w:before="340"/>
      </w:pPr>
      <w:r>
        <w:rPr>
          <w:rFonts w:ascii="Arial" w:cs="Arial" w:eastAsia="Arial" w:hAnsi="Arial"/>
          <w:b/>
          <w:bCs/>
          <w:color w:val="003366"/>
          <w:sz w:val="28"/>
          <w:szCs w:val="28"/>
        </w:rPr>
        <w:t xml:space="preserve">10.  INDEMNIFICATION</w:t>
      </w:r>
    </w:p>
    <w:p>
      <w:pPr>
        <w:spacing w:after="100" w:before="80"/>
        <w:jc w:val="both"/>
      </w:pPr>
      <w:r>
        <w:rPr>
          <w:rFonts w:ascii="Arial" w:cs="Arial" w:eastAsia="Arial" w:hAnsi="Arial"/>
          <w:color w:val="1A1A1A"/>
          <w:sz w:val="22"/>
          <w:szCs w:val="22"/>
        </w:rPr>
        <w:t xml:space="preserve">This SOW is subject to Section 9 of the MSA. TCS takes full responsibility for any mishap arising from its data migration tools, scripts, deliverables, services, or personnel. TCS shall indemnify, defend, and hold harmless STC from any claims, losses, data corruption, system downtime, or financial loss directly or indirectly caused by TCS's work under this SOW. This obligation survives termination of this SOW and is not limited by the Liability Cap where caused by TCS's gross negligence, willful misconduct, or fraud.</w:t>
      </w:r>
    </w:p>
    <w:p>
      <w:pPr>
        <w:pStyle w:val="Heading1"/>
        <w:pBdr>
          <w:bottom w:val="single" w:color="C8960C" w:sz="8" w:space="4"/>
        </w:pBdr>
        <w:spacing w:after="160" w:before="340"/>
      </w:pPr>
      <w:r>
        <w:rPr>
          <w:rFonts w:ascii="Arial" w:cs="Arial" w:eastAsia="Arial" w:hAnsi="Arial"/>
          <w:b/>
          <w:bCs/>
          <w:color w:val="003366"/>
          <w:sz w:val="28"/>
          <w:szCs w:val="28"/>
        </w:rPr>
        <w:t xml:space="preserve">11.  LIABILITY CLAUSE – LIMITATION OF LIABILITY</w:t>
      </w:r>
    </w:p>
    <w:p>
      <w:pPr>
        <w:spacing w:after="100" w:before="80"/>
        <w:jc w:val="both"/>
      </w:pPr>
      <w:r>
        <w:rPr>
          <w:rFonts w:ascii="Arial" w:cs="Arial" w:eastAsia="Arial" w:hAnsi="Arial"/>
          <w:color w:val="1A1A1A"/>
          <w:sz w:val="22"/>
          <w:szCs w:val="22"/>
        </w:rPr>
        <w:t xml:space="preserve">Pursuant to Section 10 of the MSA, the maximum aggregate liability of either party under this SOW shall not exceed the total fees paid or payable by STC to TCS under this SOW during the twelve (12) calendar months immediately preceding the event giving rise to the claim (Liability Cap of USD 950,000 for Year 1). Neither party shall be liable for indirect, incidental, consequential, or punitive damages. Exceptions to this cap include: (a) breaches of confidentiality; (b) TCS's product and service indemnification obligations; (c) fraud or willful misconduct; and (d) any liability that cannot be limited by applicable law.</w:t>
      </w:r>
    </w:p>
    <w:p>
      <w:pPr>
        <w:pStyle w:val="Heading1"/>
        <w:pBdr>
          <w:bottom w:val="single" w:color="C8960C" w:sz="8" w:space="4"/>
        </w:pBdr>
        <w:spacing w:after="160" w:before="340"/>
      </w:pPr>
      <w:r>
        <w:rPr>
          <w:rFonts w:ascii="Arial" w:cs="Arial" w:eastAsia="Arial" w:hAnsi="Arial"/>
          <w:b/>
          <w:bCs/>
          <w:color w:val="003366"/>
          <w:sz w:val="28"/>
          <w:szCs w:val="28"/>
        </w:rPr>
        <w:t xml:space="preserve">12.  DISPUTE RESOLUTION</w:t>
      </w:r>
    </w:p>
    <w:p>
      <w:pPr>
        <w:spacing w:after="100" w:before="80"/>
        <w:jc w:val="both"/>
      </w:pPr>
      <w:r>
        <w:rPr>
          <w:rFonts w:ascii="Arial" w:cs="Arial" w:eastAsia="Arial" w:hAnsi="Arial"/>
          <w:color w:val="1A1A1A"/>
          <w:sz w:val="22"/>
          <w:szCs w:val="22"/>
        </w:rPr>
        <w:t xml:space="preserve">Any dispute arising under this SOW shall be resolved in accordance with Section 12 of the MSA: first through good-faith negotiation (30 days), then non-binding mediation through the Saudi Center for Commercial Arbitration (SCCA) in Riyadh (60 days), and finally binding arbitration before the SCCA if mediation fails. All disputes shall be resolved on an individual basis. Either party may seek emergency injunctive relief to prevent irreparable harm without prejudicing the arbitration process.</w:t>
      </w:r>
    </w:p>
    <w:p>
      <w:pPr>
        <w:pStyle w:val="Heading1"/>
        <w:pBdr>
          <w:bottom w:val="single" w:color="C8960C" w:sz="8" w:space="4"/>
        </w:pBdr>
        <w:spacing w:after="160" w:before="340"/>
      </w:pPr>
      <w:r>
        <w:rPr>
          <w:rFonts w:ascii="Arial" w:cs="Arial" w:eastAsia="Arial" w:hAnsi="Arial"/>
          <w:b/>
          <w:bCs/>
          <w:color w:val="003366"/>
          <w:sz w:val="28"/>
          <w:szCs w:val="28"/>
        </w:rPr>
        <w:t xml:space="preserve">13.  TERMINATION CLAUSE</w:t>
      </w:r>
    </w:p>
    <w:p>
      <w:pPr>
        <w:spacing w:after="100" w:before="80"/>
        <w:jc w:val="both"/>
      </w:pPr>
      <w:r>
        <w:rPr>
          <w:rFonts w:ascii="Arial" w:cs="Arial" w:eastAsia="Arial" w:hAnsi="Arial"/>
          <w:color w:val="1A1A1A"/>
          <w:sz w:val="22"/>
          <w:szCs w:val="22"/>
        </w:rPr>
        <w:t xml:space="preserve">Either party may terminate this SOW for cause upon thirty (30) days' written notice if the other party materially breaches its obligations and fails to cure the breach within such period. STC may terminate this SOW for convenience upon sixty (60) days' written notice, in which case STC shall pay TCS for all work completed through the effective termination date, plus reasonable demobilization costs.</w:t>
      </w:r>
    </w:p>
    <w:p>
      <w:pPr>
        <w:spacing w:after="0" w:before="80"/>
      </w:pPr>
    </w:p>
    <w:p>
      <w:pPr>
        <w:spacing w:after="100" w:before="80"/>
        <w:jc w:val="both"/>
      </w:pPr>
      <w:r>
        <w:rPr>
          <w:rFonts w:ascii="Arial" w:cs="Arial" w:eastAsia="Arial" w:hAnsi="Arial"/>
          <w:color w:val="1A1A1A"/>
          <w:sz w:val="22"/>
          <w:szCs w:val="22"/>
        </w:rPr>
        <w:t xml:space="preserve">Upon termination, TCS shall:</w:t>
      </w:r>
    </w:p>
    <w:p>
      <w:pPr>
        <w:pStyle w:val="ListParagraph"/>
        <w:numPr>
          <w:ilvl w:val="0"/>
          <w:numId w:val="2"/>
        </w:numPr>
        <w:spacing w:after="60" w:before="60"/>
      </w:pPr>
      <w:r>
        <w:rPr>
          <w:rFonts w:ascii="Arial" w:cs="Arial" w:eastAsia="Arial" w:hAnsi="Arial"/>
          <w:color w:val="1A1A1A"/>
          <w:sz w:val="22"/>
          <w:szCs w:val="22"/>
        </w:rPr>
        <w:t xml:space="preserve">Immediately cease all data migration activities and secure all STC data in its custody</w:t>
      </w:r>
    </w:p>
    <w:p>
      <w:pPr>
        <w:pStyle w:val="ListParagraph"/>
        <w:numPr>
          <w:ilvl w:val="0"/>
          <w:numId w:val="2"/>
        </w:numPr>
        <w:spacing w:after="60" w:before="60"/>
      </w:pPr>
      <w:r>
        <w:rPr>
          <w:rFonts w:ascii="Arial" w:cs="Arial" w:eastAsia="Arial" w:hAnsi="Arial"/>
          <w:color w:val="1A1A1A"/>
          <w:sz w:val="22"/>
          <w:szCs w:val="22"/>
        </w:rPr>
        <w:t xml:space="preserve">Return or securely destroy all STC Confidential Information per MSA Section 7.5</w:t>
      </w:r>
    </w:p>
    <w:p>
      <w:pPr>
        <w:pStyle w:val="ListParagraph"/>
        <w:numPr>
          <w:ilvl w:val="0"/>
          <w:numId w:val="2"/>
        </w:numPr>
        <w:spacing w:after="60" w:before="60"/>
      </w:pPr>
      <w:r>
        <w:rPr>
          <w:rFonts w:ascii="Arial" w:cs="Arial" w:eastAsia="Arial" w:hAnsi="Arial"/>
          <w:color w:val="1A1A1A"/>
          <w:sz w:val="22"/>
          <w:szCs w:val="22"/>
        </w:rPr>
        <w:t xml:space="preserve">Deliver all completed or partially completed deliverables and project documentation</w:t>
      </w:r>
    </w:p>
    <w:p>
      <w:pPr>
        <w:pStyle w:val="ListParagraph"/>
        <w:numPr>
          <w:ilvl w:val="0"/>
          <w:numId w:val="2"/>
        </w:numPr>
        <w:spacing w:after="60" w:before="60"/>
      </w:pPr>
      <w:r>
        <w:rPr>
          <w:rFonts w:ascii="Arial" w:cs="Arial" w:eastAsia="Arial" w:hAnsi="Arial"/>
          <w:color w:val="1A1A1A"/>
          <w:sz w:val="22"/>
          <w:szCs w:val="22"/>
        </w:rPr>
        <w:t xml:space="preserve">Cooperate with STC or any replacement vendor during the transition period</w:t>
      </w:r>
    </w:p>
    <w:p>
      <w:pPr>
        <w:pStyle w:val="Heading1"/>
        <w:pBdr>
          <w:bottom w:val="single" w:color="C8960C" w:sz="8" w:space="4"/>
        </w:pBdr>
        <w:spacing w:after="160" w:before="340"/>
      </w:pPr>
      <w:r>
        <w:rPr>
          <w:rFonts w:ascii="Arial" w:cs="Arial" w:eastAsia="Arial" w:hAnsi="Arial"/>
          <w:b/>
          <w:bCs/>
          <w:color w:val="003366"/>
          <w:sz w:val="28"/>
          <w:szCs w:val="28"/>
        </w:rPr>
        <w:t xml:space="preserve">14.  GOVERNING LAW</w:t>
      </w:r>
    </w:p>
    <w:p>
      <w:pPr>
        <w:spacing w:after="100" w:before="80"/>
        <w:jc w:val="both"/>
      </w:pPr>
      <w:r>
        <w:rPr>
          <w:rFonts w:ascii="Arial" w:cs="Arial" w:eastAsia="Arial" w:hAnsi="Arial"/>
          <w:color w:val="1A1A1A"/>
          <w:sz w:val="22"/>
          <w:szCs w:val="22"/>
        </w:rPr>
        <w:t xml:space="preserve">This SOW shall be governed by the laws of the Kingdom of Saudi Arabia, consistent with the MSA. All disputes shall be subject to the exclusive jurisdiction of the competent courts of Riyadh, Kingdom of Saudi Arabia.</w:t>
      </w:r>
    </w:p>
    <w:p>
      <w:pPr>
        <w:pStyle w:val="Heading1"/>
        <w:pBdr>
          <w:bottom w:val="single" w:color="C8960C" w:sz="8" w:space="4"/>
        </w:pBdr>
        <w:spacing w:after="160" w:before="340"/>
      </w:pPr>
      <w:r>
        <w:rPr>
          <w:rFonts w:ascii="Arial" w:cs="Arial" w:eastAsia="Arial" w:hAnsi="Arial"/>
          <w:b/>
          <w:bCs/>
          <w:color w:val="003366"/>
          <w:sz w:val="28"/>
          <w:szCs w:val="28"/>
        </w:rPr>
        <w:t xml:space="preserve">15.  PROJECT TEAM &amp; KEY CONTACTS</w:t>
      </w:r>
    </w:p>
    <w:p>
      <w:pPr>
        <w:spacing w:after="100" w:before="80"/>
        <w:jc w:val="both"/>
      </w:pPr>
      <w:r>
        <w:rPr>
          <w:rFonts w:ascii="Arial" w:cs="Arial" w:eastAsia="Arial" w:hAnsi="Arial"/>
          <w:color w:val="1A1A1A"/>
          <w:sz w:val="22"/>
          <w:szCs w:val="22"/>
        </w:rPr>
        <w:t xml:space="preserve">The following personnel are designated as key contacts and decision-makers for the duration of this SOW: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60"/>
        <w:gridCol w:w="3400"/>
      </w:tblGrid>
      <w:tr>
        <w:trPr>
          <w:tblHeader/>
        </w:trPr>
        <w:tc>
          <w:tcPr>
            <w:tcW w:type="dxa" w:w="2200"/>
            <w:tcBorders>
              <w:top w:val="single" w:color="005F73" w:sz="1"/>
              <w:left w:val="single" w:color="005F73" w:sz="1"/>
              <w:bottom w:val="single" w:color="005F73" w:sz="1"/>
              <w:right w:val="single" w:color="005F73" w:sz="1"/>
            </w:tcBorders>
            <w:shd w:fill="005F7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000"/>
            <w:tcBorders>
              <w:top w:val="single" w:color="005F73" w:sz="1"/>
              <w:left w:val="single" w:color="005F73" w:sz="1"/>
              <w:bottom w:val="single" w:color="005F73" w:sz="1"/>
              <w:right w:val="single" w:color="005F73" w:sz="1"/>
            </w:tcBorders>
            <w:shd w:fill="005F73"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760"/>
            <w:tcBorders>
              <w:top w:val="single" w:color="005F73" w:sz="1"/>
              <w:left w:val="single" w:color="005F73" w:sz="1"/>
              <w:bottom w:val="single" w:color="005F73" w:sz="1"/>
              <w:right w:val="single" w:color="005F73" w:sz="1"/>
            </w:tcBorders>
            <w:shd w:fill="005F73" w:val="clear"/>
            <w:tcMar>
              <w:top w:type="dxa" w:w="100"/>
              <w:left w:type="dxa" w:w="120"/>
              <w:bottom w:type="dxa" w:w="100"/>
              <w:right w:type="dxa" w:w="120"/>
            </w:tcMar>
          </w:tcPr>
          <w:p>
            <w:r>
              <w:rPr>
                <w:rFonts w:ascii="Arial" w:cs="Arial" w:eastAsia="Arial" w:hAnsi="Arial"/>
                <w:b/>
                <w:bCs/>
                <w:color w:val="FFFFFF"/>
                <w:sz w:val="20"/>
                <w:szCs w:val="20"/>
              </w:rPr>
              <w:t xml:space="preserve">Organization</w:t>
            </w:r>
          </w:p>
        </w:tc>
        <w:tc>
          <w:tcPr>
            <w:tcW w:type="dxa" w:w="3400"/>
            <w:tcBorders>
              <w:top w:val="single" w:color="005F73" w:sz="1"/>
              <w:left w:val="single" w:color="005F73" w:sz="1"/>
              <w:bottom w:val="single" w:color="005F73" w:sz="1"/>
              <w:right w:val="single" w:color="005F73" w:sz="1"/>
            </w:tcBorders>
            <w:shd w:fill="005F73"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Sponsor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Ahmad Al-Mansouri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oversight and approval authority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Manager (STC)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Faisal Al-Otaibi</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STC-side delivery management and escalation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 (TCS)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Priya Nair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TCS delivery management, resource coordination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Data Architect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Suresh Rajan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Migration architecture, ETL design, data governance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Mohammed Al-Harbi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strategy, UAT sign-off, defect management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Officer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Anwar Al-Zahrani</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protection, compliance, access controls</w:t>
            </w:r>
          </w:p>
        </w:tc>
      </w:tr>
    </w:tbl>
    <w:p>
      <w:pPr>
        <w:pStyle w:val="Heading1"/>
        <w:pBdr>
          <w:bottom w:val="single" w:color="C8960C" w:sz="8" w:space="4"/>
        </w:pBdr>
        <w:spacing w:after="160" w:before="340"/>
      </w:pPr>
      <w:r>
        <w:rPr>
          <w:rFonts w:ascii="Arial" w:cs="Arial" w:eastAsia="Arial" w:hAnsi="Arial"/>
          <w:b/>
          <w:bCs/>
          <w:color w:val="003366"/>
          <w:sz w:val="28"/>
          <w:szCs w:val="28"/>
        </w:rPr>
        <w:t xml:space="preserve">16.  CHANGE MANAGEMENT</w:t>
      </w:r>
    </w:p>
    <w:p>
      <w:pPr>
        <w:spacing w:after="100" w:before="80"/>
        <w:jc w:val="both"/>
      </w:pPr>
      <w:r>
        <w:rPr>
          <w:rFonts w:ascii="Arial" w:cs="Arial" w:eastAsia="Arial" w:hAnsi="Arial"/>
          <w:color w:val="1A1A1A"/>
          <w:sz w:val="22"/>
          <w:szCs w:val="22"/>
        </w:rPr>
        <w:t xml:space="preserve">Any change to the scope, timeline, or budget defined in this SOW shall be documented in a written Change Order (CO), reviewed by both Project Managers, and signed by authorized representatives of both STC and TCS before implementation. Verbal or email-based approvals shall not constitute a binding change. TCS shall provide a cost and timeline impact assessment within five (5) business days of receiving a change request.</w:t>
      </w:r>
    </w:p>
    <w:p>
      <w:r>
        <w:br w:type="page"/>
      </w:r>
    </w:p>
    <w:p>
      <w:pPr>
        <w:pStyle w:val="Heading1"/>
        <w:pBdr>
          <w:bottom w:val="single" w:color="C8960C" w:sz="8" w:space="4"/>
        </w:pBdr>
        <w:spacing w:after="160" w:before="340"/>
      </w:pPr>
      <w:r>
        <w:rPr>
          <w:rFonts w:ascii="Arial" w:cs="Arial" w:eastAsia="Arial" w:hAnsi="Arial"/>
          <w:b/>
          <w:bCs/>
          <w:color w:val="003366"/>
          <w:sz w:val="28"/>
          <w:szCs w:val="28"/>
        </w:rPr>
        <w:t xml:space="preserve">AUTHORIZED SIGNATURES</w:t>
      </w:r>
    </w:p>
    <w:p>
      <w:pPr>
        <w:spacing w:after="100" w:before="80"/>
        <w:jc w:val="both"/>
      </w:pPr>
      <w:r>
        <w:rPr>
          <w:rFonts w:ascii="Arial" w:cs="Arial" w:eastAsia="Arial" w:hAnsi="Arial"/>
          <w:color w:val="1A1A1A"/>
          <w:sz w:val="22"/>
          <w:szCs w:val="22"/>
        </w:rPr>
        <w:t xml:space="preserve">By signing below, both parties confirm they have read, understood, and agree to all terms, deliverables, and obligations set forth in this Statement of Work, which is incorporated into and governed by MSA-TCS-STC-2024-001.</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3366" w:sz="1"/>
              <w:left w:val="single" w:color="003366" w:sz="1"/>
              <w:bottom w:val="single" w:color="003366" w:sz="1"/>
              <w:right w:val="single" w:color="003366" w:sz="1"/>
            </w:tcBorders>
            <w:shd w:fill="EAF2FB" w:val="clear"/>
            <w:tcMar>
              <w:top w:type="dxa" w:w="200"/>
              <w:left w:type="dxa" w:w="200"/>
              <w:bottom w:type="dxa" w:w="200"/>
              <w:right w:type="dxa" w:w="200"/>
            </w:tcMar>
          </w:tcPr>
          <w:p>
            <w:r>
              <w:rPr>
                <w:rFonts w:ascii="Arial" w:cs="Arial" w:eastAsia="Arial" w:hAnsi="Arial"/>
                <w:b/>
                <w:bCs/>
                <w:caps/>
                <w:color w:val="003366"/>
                <w:sz w:val="20"/>
                <w:szCs w:val="20"/>
              </w:rPr>
              <w:t xml:space="preserve">CLIENT SIGNATURE</w:t>
            </w:r>
          </w:p>
          <w:p>
            <w:pPr>
              <w:spacing w:after="0" w:before="120"/>
            </w:pPr>
          </w:p>
          <w:p>
            <w:r>
              <w:rPr>
                <w:rFonts w:ascii="Arial" w:cs="Arial" w:eastAsia="Arial" w:hAnsi="Arial"/>
                <w:sz w:val="20"/>
                <w:szCs w:val="20"/>
              </w:rPr>
              <w:t xml:space="preserve">Signature:  ___________________________</w:t>
            </w:r>
          </w:p>
          <w:p>
            <w:pPr>
              <w:spacing w:after="0" w:before="100"/>
            </w:pPr>
          </w:p>
          <w:p>
            <w:r>
              <w:rPr>
                <w:rFonts w:ascii="Arial" w:cs="Arial" w:eastAsia="Arial" w:hAnsi="Arial"/>
                <w:sz w:val="20"/>
                <w:szCs w:val="20"/>
              </w:rPr>
              <w:t xml:space="preserve">Name:        Ahmad Al-Mansouri</w:t>
            </w:r>
          </w:p>
          <w:p>
            <w:r>
              <w:rPr>
                <w:rFonts w:ascii="Arial" w:cs="Arial" w:eastAsia="Arial" w:hAnsi="Arial"/>
                <w:sz w:val="20"/>
                <w:szCs w:val="20"/>
              </w:rPr>
              <w:t xml:space="preserve">Title:         Chief Procurement Officer, STC</w:t>
            </w:r>
          </w:p>
          <w:p>
            <w:r>
              <w:rPr>
                <w:rFonts w:ascii="Arial" w:cs="Arial" w:eastAsia="Arial" w:hAnsi="Arial"/>
                <w:sz w:val="20"/>
                <w:szCs w:val="20"/>
              </w:rPr>
              <w:t xml:space="preserve">Date:         February 01, 2024</w:t>
            </w:r>
          </w:p>
          <w:p>
            <w:pPr>
              <w:spacing w:after="0" w:before="80"/>
            </w:pPr>
          </w:p>
          <w:p>
            <w:r>
              <w:rPr>
                <w:rFonts w:ascii="Arial" w:cs="Arial" w:eastAsia="Arial" w:hAnsi="Arial"/>
                <w:sz w:val="20"/>
                <w:szCs w:val="20"/>
              </w:rPr>
              <w:t xml:space="preserve">Official Stamp / Seal:</w:t>
            </w:r>
          </w:p>
          <w:p>
            <w:r>
              <w:rPr>
                <w:rFonts w:ascii="Arial" w:cs="Arial" w:eastAsia="Arial" w:hAnsi="Arial"/>
                <w:sz w:val="20"/>
                <w:szCs w:val="20"/>
              </w:rPr>
              <w:t xml:space="preserve">___________________________</w:t>
            </w:r>
          </w:p>
        </w:tc>
        <w:tc>
          <w:tcPr>
            <w:tcW w:type="dxa" w:w="4680"/>
            <w:tcBorders>
              <w:top w:val="single" w:color="003366" w:sz="1"/>
              <w:left w:val="single" w:color="003366" w:sz="1"/>
              <w:bottom w:val="single" w:color="003366" w:sz="1"/>
              <w:right w:val="single" w:color="003366" w:sz="1"/>
            </w:tcBorders>
            <w:shd w:fill="FFF8E7" w:val="clear"/>
            <w:tcMar>
              <w:top w:type="dxa" w:w="200"/>
              <w:left w:type="dxa" w:w="200"/>
              <w:bottom w:type="dxa" w:w="200"/>
              <w:right w:type="dxa" w:w="200"/>
            </w:tcMar>
          </w:tcPr>
          <w:p>
            <w:r>
              <w:rPr>
                <w:rFonts w:ascii="Arial" w:cs="Arial" w:eastAsia="Arial" w:hAnsi="Arial"/>
                <w:b/>
                <w:bCs/>
                <w:caps/>
                <w:color w:val="003366"/>
                <w:sz w:val="20"/>
                <w:szCs w:val="20"/>
              </w:rPr>
              <w:t xml:space="preserve">VENDOR SIGNATURE</w:t>
            </w:r>
          </w:p>
          <w:p>
            <w:pPr>
              <w:spacing w:after="0" w:before="120"/>
            </w:pPr>
          </w:p>
          <w:p>
            <w:r>
              <w:rPr>
                <w:rFonts w:ascii="Arial" w:cs="Arial" w:eastAsia="Arial" w:hAnsi="Arial"/>
                <w:sz w:val="20"/>
                <w:szCs w:val="20"/>
              </w:rPr>
              <w:t xml:space="preserve">Signature:  ___________________________</w:t>
            </w:r>
          </w:p>
          <w:p>
            <w:pPr>
              <w:spacing w:after="0" w:before="100"/>
            </w:pPr>
          </w:p>
          <w:p>
            <w:r>
              <w:rPr>
                <w:rFonts w:ascii="Arial" w:cs="Arial" w:eastAsia="Arial" w:hAnsi="Arial"/>
                <w:sz w:val="20"/>
                <w:szCs w:val="20"/>
              </w:rPr>
              <w:t xml:space="preserve">Name:        Rajesh Gopinathan</w:t>
            </w:r>
          </w:p>
          <w:p>
            <w:r>
              <w:rPr>
                <w:rFonts w:ascii="Arial" w:cs="Arial" w:eastAsia="Arial" w:hAnsi="Arial"/>
                <w:sz w:val="20"/>
                <w:szCs w:val="20"/>
              </w:rPr>
              <w:t xml:space="preserve">Title:         CEO &amp; Managing Director, TCS</w:t>
            </w:r>
          </w:p>
          <w:p>
            <w:r>
              <w:rPr>
                <w:rFonts w:ascii="Arial" w:cs="Arial" w:eastAsia="Arial" w:hAnsi="Arial"/>
                <w:sz w:val="20"/>
                <w:szCs w:val="20"/>
              </w:rPr>
              <w:t xml:space="preserve">Date:         February 01, 2024</w:t>
            </w:r>
          </w:p>
          <w:p>
            <w:pPr>
              <w:spacing w:after="0" w:before="80"/>
            </w:pPr>
          </w:p>
          <w:p>
            <w:r>
              <w:rPr>
                <w:rFonts w:ascii="Arial" w:cs="Arial" w:eastAsia="Arial" w:hAnsi="Arial"/>
                <w:sz w:val="20"/>
                <w:szCs w:val="20"/>
              </w:rPr>
              <w:t xml:space="preserve">Official Stamp / Seal:</w:t>
            </w:r>
          </w:p>
          <w:p>
            <w:r>
              <w:rPr>
                <w:rFonts w:ascii="Arial" w:cs="Arial" w:eastAsia="Arial" w:hAnsi="Arial"/>
                <w:sz w:val="20"/>
                <w:szCs w:val="20"/>
              </w:rPr>
              <w:t xml:space="preserve">___________________________</w:t>
            </w:r>
          </w:p>
        </w:tc>
      </w:tr>
    </w:tbl>
    <w:p>
      <w:pPr>
        <w:spacing w:after="0" w:before="200"/>
      </w:pPr>
    </w:p>
    <w:p>
      <w:pPr>
        <w:pBdr>
          <w:top w:val="single" w:color="003366" w:sz="4" w:space="6"/>
        </w:pBdr>
        <w:spacing w:before="200"/>
        <w:jc w:val="center"/>
      </w:pPr>
      <w:r>
        <w:rPr>
          <w:rFonts w:ascii="Arial" w:cs="Arial" w:eastAsia="Arial" w:hAnsi="Arial"/>
          <w:color w:val="555555"/>
          <w:sz w:val="18"/>
          <w:szCs w:val="18"/>
        </w:rPr>
        <w:t xml:space="preserve">SOW ID: SOW-TCS-STC-DM-2024-001   |   MSA Ref: MSA-TCS-STC-2024-001   |   Version: v1.0   |   Effective: February 01, 2024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pPr>
    <w:r>
      <w:rPr>
        <w:rFonts w:ascii="Arial" w:cs="Arial" w:eastAsia="Arial" w:hAnsi="Arial"/>
        <w:color w:val="555555"/>
        <w:sz w:val="18"/>
        <w:szCs w:val="18"/>
      </w:rPr>
      <w:t xml:space="preserve">Confidential &amp; Proprietary  |  Governed by MSA-TCS-STC-2024-001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tabs>
        <w:tab w:val="right" w:pos="9026"/>
      </w:tabs>
    </w:pPr>
    <w:r>
      <w:rPr>
        <w:rFonts w:ascii="Arial" w:cs="Arial" w:eastAsia="Arial" w:hAnsi="Arial"/>
        <w:color w:val="003366"/>
        <w:sz w:val="18"/>
        <w:szCs w:val="18"/>
      </w:rPr>
      <w:t xml:space="preserve">STATEMENT OF WORK  |  TCS &amp; STC  |  Data Migration Project</w:t>
    </w:r>
    <w:r>
      <w:rPr>
        <w:rFonts w:ascii="Arial" w:cs="Arial" w:eastAsia="Arial" w:hAnsi="Arial"/>
        <w:color w:val="555555"/>
        <w:sz w:val="18"/>
        <w:szCs w:val="18"/>
      </w:rPr>
      <w:t xml:space="preserve">	SOW-TCS-STC-DM-2024-001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5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2026-04-26T02:39:39.854Z</dcterms:created>
  <dcterms:modified xsi:type="dcterms:W3CDTF">2026-04-26T02:39:39.855Z</dcterms:modified>
</cp:coreProperties>
</file>

<file path=docProps/custom.xml><?xml version="1.0" encoding="utf-8"?>
<Properties xmlns="http://schemas.openxmlformats.org/officeDocument/2006/custom-properties" xmlns:vt="http://schemas.openxmlformats.org/officeDocument/2006/docPropsVTypes"/>
</file>