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40"/>
        <w:jc w:val="center"/>
      </w:pPr>
      <w:r>
        <w:rPr>
          <w:rFonts w:ascii="Arial" w:hAnsi="Arial"/>
          <w:b/>
          <w:color w:val="0E356E"/>
          <w:sz w:val="44"/>
        </w:rPr>
        <w:t>StellarIntel: Automated Satellite Telemetry Analysis AI Application</w:t>
      </w:r>
    </w:p>
    <w:p>
      <w:pPr>
        <w:spacing w:after="1280"/>
        <w:jc w:val="center"/>
      </w:pPr>
      <w:r>
        <w:rPr>
          <w:rFonts w:ascii="Arial" w:hAnsi="Arial"/>
          <w:color w:val="646E82"/>
          <w:sz w:val="30"/>
        </w:rPr>
        <w:t>Learning Block 1 Report</w:t>
      </w:r>
    </w:p>
    <w:p>
      <w:pPr>
        <w:spacing w:after="720"/>
        <w:jc w:val="center"/>
      </w:pPr>
      <w:r>
        <w:rPr>
          <w:rFonts w:ascii="Arial" w:hAnsi="Arial"/>
          <w:color w:val="5A5F69"/>
          <w:sz w:val="24"/>
        </w:rPr>
        <w:t>Submitted by</w:t>
        <w:br/>
      </w:r>
      <w:r>
        <w:rPr>
          <w:rFonts w:ascii="Arial" w:hAnsi="Arial"/>
          <w:b/>
          <w:color w:val="141E2D"/>
          <w:sz w:val="28"/>
        </w:rPr>
        <w:t>Mahek Patel</w:t>
      </w:r>
    </w:p>
    <w:p>
      <w:pPr>
        <w:spacing w:after="720"/>
        <w:jc w:val="center"/>
      </w:pPr>
      <w:r>
        <w:rPr>
          <w:rFonts w:ascii="Arial" w:hAnsi="Arial"/>
          <w:b/>
          <w:color w:val="141E2D"/>
          <w:sz w:val="26"/>
        </w:rPr>
        <w:t>G H Patel College of Engineering And Technology</w:t>
        <w:br/>
      </w:r>
      <w:r>
        <w:rPr>
          <w:rFonts w:ascii="Arial" w:hAnsi="Arial"/>
          <w:color w:val="3C4655"/>
          <w:sz w:val="24"/>
        </w:rPr>
        <w:t>Department of Computer Engineering</w:t>
        <w:br/>
      </w:r>
      <w:r>
        <w:rPr>
          <w:rFonts w:ascii="Arial" w:hAnsi="Arial"/>
          <w:color w:val="505A69"/>
          <w:sz w:val="24"/>
        </w:rPr>
        <w:t>Academic Year: Pre-Final (2026-2027)</w:t>
        <w:br/>
      </w:r>
    </w:p>
    <w:p>
      <w:pPr>
        <w:jc w:val="center"/>
      </w:pPr>
      <w:r>
        <w:rPr>
          <w:rFonts w:ascii="Arial" w:hAnsi="Arial"/>
          <w:color w:val="5A5F69"/>
          <w:sz w:val="24"/>
        </w:rPr>
        <w:t xml:space="preserve">Guided by: </w:t>
      </w:r>
      <w:r>
        <w:rPr>
          <w:rFonts w:ascii="Arial" w:hAnsi="Arial"/>
          <w:b/>
          <w:color w:val="141E2D"/>
          <w:sz w:val="26"/>
        </w:rPr>
        <w:t>Harsha Pedhadiya</w:t>
      </w:r>
    </w:p>
    <w:p>
      <w:r>
        <w:br w:type="page"/>
      </w:r>
    </w:p>
    <w:p>
      <w:pPr>
        <w:spacing w:before="360" w:after="320"/>
      </w:pPr>
      <w:r>
        <w:rPr>
          <w:rFonts w:ascii="Arial" w:hAnsi="Arial"/>
          <w:b/>
          <w:color w:val="0E356E"/>
          <w:sz w:val="40"/>
        </w:rPr>
        <w:t>Index</w:t>
      </w:r>
    </w:p>
    <w:tbl>
      <w:tblPr>
        <w:tblW w:type="auto" w:w="0"/>
        <w:jc w:val="center"/>
        <w:tblLayout w:type="fixed"/>
        <w:tblLook w:firstColumn="1" w:firstRow="1" w:lastColumn="0" w:lastRow="0" w:noHBand="0" w:noVBand="1" w:val="04A0"/>
      </w:tblPr>
      <w:tblGrid>
        <w:gridCol w:w="3120"/>
        <w:gridCol w:w="3120"/>
        <w:gridCol w:w="3120"/>
      </w:tblGrid>
      <w:tr>
        <w:tc>
          <w:tcPr>
            <w:tcW w:type="dxa" w:w="864"/>
            <w:shd w:fill="1F4E79"/>
            <w:tcMar>
              <w:top w:w="90" w:type="dxa"/>
              <w:bottom w:w="90" w:type="dxa"/>
              <w:left w:w="110" w:type="dxa"/>
              <w:right w:w="110" w:type="dxa"/>
            </w:tcMar>
          </w:tcPr>
          <w:p>
            <w:r>
              <w:rPr>
                <w:rFonts w:ascii="Arial" w:hAnsi="Arial"/>
                <w:b/>
                <w:color w:val="FFFFFF"/>
                <w:sz w:val="19"/>
              </w:rPr>
              <w:t>No.</w:t>
            </w:r>
          </w:p>
        </w:tc>
        <w:tc>
          <w:tcPr>
            <w:tcW w:type="dxa" w:w="3456"/>
            <w:shd w:fill="1F4E79"/>
            <w:tcMar>
              <w:top w:w="90" w:type="dxa"/>
              <w:bottom w:w="90" w:type="dxa"/>
              <w:left w:w="110" w:type="dxa"/>
              <w:right w:w="110" w:type="dxa"/>
            </w:tcMar>
          </w:tcPr>
          <w:p>
            <w:r>
              <w:rPr>
                <w:rFonts w:ascii="Arial" w:hAnsi="Arial"/>
                <w:b/>
                <w:color w:val="FFFFFF"/>
                <w:sz w:val="19"/>
              </w:rPr>
              <w:t>Section Title</w:t>
            </w:r>
          </w:p>
        </w:tc>
        <w:tc>
          <w:tcPr>
            <w:tcW w:type="dxa" w:w="5040"/>
            <w:shd w:fill="1F4E79"/>
            <w:tcMar>
              <w:top w:w="90" w:type="dxa"/>
              <w:bottom w:w="90" w:type="dxa"/>
              <w:left w:w="110" w:type="dxa"/>
              <w:right w:w="110" w:type="dxa"/>
            </w:tcMar>
          </w:tcPr>
          <w:p>
            <w:r>
              <w:rPr>
                <w:rFonts w:ascii="Arial" w:hAnsi="Arial"/>
                <w:b/>
                <w:color w:val="FFFFFF"/>
                <w:sz w:val="19"/>
              </w:rPr>
              <w:t>Topic Coverage &amp; Highlights</w:t>
            </w:r>
          </w:p>
        </w:tc>
      </w:tr>
      <w:tr>
        <w:tc>
          <w:tcPr>
            <w:tcW w:type="dxa" w:w="864"/>
            <w:shd w:fill="FFFFFF"/>
            <w:tcMar>
              <w:top w:w="70" w:type="dxa"/>
              <w:bottom w:w="70" w:type="dxa"/>
              <w:left w:w="110" w:type="dxa"/>
              <w:right w:w="110" w:type="dxa"/>
            </w:tcMar>
          </w:tcPr>
          <w:p>
            <w:r>
              <w:rPr>
                <w:rFonts w:ascii="Arial" w:hAnsi="Arial"/>
                <w:color w:val="1E2837"/>
                <w:sz w:val="18"/>
              </w:rPr>
              <w:t>1</w:t>
            </w:r>
          </w:p>
        </w:tc>
        <w:tc>
          <w:tcPr>
            <w:tcW w:type="dxa" w:w="3456"/>
            <w:shd w:fill="FFFFFF"/>
            <w:tcMar>
              <w:top w:w="70" w:type="dxa"/>
              <w:bottom w:w="70" w:type="dxa"/>
              <w:left w:w="110" w:type="dxa"/>
              <w:right w:w="110" w:type="dxa"/>
            </w:tcMar>
          </w:tcPr>
          <w:p>
            <w:r>
              <w:rPr>
                <w:rFonts w:ascii="Arial" w:hAnsi="Arial"/>
                <w:color w:val="1E2837"/>
                <w:sz w:val="18"/>
              </w:rPr>
              <w:t>1. Introduction</w:t>
            </w:r>
          </w:p>
        </w:tc>
        <w:tc>
          <w:tcPr>
            <w:tcW w:type="dxa" w:w="5040"/>
            <w:shd w:fill="FFFFFF"/>
            <w:tcMar>
              <w:top w:w="70" w:type="dxa"/>
              <w:bottom w:w="70" w:type="dxa"/>
              <w:left w:w="110" w:type="dxa"/>
              <w:right w:w="110" w:type="dxa"/>
            </w:tcMar>
          </w:tcPr>
          <w:p>
            <w:r>
              <w:rPr>
                <w:rFonts w:ascii="Arial" w:hAnsi="Arial"/>
                <w:color w:val="1E2837"/>
                <w:sz w:val="18"/>
              </w:rPr>
              <w:t>Overview, Real-World Purpose, GenAI Role, Output Formats, Core Features</w:t>
            </w:r>
          </w:p>
        </w:tc>
      </w:tr>
      <w:tr>
        <w:tc>
          <w:tcPr>
            <w:tcW w:type="dxa" w:w="864"/>
            <w:shd w:fill="F9FAFB"/>
            <w:tcMar>
              <w:top w:w="70" w:type="dxa"/>
              <w:bottom w:w="70" w:type="dxa"/>
              <w:left w:w="110" w:type="dxa"/>
              <w:right w:w="110" w:type="dxa"/>
            </w:tcMar>
          </w:tcPr>
          <w:p>
            <w:r>
              <w:rPr>
                <w:rFonts w:ascii="Arial" w:hAnsi="Arial"/>
                <w:color w:val="1E2837"/>
                <w:sz w:val="18"/>
              </w:rPr>
              <w:t>2</w:t>
            </w:r>
          </w:p>
        </w:tc>
        <w:tc>
          <w:tcPr>
            <w:tcW w:type="dxa" w:w="3456"/>
            <w:shd w:fill="F9FAFB"/>
            <w:tcMar>
              <w:top w:w="70" w:type="dxa"/>
              <w:bottom w:w="70" w:type="dxa"/>
              <w:left w:w="110" w:type="dxa"/>
              <w:right w:w="110" w:type="dxa"/>
            </w:tcMar>
          </w:tcPr>
          <w:p>
            <w:r>
              <w:rPr>
                <w:rFonts w:ascii="Arial" w:hAnsi="Arial"/>
                <w:color w:val="1E2837"/>
                <w:sz w:val="18"/>
              </w:rPr>
              <w:t>2. Problem Statement</w:t>
            </w:r>
          </w:p>
        </w:tc>
        <w:tc>
          <w:tcPr>
            <w:tcW w:type="dxa" w:w="5040"/>
            <w:shd w:fill="F9FAFB"/>
            <w:tcMar>
              <w:top w:w="70" w:type="dxa"/>
              <w:bottom w:w="70" w:type="dxa"/>
              <w:left w:w="110" w:type="dxa"/>
              <w:right w:w="110" w:type="dxa"/>
            </w:tcMar>
          </w:tcPr>
          <w:p>
            <w:r>
              <w:rPr>
                <w:rFonts w:ascii="Arial" w:hAnsi="Arial"/>
                <w:color w:val="1E2837"/>
                <w:sz w:val="18"/>
              </w:rPr>
              <w:t>Operational Difficulties, Inefficiencies, GenAI Suitability, Expected Outcomes</w:t>
            </w:r>
          </w:p>
        </w:tc>
      </w:tr>
      <w:tr>
        <w:tc>
          <w:tcPr>
            <w:tcW w:type="dxa" w:w="864"/>
            <w:shd w:fill="FFFFFF"/>
            <w:tcMar>
              <w:top w:w="70" w:type="dxa"/>
              <w:bottom w:w="70" w:type="dxa"/>
              <w:left w:w="110" w:type="dxa"/>
              <w:right w:w="110" w:type="dxa"/>
            </w:tcMar>
          </w:tcPr>
          <w:p>
            <w:r>
              <w:rPr>
                <w:rFonts w:ascii="Arial" w:hAnsi="Arial"/>
                <w:color w:val="1E2837"/>
                <w:sz w:val="18"/>
              </w:rPr>
              <w:t>3</w:t>
            </w:r>
          </w:p>
        </w:tc>
        <w:tc>
          <w:tcPr>
            <w:tcW w:type="dxa" w:w="3456"/>
            <w:shd w:fill="FFFFFF"/>
            <w:tcMar>
              <w:top w:w="70" w:type="dxa"/>
              <w:bottom w:w="70" w:type="dxa"/>
              <w:left w:w="110" w:type="dxa"/>
              <w:right w:w="110" w:type="dxa"/>
            </w:tcMar>
          </w:tcPr>
          <w:p>
            <w:r>
              <w:rPr>
                <w:rFonts w:ascii="Arial" w:hAnsi="Arial"/>
                <w:color w:val="1E2837"/>
                <w:sz w:val="18"/>
              </w:rPr>
              <w:t>3. Objectives</w:t>
            </w:r>
          </w:p>
        </w:tc>
        <w:tc>
          <w:tcPr>
            <w:tcW w:type="dxa" w:w="5040"/>
            <w:shd w:fill="FFFFFF"/>
            <w:tcMar>
              <w:top w:w="70" w:type="dxa"/>
              <w:bottom w:w="70" w:type="dxa"/>
              <w:left w:w="110" w:type="dxa"/>
              <w:right w:w="110" w:type="dxa"/>
            </w:tcMar>
          </w:tcPr>
          <w:p>
            <w:r>
              <w:rPr>
                <w:rFonts w:ascii="Arial" w:hAnsi="Arial"/>
                <w:color w:val="1E2837"/>
                <w:sz w:val="18"/>
              </w:rPr>
              <w:t>Measurable Engineering Objectives for Telemetry, AI, RAG, UI, Evaluation &amp; PDF</w:t>
            </w:r>
          </w:p>
        </w:tc>
      </w:tr>
      <w:tr>
        <w:tc>
          <w:tcPr>
            <w:tcW w:type="dxa" w:w="864"/>
            <w:shd w:fill="F9FAFB"/>
            <w:tcMar>
              <w:top w:w="70" w:type="dxa"/>
              <w:bottom w:w="70" w:type="dxa"/>
              <w:left w:w="110" w:type="dxa"/>
              <w:right w:w="110" w:type="dxa"/>
            </w:tcMar>
          </w:tcPr>
          <w:p>
            <w:r>
              <w:rPr>
                <w:rFonts w:ascii="Arial" w:hAnsi="Arial"/>
                <w:color w:val="1E2837"/>
                <w:sz w:val="18"/>
              </w:rPr>
              <w:t>4</w:t>
            </w:r>
          </w:p>
        </w:tc>
        <w:tc>
          <w:tcPr>
            <w:tcW w:type="dxa" w:w="3456"/>
            <w:shd w:fill="F9FAFB"/>
            <w:tcMar>
              <w:top w:w="70" w:type="dxa"/>
              <w:bottom w:w="70" w:type="dxa"/>
              <w:left w:w="110" w:type="dxa"/>
              <w:right w:w="110" w:type="dxa"/>
            </w:tcMar>
          </w:tcPr>
          <w:p>
            <w:r>
              <w:rPr>
                <w:rFonts w:ascii="Arial" w:hAnsi="Arial"/>
                <w:color w:val="1E2837"/>
                <w:sz w:val="18"/>
              </w:rPr>
              <w:t>4. Project Scope</w:t>
            </w:r>
          </w:p>
        </w:tc>
        <w:tc>
          <w:tcPr>
            <w:tcW w:type="dxa" w:w="5040"/>
            <w:shd w:fill="F9FAFB"/>
            <w:tcMar>
              <w:top w:w="70" w:type="dxa"/>
              <w:bottom w:w="70" w:type="dxa"/>
              <w:left w:w="110" w:type="dxa"/>
              <w:right w:w="110" w:type="dxa"/>
            </w:tcMar>
          </w:tcPr>
          <w:p>
            <w:r>
              <w:rPr>
                <w:rFonts w:ascii="Arial" w:hAnsi="Arial"/>
                <w:color w:val="1E2837"/>
                <w:sz w:val="18"/>
              </w:rPr>
              <w:t>Covered Use Cases, Target User Personas, Included Features, Boundaries</w:t>
            </w:r>
          </w:p>
        </w:tc>
      </w:tr>
      <w:tr>
        <w:tc>
          <w:tcPr>
            <w:tcW w:type="dxa" w:w="864"/>
            <w:shd w:fill="FFFFFF"/>
            <w:tcMar>
              <w:top w:w="70" w:type="dxa"/>
              <w:bottom w:w="70" w:type="dxa"/>
              <w:left w:w="110" w:type="dxa"/>
              <w:right w:w="110" w:type="dxa"/>
            </w:tcMar>
          </w:tcPr>
          <w:p>
            <w:r>
              <w:rPr>
                <w:rFonts w:ascii="Arial" w:hAnsi="Arial"/>
                <w:color w:val="1E2837"/>
                <w:sz w:val="18"/>
              </w:rPr>
              <w:t>5</w:t>
            </w:r>
          </w:p>
        </w:tc>
        <w:tc>
          <w:tcPr>
            <w:tcW w:type="dxa" w:w="3456"/>
            <w:shd w:fill="FFFFFF"/>
            <w:tcMar>
              <w:top w:w="70" w:type="dxa"/>
              <w:bottom w:w="70" w:type="dxa"/>
              <w:left w:w="110" w:type="dxa"/>
              <w:right w:w="110" w:type="dxa"/>
            </w:tcMar>
          </w:tcPr>
          <w:p>
            <w:r>
              <w:rPr>
                <w:rFonts w:ascii="Arial" w:hAnsi="Arial"/>
                <w:color w:val="1E2837"/>
                <w:sz w:val="18"/>
              </w:rPr>
              <w:t>5. Proposed System / Methodology</w:t>
            </w:r>
          </w:p>
        </w:tc>
        <w:tc>
          <w:tcPr>
            <w:tcW w:type="dxa" w:w="5040"/>
            <w:shd w:fill="FFFFFF"/>
            <w:tcMar>
              <w:top w:w="70" w:type="dxa"/>
              <w:bottom w:w="70" w:type="dxa"/>
              <w:left w:w="110" w:type="dxa"/>
              <w:right w:w="110" w:type="dxa"/>
            </w:tcMar>
          </w:tcPr>
          <w:p>
            <w:r>
              <w:rPr>
                <w:rFonts w:ascii="Arial" w:hAnsi="Arial"/>
                <w:color w:val="1E2837"/>
                <w:sz w:val="18"/>
              </w:rPr>
              <w:t>Dual-Engine Architecture, Multi-Stage Pipeline, Validation, RAG Retrieval</w:t>
            </w:r>
          </w:p>
        </w:tc>
      </w:tr>
      <w:tr>
        <w:tc>
          <w:tcPr>
            <w:tcW w:type="dxa" w:w="864"/>
            <w:shd w:fill="F9FAFB"/>
            <w:tcMar>
              <w:top w:w="70" w:type="dxa"/>
              <w:bottom w:w="70" w:type="dxa"/>
              <w:left w:w="110" w:type="dxa"/>
              <w:right w:w="110" w:type="dxa"/>
            </w:tcMar>
          </w:tcPr>
          <w:p>
            <w:r>
              <w:rPr>
                <w:rFonts w:ascii="Arial" w:hAnsi="Arial"/>
                <w:color w:val="1E2837"/>
                <w:sz w:val="18"/>
              </w:rPr>
              <w:t>6</w:t>
            </w:r>
          </w:p>
        </w:tc>
        <w:tc>
          <w:tcPr>
            <w:tcW w:type="dxa" w:w="3456"/>
            <w:shd w:fill="F9FAFB"/>
            <w:tcMar>
              <w:top w:w="70" w:type="dxa"/>
              <w:bottom w:w="70" w:type="dxa"/>
              <w:left w:w="110" w:type="dxa"/>
              <w:right w:w="110" w:type="dxa"/>
            </w:tcMar>
          </w:tcPr>
          <w:p>
            <w:r>
              <w:rPr>
                <w:rFonts w:ascii="Arial" w:hAnsi="Arial"/>
                <w:color w:val="1E2837"/>
                <w:sz w:val="18"/>
              </w:rPr>
              <w:t>6. System Architecture / Workflow</w:t>
            </w:r>
          </w:p>
        </w:tc>
        <w:tc>
          <w:tcPr>
            <w:tcW w:type="dxa" w:w="5040"/>
            <w:shd w:fill="F9FAFB"/>
            <w:tcMar>
              <w:top w:w="70" w:type="dxa"/>
              <w:bottom w:w="70" w:type="dxa"/>
              <w:left w:w="110" w:type="dxa"/>
              <w:right w:w="110" w:type="dxa"/>
            </w:tcMar>
          </w:tcPr>
          <w:p>
            <w:r>
              <w:rPr>
                <w:rFonts w:ascii="Arial" w:hAnsi="Arial"/>
                <w:color w:val="1E2837"/>
                <w:sz w:val="18"/>
              </w:rPr>
              <w:t>Component Interactions, Prompt Construction Layer, Spring AI Integration</w:t>
            </w:r>
          </w:p>
        </w:tc>
      </w:tr>
      <w:tr>
        <w:tc>
          <w:tcPr>
            <w:tcW w:type="dxa" w:w="864"/>
            <w:shd w:fill="FFFFFF"/>
            <w:tcMar>
              <w:top w:w="70" w:type="dxa"/>
              <w:bottom w:w="70" w:type="dxa"/>
              <w:left w:w="110" w:type="dxa"/>
              <w:right w:w="110" w:type="dxa"/>
            </w:tcMar>
          </w:tcPr>
          <w:p>
            <w:r>
              <w:rPr>
                <w:rFonts w:ascii="Arial" w:hAnsi="Arial"/>
                <w:color w:val="1E2837"/>
                <w:sz w:val="18"/>
              </w:rPr>
              <w:t>7</w:t>
            </w:r>
          </w:p>
        </w:tc>
        <w:tc>
          <w:tcPr>
            <w:tcW w:type="dxa" w:w="3456"/>
            <w:shd w:fill="FFFFFF"/>
            <w:tcMar>
              <w:top w:w="70" w:type="dxa"/>
              <w:bottom w:w="70" w:type="dxa"/>
              <w:left w:w="110" w:type="dxa"/>
              <w:right w:w="110" w:type="dxa"/>
            </w:tcMar>
          </w:tcPr>
          <w:p>
            <w:r>
              <w:rPr>
                <w:rFonts w:ascii="Arial" w:hAnsi="Arial"/>
                <w:color w:val="1E2837"/>
                <w:sz w:val="18"/>
              </w:rPr>
              <w:t>7. Implementation</w:t>
            </w:r>
          </w:p>
        </w:tc>
        <w:tc>
          <w:tcPr>
            <w:tcW w:type="dxa" w:w="5040"/>
            <w:shd w:fill="FFFFFF"/>
            <w:tcMar>
              <w:top w:w="70" w:type="dxa"/>
              <w:bottom w:w="70" w:type="dxa"/>
              <w:left w:w="110" w:type="dxa"/>
              <w:right w:w="110" w:type="dxa"/>
            </w:tcMar>
          </w:tcPr>
          <w:p>
            <w:r>
              <w:rPr>
                <w:rFonts w:ascii="Arial" w:hAnsi="Arial"/>
                <w:color w:val="1E2837"/>
                <w:sz w:val="18"/>
              </w:rPr>
              <w:t>Tech Stack, Backend &amp; Frontend Development, Spring AI RAG Setup, Code Snippets</w:t>
            </w:r>
          </w:p>
        </w:tc>
      </w:tr>
      <w:tr>
        <w:tc>
          <w:tcPr>
            <w:tcW w:type="dxa" w:w="864"/>
            <w:shd w:fill="F9FAFB"/>
            <w:tcMar>
              <w:top w:w="70" w:type="dxa"/>
              <w:bottom w:w="70" w:type="dxa"/>
              <w:left w:w="110" w:type="dxa"/>
              <w:right w:w="110" w:type="dxa"/>
            </w:tcMar>
          </w:tcPr>
          <w:p>
            <w:r>
              <w:rPr>
                <w:rFonts w:ascii="Arial" w:hAnsi="Arial"/>
                <w:color w:val="1E2837"/>
                <w:sz w:val="18"/>
              </w:rPr>
              <w:t>8</w:t>
            </w:r>
          </w:p>
        </w:tc>
        <w:tc>
          <w:tcPr>
            <w:tcW w:type="dxa" w:w="3456"/>
            <w:shd w:fill="F9FAFB"/>
            <w:tcMar>
              <w:top w:w="70" w:type="dxa"/>
              <w:bottom w:w="70" w:type="dxa"/>
              <w:left w:w="110" w:type="dxa"/>
              <w:right w:w="110" w:type="dxa"/>
            </w:tcMar>
          </w:tcPr>
          <w:p>
            <w:r>
              <w:rPr>
                <w:rFonts w:ascii="Arial" w:hAnsi="Arial"/>
                <w:color w:val="1E2837"/>
                <w:sz w:val="18"/>
              </w:rPr>
              <w:t>8. User Interface / Application Walkthrough</w:t>
            </w:r>
          </w:p>
        </w:tc>
        <w:tc>
          <w:tcPr>
            <w:tcW w:type="dxa" w:w="5040"/>
            <w:shd w:fill="F9FAFB"/>
            <w:tcMar>
              <w:top w:w="70" w:type="dxa"/>
              <w:bottom w:w="70" w:type="dxa"/>
              <w:left w:w="110" w:type="dxa"/>
              <w:right w:w="110" w:type="dxa"/>
            </w:tcMar>
          </w:tcPr>
          <w:p>
            <w:r>
              <w:rPr>
                <w:rFonts w:ascii="Arial" w:hAnsi="Arial"/>
                <w:color w:val="1E2837"/>
                <w:sz w:val="18"/>
              </w:rPr>
              <w:t>Dashboard Tour, Preset Profiles, Instruments Bus, RAG Context, Report Generator</w:t>
            </w:r>
          </w:p>
        </w:tc>
      </w:tr>
      <w:tr>
        <w:tc>
          <w:tcPr>
            <w:tcW w:type="dxa" w:w="864"/>
            <w:shd w:fill="FFFFFF"/>
            <w:tcMar>
              <w:top w:w="70" w:type="dxa"/>
              <w:bottom w:w="70" w:type="dxa"/>
              <w:left w:w="110" w:type="dxa"/>
              <w:right w:w="110" w:type="dxa"/>
            </w:tcMar>
          </w:tcPr>
          <w:p>
            <w:r>
              <w:rPr>
                <w:rFonts w:ascii="Arial" w:hAnsi="Arial"/>
                <w:color w:val="1E2837"/>
                <w:sz w:val="18"/>
              </w:rPr>
              <w:t>9</w:t>
            </w:r>
          </w:p>
        </w:tc>
        <w:tc>
          <w:tcPr>
            <w:tcW w:type="dxa" w:w="3456"/>
            <w:shd w:fill="FFFFFF"/>
            <w:tcMar>
              <w:top w:w="70" w:type="dxa"/>
              <w:bottom w:w="70" w:type="dxa"/>
              <w:left w:w="110" w:type="dxa"/>
              <w:right w:w="110" w:type="dxa"/>
            </w:tcMar>
          </w:tcPr>
          <w:p>
            <w:r>
              <w:rPr>
                <w:rFonts w:ascii="Arial" w:hAnsi="Arial"/>
                <w:color w:val="1E2837"/>
                <w:sz w:val="18"/>
              </w:rPr>
              <w:t>9. Challenges and Limitations</w:t>
            </w:r>
          </w:p>
        </w:tc>
        <w:tc>
          <w:tcPr>
            <w:tcW w:type="dxa" w:w="5040"/>
            <w:shd w:fill="FFFFFF"/>
            <w:tcMar>
              <w:top w:w="70" w:type="dxa"/>
              <w:bottom w:w="70" w:type="dxa"/>
              <w:left w:w="110" w:type="dxa"/>
              <w:right w:w="110" w:type="dxa"/>
            </w:tcMar>
          </w:tcPr>
          <w:p>
            <w:r>
              <w:rPr>
                <w:rFonts w:ascii="Arial" w:hAnsi="Arial"/>
                <w:color w:val="1E2837"/>
                <w:sz w:val="18"/>
              </w:rPr>
              <w:t>Hallucination Prevention, API Quotas &amp; Fallbacks, Type Safety, PDF Layouts</w:t>
            </w:r>
          </w:p>
        </w:tc>
      </w:tr>
      <w:tr>
        <w:tc>
          <w:tcPr>
            <w:tcW w:type="dxa" w:w="864"/>
            <w:shd w:fill="F9FAFB"/>
            <w:tcMar>
              <w:top w:w="70" w:type="dxa"/>
              <w:bottom w:w="70" w:type="dxa"/>
              <w:left w:w="110" w:type="dxa"/>
              <w:right w:w="110" w:type="dxa"/>
            </w:tcMar>
          </w:tcPr>
          <w:p>
            <w:r>
              <w:rPr>
                <w:rFonts w:ascii="Arial" w:hAnsi="Arial"/>
                <w:color w:val="1E2837"/>
                <w:sz w:val="18"/>
              </w:rPr>
              <w:t>10</w:t>
            </w:r>
          </w:p>
        </w:tc>
        <w:tc>
          <w:tcPr>
            <w:tcW w:type="dxa" w:w="3456"/>
            <w:shd w:fill="F9FAFB"/>
            <w:tcMar>
              <w:top w:w="70" w:type="dxa"/>
              <w:bottom w:w="70" w:type="dxa"/>
              <w:left w:w="110" w:type="dxa"/>
              <w:right w:w="110" w:type="dxa"/>
            </w:tcMar>
          </w:tcPr>
          <w:p>
            <w:r>
              <w:rPr>
                <w:rFonts w:ascii="Arial" w:hAnsi="Arial"/>
                <w:color w:val="1E2837"/>
                <w:sz w:val="18"/>
              </w:rPr>
              <w:t>10. Conclusion</w:t>
            </w:r>
          </w:p>
        </w:tc>
        <w:tc>
          <w:tcPr>
            <w:tcW w:type="dxa" w:w="5040"/>
            <w:shd w:fill="F9FAFB"/>
            <w:tcMar>
              <w:top w:w="70" w:type="dxa"/>
              <w:bottom w:w="70" w:type="dxa"/>
              <w:left w:w="110" w:type="dxa"/>
              <w:right w:w="110" w:type="dxa"/>
            </w:tcMar>
          </w:tcPr>
          <w:p>
            <w:r>
              <w:rPr>
                <w:rFonts w:ascii="Arial" w:hAnsi="Arial"/>
                <w:color w:val="1E2837"/>
                <w:sz w:val="18"/>
              </w:rPr>
              <w:t>Project Summary, GenAI Contribution, Key Architecture Takeaways, Learning Outcomes</w:t>
            </w:r>
          </w:p>
        </w:tc>
      </w:tr>
      <w:tr>
        <w:tc>
          <w:tcPr>
            <w:tcW w:type="dxa" w:w="864"/>
            <w:shd w:fill="FFFFFF"/>
            <w:tcMar>
              <w:top w:w="70" w:type="dxa"/>
              <w:bottom w:w="70" w:type="dxa"/>
              <w:left w:w="110" w:type="dxa"/>
              <w:right w:w="110" w:type="dxa"/>
            </w:tcMar>
          </w:tcPr>
          <w:p>
            <w:r>
              <w:rPr>
                <w:rFonts w:ascii="Arial" w:hAnsi="Arial"/>
                <w:color w:val="1E2837"/>
                <w:sz w:val="18"/>
              </w:rPr>
              <w:t>11</w:t>
            </w:r>
          </w:p>
        </w:tc>
        <w:tc>
          <w:tcPr>
            <w:tcW w:type="dxa" w:w="3456"/>
            <w:shd w:fill="FFFFFF"/>
            <w:tcMar>
              <w:top w:w="70" w:type="dxa"/>
              <w:bottom w:w="70" w:type="dxa"/>
              <w:left w:w="110" w:type="dxa"/>
              <w:right w:w="110" w:type="dxa"/>
            </w:tcMar>
          </w:tcPr>
          <w:p>
            <w:r>
              <w:rPr>
                <w:rFonts w:ascii="Arial" w:hAnsi="Arial"/>
                <w:color w:val="1E2837"/>
                <w:sz w:val="18"/>
              </w:rPr>
              <w:t>11. Future Scope</w:t>
            </w:r>
          </w:p>
        </w:tc>
        <w:tc>
          <w:tcPr>
            <w:tcW w:type="dxa" w:w="5040"/>
            <w:shd w:fill="FFFFFF"/>
            <w:tcMar>
              <w:top w:w="70" w:type="dxa"/>
              <w:bottom w:w="70" w:type="dxa"/>
              <w:left w:w="110" w:type="dxa"/>
              <w:right w:w="110" w:type="dxa"/>
            </w:tcMar>
          </w:tcPr>
          <w:p>
            <w:r>
              <w:rPr>
                <w:rFonts w:ascii="Arial" w:hAnsi="Arial"/>
                <w:color w:val="1E2837"/>
                <w:sz w:val="18"/>
              </w:rPr>
              <w:t>Kafka Streaming, Predictive Forecasting, Multimodal Imaging, Telecommands</w:t>
            </w:r>
          </w:p>
        </w:tc>
      </w:tr>
      <w:tr>
        <w:tc>
          <w:tcPr>
            <w:tcW w:type="dxa" w:w="864"/>
            <w:shd w:fill="F9FAFB"/>
            <w:tcMar>
              <w:top w:w="70" w:type="dxa"/>
              <w:bottom w:w="70" w:type="dxa"/>
              <w:left w:w="110" w:type="dxa"/>
              <w:right w:w="110" w:type="dxa"/>
            </w:tcMar>
          </w:tcPr>
          <w:p>
            <w:r>
              <w:rPr>
                <w:rFonts w:ascii="Arial" w:hAnsi="Arial"/>
                <w:color w:val="1E2837"/>
                <w:sz w:val="18"/>
              </w:rPr>
              <w:t>12</w:t>
            </w:r>
          </w:p>
        </w:tc>
        <w:tc>
          <w:tcPr>
            <w:tcW w:type="dxa" w:w="3456"/>
            <w:shd w:fill="F9FAFB"/>
            <w:tcMar>
              <w:top w:w="70" w:type="dxa"/>
              <w:bottom w:w="70" w:type="dxa"/>
              <w:left w:w="110" w:type="dxa"/>
              <w:right w:w="110" w:type="dxa"/>
            </w:tcMar>
          </w:tcPr>
          <w:p>
            <w:r>
              <w:rPr>
                <w:rFonts w:ascii="Arial" w:hAnsi="Arial"/>
                <w:color w:val="1E2837"/>
                <w:sz w:val="18"/>
              </w:rPr>
              <w:t>12. References</w:t>
            </w:r>
          </w:p>
        </w:tc>
        <w:tc>
          <w:tcPr>
            <w:tcW w:type="dxa" w:w="5040"/>
            <w:shd w:fill="F9FAFB"/>
            <w:tcMar>
              <w:top w:w="70" w:type="dxa"/>
              <w:bottom w:w="70" w:type="dxa"/>
              <w:left w:w="110" w:type="dxa"/>
              <w:right w:w="110" w:type="dxa"/>
            </w:tcMar>
          </w:tcPr>
          <w:p>
            <w:r>
              <w:rPr>
                <w:rFonts w:ascii="Arial" w:hAnsi="Arial"/>
                <w:color w:val="1E2837"/>
                <w:sz w:val="18"/>
              </w:rPr>
              <w:t>IEEE / NASA Aerospace Handbooks, Spring AI Documentation, Academic Citations</w:t>
            </w:r>
          </w:p>
        </w:tc>
      </w:tr>
    </w:tbl>
    <w:p>
      <w:r>
        <w:br w:type="page"/>
      </w:r>
    </w:p>
    <w:p>
      <w:pPr>
        <w:spacing w:before="360" w:after="120"/>
      </w:pPr>
      <w:r>
        <w:rPr>
          <w:rFonts w:ascii="Arial" w:hAnsi="Arial"/>
          <w:b/>
          <w:color w:val="0E356E"/>
          <w:sz w:val="30"/>
        </w:rPr>
        <w:t>1. Introduction</w:t>
      </w:r>
    </w:p>
    <w:p>
      <w:pPr>
        <w:spacing w:before="0" w:after="120" w:line="276" w:lineRule="auto"/>
      </w:pPr>
      <w:r>
        <w:rPr>
          <w:rFonts w:ascii="Arial" w:hAnsi="Arial"/>
          <w:color w:val="232832"/>
          <w:sz w:val="20"/>
        </w:rPr>
        <w:t>StellarIntel is an intelligent, enterprise-grade satellite telemetry analysis application that fuses deterministic numerical anomaly detection with Retrieval-Augmented Generation (RAG) and Generative Artificial Intelligence (GenAI). Built on Java 21, Spring Boot 3.3.4, and Spring AI, the system autonomously ingests orbital spacecraft telemetry vectors, identifies critical anomalies across vital subsystems, retrieves grounded context from an onboard technical flight knowledge base, synthesizes human-readable root-cause diagnostics, and produces authoritative mission reports in real time.</w:t>
      </w:r>
    </w:p>
    <w:p>
      <w:pPr>
        <w:spacing w:before="260" w:after="80"/>
      </w:pPr>
      <w:r>
        <w:rPr>
          <w:rFonts w:ascii="Arial" w:hAnsi="Arial"/>
          <w:b/>
          <w:color w:val="1F4E79"/>
          <w:sz w:val="24"/>
        </w:rPr>
        <w:t>1.1 Real-World Purpose and Target Domain</w:t>
      </w:r>
    </w:p>
    <w:p>
      <w:pPr>
        <w:spacing w:before="0" w:after="120" w:line="276" w:lineRule="auto"/>
      </w:pPr>
      <w:r>
        <w:rPr>
          <w:rFonts w:ascii="Arial" w:hAnsi="Arial"/>
          <w:color w:val="232832"/>
          <w:sz w:val="20"/>
        </w:rPr>
        <w:t>Modern satellite constellations—operating in Low Earth Orbit (LEO) and Geostationary Earth Orbit (GEO)—transmit high-volume telemetry streams back to Earth ground stations during limited line-of-sight passes. Satellite Operations Centers (SOCs) and Flight Directors face significant cognitive overload when processing hundreds of concurrent sensor metrics across critical subsystems: the Electrical Power Subsystem (EPS), Thermal Control Subsystem (TCS), Attitude Determination and Control Subsystem (ADCS), and Radiation Dosimetry. When unexpected anomalies manifest, human operators traditionally spend precious minutes manually cross-referencing voluminous PDF flight manuals and emergency procedures. StellarIntel eliminates this operational latency by delivering an automated, explainable, and grounded diagnostic assistant directly to flight controllers and aerospace engineers.</w:t>
      </w:r>
    </w:p>
    <w:p>
      <w:pPr>
        <w:spacing w:before="260" w:after="80"/>
      </w:pPr>
      <w:r>
        <w:rPr>
          <w:rFonts w:ascii="Arial" w:hAnsi="Arial"/>
          <w:b/>
          <w:color w:val="1F4E79"/>
          <w:sz w:val="24"/>
        </w:rPr>
        <w:t>1.2 The Role of Generative AI and RAG</w:t>
      </w:r>
    </w:p>
    <w:p>
      <w:pPr>
        <w:spacing w:before="0" w:after="120" w:line="276" w:lineRule="auto"/>
      </w:pPr>
      <w:r>
        <w:rPr>
          <w:rFonts w:ascii="Arial" w:hAnsi="Arial"/>
          <w:color w:val="232832"/>
          <w:sz w:val="20"/>
        </w:rPr>
        <w:t>While traditional monitoring tools rely solely on binary threshold tripwires, Generative AI in StellarIntel provides high-level cognitive reasoning. Specifically, GenAI is utilized to:</w:t>
        <w:br/>
        <w:t>• Synthesize multi-subsystem telemetry correlations that isolated threshold alarms cannot capture.</w:t>
        <w:br/>
        <w:t>• Interrogate an in-memory Spring AI VectorStore populated with 5 domain-specific spacecraft technical manuals (40 indexed semantic chunks).</w:t>
        <w:br/>
        <w:t>• Translate raw sensor deviations into natural-language flight explanations and prioritized operational investigations.</w:t>
        <w:br/>
        <w:t>• Enforce safety through an autonomous offline fallback engine that ensures uninterrupted flight operations even when external API quotas are exhausted.</w:t>
      </w:r>
    </w:p>
    <w:p>
      <w:pPr>
        <w:spacing w:before="260" w:after="80"/>
      </w:pPr>
      <w:r>
        <w:rPr>
          <w:rFonts w:ascii="Arial" w:hAnsi="Arial"/>
          <w:b/>
          <w:color w:val="1F4E79"/>
          <w:sz w:val="24"/>
        </w:rPr>
        <w:t>1.3 Nature of AI-Generated Output</w:t>
      </w:r>
    </w:p>
    <w:p>
      <w:pPr>
        <w:spacing w:before="0" w:after="120" w:line="276" w:lineRule="auto"/>
      </w:pPr>
      <w:r>
        <w:rPr>
          <w:rFonts w:ascii="Arial" w:hAnsi="Arial"/>
          <w:color w:val="232832"/>
          <w:sz w:val="20"/>
        </w:rPr>
        <w:t>StellarIntel enforces structured, type-safe JSON output through Spring AI's BeanOutputConverter. The AI output includes:</w:t>
        <w:br/>
        <w:t>1. Executive Diagnostic Summary: A concise, high-level operational status assessment.</w:t>
        <w:br/>
        <w:t>2. Observed Spacecraft Conditions: Evidence-grounded analysis of active telemetry metrics.</w:t>
        <w:br/>
        <w:t>3. Possible Contributing Factors: Ranked technical hypotheses cross-referenced against subsystem physics.</w:t>
        <w:br/>
        <w:t>4. Affected Subsystems: Explicit identification of compromised satellite buses (EPS, TCS, ADCS, Payload).</w:t>
        <w:br/>
        <w:t>5. Recommended Investigation &amp; Recovery Steps: Actionable procedures mapped to flight operations protocols.</w:t>
        <w:br/>
        <w:t>6. Subsystem Boundaries &amp; Operational Limitations: Clear engineering disclaimers ensuring responsible AI use.</w:t>
      </w:r>
    </w:p>
    <w:p>
      <w:pPr>
        <w:spacing w:before="260" w:after="80"/>
      </w:pPr>
      <w:r>
        <w:rPr>
          <w:rFonts w:ascii="Arial" w:hAnsi="Arial"/>
          <w:b/>
          <w:color w:val="1F4E79"/>
          <w:sz w:val="24"/>
        </w:rPr>
        <w:t>1.4 Core Application Features</w:t>
      </w:r>
    </w:p>
    <w:p>
      <w:pPr>
        <w:pStyle w:val="ListBullet"/>
        <w:spacing w:before="0" w:after="80" w:line="276" w:lineRule="auto"/>
      </w:pPr>
      <w:r>
        <w:rPr>
          <w:rFonts w:ascii="Arial" w:hAnsi="Arial"/>
          <w:b/>
          <w:color w:val="141E2D"/>
          <w:sz w:val="20"/>
        </w:rPr>
        <w:t xml:space="preserve">High-Precision Telemetry Ingestion Bus: </w:t>
      </w:r>
      <w:r>
        <w:rPr>
          <w:rFonts w:ascii="Arial" w:hAnsi="Arial"/>
          <w:color w:val="283241"/>
          <w:sz w:val="20"/>
        </w:rPr>
        <w:t>Validates raw JSON telemetry payloads with range checking for thermal, voltage, pointing, and radiation values.</w:t>
      </w:r>
    </w:p>
    <w:p>
      <w:pPr>
        <w:pStyle w:val="ListBullet"/>
        <w:spacing w:before="0" w:after="80" w:line="276" w:lineRule="auto"/>
      </w:pPr>
      <w:r>
        <w:rPr>
          <w:rFonts w:ascii="Arial" w:hAnsi="Arial"/>
          <w:b/>
          <w:color w:val="141E2D"/>
          <w:sz w:val="20"/>
        </w:rPr>
        <w:t xml:space="preserve">Deterministic Anomaly Engine (Ground Truth): </w:t>
      </w:r>
      <w:r>
        <w:rPr>
          <w:rFonts w:ascii="Arial" w:hAnsi="Arial"/>
          <w:color w:val="283241"/>
          <w:sz w:val="20"/>
        </w:rPr>
        <w:t>Evaluates hard engineering thresholds for immediate, mathematically verifiable anomaly isolation.</w:t>
      </w:r>
    </w:p>
    <w:p>
      <w:pPr>
        <w:pStyle w:val="ListBullet"/>
        <w:spacing w:before="0" w:after="80" w:line="276" w:lineRule="auto"/>
      </w:pPr>
      <w:r>
        <w:rPr>
          <w:rFonts w:ascii="Arial" w:hAnsi="Arial"/>
          <w:b/>
          <w:color w:val="141E2D"/>
          <w:sz w:val="20"/>
        </w:rPr>
        <w:t xml:space="preserve">Domain-Specific VectorStore RAG Retrieval: </w:t>
      </w:r>
      <w:r>
        <w:rPr>
          <w:rFonts w:ascii="Arial" w:hAnsi="Arial"/>
          <w:color w:val="283241"/>
          <w:sz w:val="20"/>
        </w:rPr>
        <w:t>Employs semantic vector search across 5 technical flight manuals, providing top-k grounded evidence chunks.</w:t>
      </w:r>
    </w:p>
    <w:p>
      <w:pPr>
        <w:pStyle w:val="ListBullet"/>
        <w:spacing w:before="0" w:after="80" w:line="276" w:lineRule="auto"/>
      </w:pPr>
      <w:r>
        <w:rPr>
          <w:rFonts w:ascii="Arial" w:hAnsi="Arial"/>
          <w:b/>
          <w:color w:val="141E2D"/>
          <w:sz w:val="20"/>
        </w:rPr>
        <w:t xml:space="preserve">Dual-Mode GenAI Diagnostic Reasoning: </w:t>
      </w:r>
      <w:r>
        <w:rPr>
          <w:rFonts w:ascii="Arial" w:hAnsi="Arial"/>
          <w:color w:val="283241"/>
          <w:sz w:val="20"/>
        </w:rPr>
        <w:t>Connects to OpenAI GPT-4o-mini via Spring AI, supported by a deterministic offline fallback layer.</w:t>
      </w:r>
    </w:p>
    <w:p>
      <w:pPr>
        <w:pStyle w:val="ListBullet"/>
        <w:spacing w:before="0" w:after="80" w:line="276" w:lineRule="auto"/>
      </w:pPr>
      <w:r>
        <w:rPr>
          <w:rFonts w:ascii="Arial" w:hAnsi="Arial"/>
          <w:b/>
          <w:color w:val="141E2D"/>
          <w:sz w:val="20"/>
        </w:rPr>
        <w:t xml:space="preserve">Automated Mission Diagnostic PDF Generator: </w:t>
      </w:r>
      <w:r>
        <w:rPr>
          <w:rFonts w:ascii="Arial" w:hAnsi="Arial"/>
          <w:color w:val="283241"/>
          <w:sz w:val="20"/>
        </w:rPr>
        <w:t>Exports publication-ready mission reports using OpenPDF, complete with telemetry tables, RAG sources, and disclaimers.</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0052CC"/>
              <w:bottom w:val="none"/>
              <w:right w:val="none"/>
            </w:tcBorders>
          </w:tcPr>
          <w:p>
            <w:pPr>
              <w:spacing w:before="60" w:after="60"/>
            </w:pPr>
            <w:r>
              <w:rPr>
                <w:rFonts w:ascii="Arial" w:hAnsi="Arial"/>
                <w:b/>
                <w:color w:val="0052CC"/>
                <w:sz w:val="19"/>
              </w:rPr>
              <w:t>[CORE DESIGN PHILOSOPHY]</w:t>
              <w:br/>
            </w:r>
            <w:r>
              <w:rPr>
                <w:rFonts w:ascii="Arial" w:hAnsi="Arial"/>
                <w:color w:val="283246"/>
                <w:sz w:val="19"/>
              </w:rPr>
              <w:t>StellarIntel is intentionally designed with a 'ground-truth-first' architecture: numerical anomaly status is strictly computed by deterministic Java code, ensuring that the Generative AI model is used exclusively for explanation and investigation support, never for fabricating telemetry measurements.</w:t>
            </w:r>
          </w:p>
        </w:tc>
      </w:tr>
    </w:tbl>
    <w:p>
      <w:pPr>
        <w:spacing w:after="80"/>
      </w:pPr>
    </w:p>
    <w:p>
      <w:pPr>
        <w:spacing w:before="360" w:after="120"/>
      </w:pPr>
      <w:r>
        <w:rPr>
          <w:rFonts w:ascii="Arial" w:hAnsi="Arial"/>
          <w:b/>
          <w:color w:val="0E356E"/>
          <w:sz w:val="30"/>
        </w:rPr>
        <w:t>2. Problem Statement</w:t>
      </w:r>
    </w:p>
    <w:p>
      <w:pPr>
        <w:spacing w:before="0" w:after="120" w:line="276" w:lineRule="auto"/>
      </w:pPr>
      <w:r>
        <w:rPr>
          <w:rFonts w:ascii="Arial" w:hAnsi="Arial"/>
          <w:color w:val="232832"/>
          <w:sz w:val="20"/>
        </w:rPr>
        <w:t>Satellite telemetry monitoring is inherently high-stakes and latency-sensitive. A single undetected thermal runaway or uncorrected attitude gyro error can result in complete loss of spacecraft attitude, loss of Earth communication, battery destruction, or catastrophic mission failure. Despite advancements in aerospace software, ground station monitoring continues to be bottlenecked by fundamental inefficiencies.</w:t>
      </w:r>
    </w:p>
    <w:p>
      <w:pPr>
        <w:spacing w:before="260" w:after="80"/>
      </w:pPr>
      <w:r>
        <w:rPr>
          <w:rFonts w:ascii="Arial" w:hAnsi="Arial"/>
          <w:b/>
          <w:color w:val="1F4E79"/>
          <w:sz w:val="24"/>
        </w:rPr>
        <w:t>2.1 Existing Inefficiencies and Operational Difficulties</w:t>
      </w:r>
    </w:p>
    <w:p>
      <w:pPr>
        <w:pStyle w:val="ListBullet"/>
        <w:spacing w:before="0" w:after="80" w:line="276" w:lineRule="auto"/>
      </w:pPr>
      <w:r>
        <w:rPr>
          <w:rFonts w:ascii="Arial" w:hAnsi="Arial"/>
          <w:b/>
          <w:color w:val="141E2D"/>
          <w:sz w:val="20"/>
        </w:rPr>
        <w:t xml:space="preserve">Alert Fatigue and Cascading Alarms: </w:t>
      </w:r>
      <w:r>
        <w:rPr>
          <w:rFonts w:ascii="Arial" w:hAnsi="Arial"/>
          <w:color w:val="283241"/>
          <w:sz w:val="20"/>
        </w:rPr>
        <w:t>When a coronal mass ejection or solar array voltage drop occurs, multiple independent alarms fire simultaneously. Operators struggle to differentiate root causes from secondary symptoms.</w:t>
      </w:r>
    </w:p>
    <w:p>
      <w:pPr>
        <w:pStyle w:val="ListBullet"/>
        <w:spacing w:before="0" w:after="80" w:line="276" w:lineRule="auto"/>
      </w:pPr>
      <w:r>
        <w:rPr>
          <w:rFonts w:ascii="Arial" w:hAnsi="Arial"/>
          <w:b/>
          <w:color w:val="141E2D"/>
          <w:sz w:val="20"/>
        </w:rPr>
        <w:t xml:space="preserve">Manual Flight Manual Lookups: </w:t>
      </w:r>
      <w:r>
        <w:rPr>
          <w:rFonts w:ascii="Arial" w:hAnsi="Arial"/>
          <w:color w:val="283241"/>
          <w:sz w:val="20"/>
        </w:rPr>
        <w:t>Spacecraft operating procedures, subsystem schematics, and recovery checklists reside across thousands of pages of static documentation. Triage requires manual lookups during narrow ground pass windows.</w:t>
      </w:r>
    </w:p>
    <w:p>
      <w:pPr>
        <w:pStyle w:val="ListBullet"/>
        <w:spacing w:before="0" w:after="80" w:line="276" w:lineRule="auto"/>
      </w:pPr>
      <w:r>
        <w:rPr>
          <w:rFonts w:ascii="Arial" w:hAnsi="Arial"/>
          <w:b/>
          <w:color w:val="141E2D"/>
          <w:sz w:val="20"/>
        </w:rPr>
        <w:t xml:space="preserve">Lack of Contextual Correlation: </w:t>
      </w:r>
      <w:r>
        <w:rPr>
          <w:rFonts w:ascii="Arial" w:hAnsi="Arial"/>
          <w:color w:val="283241"/>
          <w:sz w:val="20"/>
        </w:rPr>
        <w:t>Traditional rule engines report that 'Voltage &lt; 26.0V', but cannot explain whether the cause is solar array shadowing, shunt limiter failure, or high battery internal resistance.</w:t>
      </w:r>
    </w:p>
    <w:p>
      <w:pPr>
        <w:pStyle w:val="ListBullet"/>
        <w:spacing w:before="0" w:after="80" w:line="276" w:lineRule="auto"/>
      </w:pPr>
      <w:r>
        <w:rPr>
          <w:rFonts w:ascii="Arial" w:hAnsi="Arial"/>
          <w:b/>
          <w:color w:val="141E2D"/>
          <w:sz w:val="20"/>
        </w:rPr>
        <w:t xml:space="preserve">Operator Variability and Human Error: </w:t>
      </w:r>
      <w:r>
        <w:rPr>
          <w:rFonts w:ascii="Arial" w:hAnsi="Arial"/>
          <w:color w:val="283241"/>
          <w:sz w:val="20"/>
        </w:rPr>
        <w:t>Under high stress, junior flight controllers may misinterpret compound telemetry signatures, leading to incorrect ground telecommand execution.</w:t>
      </w:r>
    </w:p>
    <w:p>
      <w:pPr>
        <w:spacing w:before="260" w:after="80"/>
      </w:pPr>
      <w:r>
        <w:rPr>
          <w:rFonts w:ascii="Arial" w:hAnsi="Arial"/>
          <w:b/>
          <w:color w:val="1F4E79"/>
          <w:sz w:val="24"/>
        </w:rPr>
        <w:t>2.2 Justification for GenAI and RAG Solution</w:t>
      </w:r>
    </w:p>
    <w:p>
      <w:pPr>
        <w:spacing w:before="0" w:after="120" w:line="276" w:lineRule="auto"/>
      </w:pPr>
      <w:r>
        <w:rPr>
          <w:rFonts w:ascii="Arial" w:hAnsi="Arial"/>
          <w:color w:val="232832"/>
          <w:sz w:val="20"/>
        </w:rPr>
        <w:t>Generative AI paired with Retrieval-Augmented Generation (RAG) is uniquely capable of bridging the gap between raw numerical sensor data and natural-language engineering knowledge. Unlike purely rule-based systems that require rigid, brittle decision trees for every possible combination of variables, an LLM excels at contextual synthesis. Furthermore, by constraining the LLM through RAG with verified subsystem documentation (ADCS pointing limits, battery thermal boundaries, radiation thresholds), the system eliminates hallucinations and produces evidence-grounded recommendations.</w:t>
      </w:r>
    </w:p>
    <w:p>
      <w:pPr>
        <w:spacing w:before="260" w:after="80"/>
      </w:pPr>
      <w:r>
        <w:rPr>
          <w:rFonts w:ascii="Arial" w:hAnsi="Arial"/>
          <w:b/>
          <w:color w:val="1F4E79"/>
          <w:sz w:val="24"/>
        </w:rPr>
        <w:t>2.3 Concrete Improvements &amp; Expected Outcomes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F4E79"/>
            <w:tcMar>
              <w:top w:w="100" w:type="dxa"/>
              <w:bottom w:w="100" w:type="dxa"/>
              <w:left w:w="120" w:type="dxa"/>
              <w:right w:w="120" w:type="dxa"/>
            </w:tcMar>
          </w:tcPr>
          <w:p>
            <w:pPr>
              <w:jc w:val="center"/>
            </w:pPr>
            <w:r>
              <w:rPr>
                <w:rFonts w:ascii="Arial" w:hAnsi="Arial"/>
                <w:b/>
                <w:color w:val="FFFFFF"/>
                <w:sz w:val="19"/>
              </w:rPr>
              <w:t>Metric / Dimension</w:t>
            </w:r>
          </w:p>
        </w:tc>
        <w:tc>
          <w:tcPr>
            <w:tcW w:type="dxa" w:w="3456"/>
            <w:shd w:fill="1F4E79"/>
            <w:tcMar>
              <w:top w:w="100" w:type="dxa"/>
              <w:bottom w:w="100" w:type="dxa"/>
              <w:left w:w="120" w:type="dxa"/>
              <w:right w:w="120" w:type="dxa"/>
            </w:tcMar>
          </w:tcPr>
          <w:p>
            <w:pPr>
              <w:jc w:val="center"/>
            </w:pPr>
            <w:r>
              <w:rPr>
                <w:rFonts w:ascii="Arial" w:hAnsi="Arial"/>
                <w:b/>
                <w:color w:val="FFFFFF"/>
                <w:sz w:val="19"/>
              </w:rPr>
              <w:t>Traditional Ground Monitoring</w:t>
            </w:r>
          </w:p>
        </w:tc>
        <w:tc>
          <w:tcPr>
            <w:tcW w:type="dxa" w:w="3456"/>
            <w:shd w:fill="1F4E79"/>
            <w:tcMar>
              <w:top w:w="100" w:type="dxa"/>
              <w:bottom w:w="100" w:type="dxa"/>
              <w:left w:w="120" w:type="dxa"/>
              <w:right w:w="120" w:type="dxa"/>
            </w:tcMar>
          </w:tcPr>
          <w:p>
            <w:pPr>
              <w:jc w:val="center"/>
            </w:pPr>
            <w:r>
              <w:rPr>
                <w:rFonts w:ascii="Arial" w:hAnsi="Arial"/>
                <w:b/>
                <w:color w:val="FFFFFF"/>
                <w:sz w:val="19"/>
              </w:rPr>
              <w:t>StellarIntel AI Ground System</w:t>
            </w:r>
          </w:p>
        </w:tc>
      </w:tr>
      <w:tr>
        <w:tc>
          <w:tcPr>
            <w:tcW w:type="dxa" w:w="2592"/>
            <w:shd w:fill="FFFFFF"/>
            <w:tcMar>
              <w:top w:w="80" w:type="dxa"/>
              <w:bottom w:w="80" w:type="dxa"/>
              <w:left w:w="120" w:type="dxa"/>
              <w:right w:w="120" w:type="dxa"/>
            </w:tcMar>
          </w:tcPr>
          <w:p>
            <w:r>
              <w:rPr>
                <w:rFonts w:ascii="Arial" w:hAnsi="Arial"/>
                <w:color w:val="282D37"/>
                <w:sz w:val="18"/>
              </w:rPr>
              <w:t>Root-Cause Triage Time</w:t>
            </w:r>
          </w:p>
        </w:tc>
        <w:tc>
          <w:tcPr>
            <w:tcW w:type="dxa" w:w="3456"/>
            <w:shd w:fill="FFFFFF"/>
            <w:tcMar>
              <w:top w:w="80" w:type="dxa"/>
              <w:bottom w:w="80" w:type="dxa"/>
              <w:left w:w="120" w:type="dxa"/>
              <w:right w:w="120" w:type="dxa"/>
            </w:tcMar>
          </w:tcPr>
          <w:p>
            <w:r>
              <w:rPr>
                <w:rFonts w:ascii="Arial" w:hAnsi="Arial"/>
                <w:color w:val="282D37"/>
                <w:sz w:val="18"/>
              </w:rPr>
              <w:t>15 to 45 minutes of manual triage</w:t>
            </w:r>
          </w:p>
        </w:tc>
        <w:tc>
          <w:tcPr>
            <w:tcW w:type="dxa" w:w="3456"/>
            <w:shd w:fill="FFFFFF"/>
            <w:tcMar>
              <w:top w:w="80" w:type="dxa"/>
              <w:bottom w:w="80" w:type="dxa"/>
              <w:left w:w="120" w:type="dxa"/>
              <w:right w:w="120" w:type="dxa"/>
            </w:tcMar>
          </w:tcPr>
          <w:p>
            <w:r>
              <w:rPr>
                <w:rFonts w:ascii="Arial" w:hAnsi="Arial"/>
                <w:color w:val="282D37"/>
                <w:sz w:val="18"/>
              </w:rPr>
              <w:t>&lt; 2 seconds autonomous synthesis</w:t>
            </w:r>
          </w:p>
        </w:tc>
      </w:tr>
      <w:tr>
        <w:tc>
          <w:tcPr>
            <w:tcW w:type="dxa" w:w="2592"/>
            <w:shd w:fill="F9FAFB"/>
            <w:tcMar>
              <w:top w:w="80" w:type="dxa"/>
              <w:bottom w:w="80" w:type="dxa"/>
              <w:left w:w="120" w:type="dxa"/>
              <w:right w:w="120" w:type="dxa"/>
            </w:tcMar>
          </w:tcPr>
          <w:p>
            <w:r>
              <w:rPr>
                <w:rFonts w:ascii="Arial" w:hAnsi="Arial"/>
                <w:color w:val="282D37"/>
                <w:sz w:val="18"/>
              </w:rPr>
              <w:t>Procedure Retrieval</w:t>
            </w:r>
          </w:p>
        </w:tc>
        <w:tc>
          <w:tcPr>
            <w:tcW w:type="dxa" w:w="3456"/>
            <w:shd w:fill="F9FAFB"/>
            <w:tcMar>
              <w:top w:w="80" w:type="dxa"/>
              <w:bottom w:w="80" w:type="dxa"/>
              <w:left w:w="120" w:type="dxa"/>
              <w:right w:w="120" w:type="dxa"/>
            </w:tcMar>
          </w:tcPr>
          <w:p>
            <w:r>
              <w:rPr>
                <w:rFonts w:ascii="Arial" w:hAnsi="Arial"/>
                <w:color w:val="282D37"/>
                <w:sz w:val="18"/>
              </w:rPr>
              <w:t>Manual search across flight binders</w:t>
            </w:r>
          </w:p>
        </w:tc>
        <w:tc>
          <w:tcPr>
            <w:tcW w:type="dxa" w:w="3456"/>
            <w:shd w:fill="F9FAFB"/>
            <w:tcMar>
              <w:top w:w="80" w:type="dxa"/>
              <w:bottom w:w="80" w:type="dxa"/>
              <w:left w:w="120" w:type="dxa"/>
              <w:right w:w="120" w:type="dxa"/>
            </w:tcMar>
          </w:tcPr>
          <w:p>
            <w:r>
              <w:rPr>
                <w:rFonts w:ascii="Arial" w:hAnsi="Arial"/>
                <w:color w:val="282D37"/>
                <w:sz w:val="18"/>
              </w:rPr>
              <w:t>Instant semantic retrieval via VectorStore</w:t>
            </w:r>
          </w:p>
        </w:tc>
      </w:tr>
      <w:tr>
        <w:tc>
          <w:tcPr>
            <w:tcW w:type="dxa" w:w="2592"/>
            <w:shd w:fill="FFFFFF"/>
            <w:tcMar>
              <w:top w:w="80" w:type="dxa"/>
              <w:bottom w:w="80" w:type="dxa"/>
              <w:left w:w="120" w:type="dxa"/>
              <w:right w:w="120" w:type="dxa"/>
            </w:tcMar>
          </w:tcPr>
          <w:p>
            <w:r>
              <w:rPr>
                <w:rFonts w:ascii="Arial" w:hAnsi="Arial"/>
                <w:color w:val="282D37"/>
                <w:sz w:val="18"/>
              </w:rPr>
              <w:t>Compound Anomaly Correlation</w:t>
            </w:r>
          </w:p>
        </w:tc>
        <w:tc>
          <w:tcPr>
            <w:tcW w:type="dxa" w:w="3456"/>
            <w:shd w:fill="FFFFFF"/>
            <w:tcMar>
              <w:top w:w="80" w:type="dxa"/>
              <w:bottom w:w="80" w:type="dxa"/>
              <w:left w:w="120" w:type="dxa"/>
              <w:right w:w="120" w:type="dxa"/>
            </w:tcMar>
          </w:tcPr>
          <w:p>
            <w:r>
              <w:rPr>
                <w:rFonts w:ascii="Arial" w:hAnsi="Arial"/>
                <w:color w:val="282D37"/>
                <w:sz w:val="18"/>
              </w:rPr>
              <w:t>Manual mental synthesis by operator</w:t>
            </w:r>
          </w:p>
        </w:tc>
        <w:tc>
          <w:tcPr>
            <w:tcW w:type="dxa" w:w="3456"/>
            <w:shd w:fill="FFFFFF"/>
            <w:tcMar>
              <w:top w:w="80" w:type="dxa"/>
              <w:bottom w:w="80" w:type="dxa"/>
              <w:left w:w="120" w:type="dxa"/>
              <w:right w:w="120" w:type="dxa"/>
            </w:tcMar>
          </w:tcPr>
          <w:p>
            <w:r>
              <w:rPr>
                <w:rFonts w:ascii="Arial" w:hAnsi="Arial"/>
                <w:color w:val="282D37"/>
                <w:sz w:val="18"/>
              </w:rPr>
              <w:t>Automated multi-subsystem correlation</w:t>
            </w:r>
          </w:p>
        </w:tc>
      </w:tr>
      <w:tr>
        <w:tc>
          <w:tcPr>
            <w:tcW w:type="dxa" w:w="2592"/>
            <w:shd w:fill="F9FAFB"/>
            <w:tcMar>
              <w:top w:w="80" w:type="dxa"/>
              <w:bottom w:w="80" w:type="dxa"/>
              <w:left w:w="120" w:type="dxa"/>
              <w:right w:w="120" w:type="dxa"/>
            </w:tcMar>
          </w:tcPr>
          <w:p>
            <w:r>
              <w:rPr>
                <w:rFonts w:ascii="Arial" w:hAnsi="Arial"/>
                <w:color w:val="282D37"/>
                <w:sz w:val="18"/>
              </w:rPr>
              <w:t>Incident Logging &amp; Reporting</w:t>
            </w:r>
          </w:p>
        </w:tc>
        <w:tc>
          <w:tcPr>
            <w:tcW w:type="dxa" w:w="3456"/>
            <w:shd w:fill="F9FAFB"/>
            <w:tcMar>
              <w:top w:w="80" w:type="dxa"/>
              <w:bottom w:w="80" w:type="dxa"/>
              <w:left w:w="120" w:type="dxa"/>
              <w:right w:w="120" w:type="dxa"/>
            </w:tcMar>
          </w:tcPr>
          <w:p>
            <w:r>
              <w:rPr>
                <w:rFonts w:ascii="Arial" w:hAnsi="Arial"/>
                <w:color w:val="282D37"/>
                <w:sz w:val="18"/>
              </w:rPr>
              <w:t>Manual post-incident typing &amp; export</w:t>
            </w:r>
          </w:p>
        </w:tc>
        <w:tc>
          <w:tcPr>
            <w:tcW w:type="dxa" w:w="3456"/>
            <w:shd w:fill="F9FAFB"/>
            <w:tcMar>
              <w:top w:w="80" w:type="dxa"/>
              <w:bottom w:w="80" w:type="dxa"/>
              <w:left w:w="120" w:type="dxa"/>
              <w:right w:w="120" w:type="dxa"/>
            </w:tcMar>
          </w:tcPr>
          <w:p>
            <w:r>
              <w:rPr>
                <w:rFonts w:ascii="Arial" w:hAnsi="Arial"/>
                <w:color w:val="282D37"/>
                <w:sz w:val="18"/>
              </w:rPr>
              <w:t>1-click automated PDF mission report</w:t>
            </w:r>
          </w:p>
        </w:tc>
      </w:tr>
      <w:tr>
        <w:tc>
          <w:tcPr>
            <w:tcW w:type="dxa" w:w="2592"/>
            <w:shd w:fill="FFFFFF"/>
            <w:tcMar>
              <w:top w:w="80" w:type="dxa"/>
              <w:bottom w:w="80" w:type="dxa"/>
              <w:left w:w="120" w:type="dxa"/>
              <w:right w:w="120" w:type="dxa"/>
            </w:tcMar>
          </w:tcPr>
          <w:p>
            <w:r>
              <w:rPr>
                <w:rFonts w:ascii="Arial" w:hAnsi="Arial"/>
                <w:color w:val="282D37"/>
                <w:sz w:val="18"/>
              </w:rPr>
              <w:t>Operational Availability</w:t>
            </w:r>
          </w:p>
        </w:tc>
        <w:tc>
          <w:tcPr>
            <w:tcW w:type="dxa" w:w="3456"/>
            <w:shd w:fill="FFFFFF"/>
            <w:tcMar>
              <w:top w:w="80" w:type="dxa"/>
              <w:bottom w:w="80" w:type="dxa"/>
              <w:left w:w="120" w:type="dxa"/>
              <w:right w:w="120" w:type="dxa"/>
            </w:tcMar>
          </w:tcPr>
          <w:p>
            <w:r>
              <w:rPr>
                <w:rFonts w:ascii="Arial" w:hAnsi="Arial"/>
                <w:color w:val="282D37"/>
                <w:sz w:val="18"/>
              </w:rPr>
              <w:t>Dependent on senior engineer presence</w:t>
            </w:r>
          </w:p>
        </w:tc>
        <w:tc>
          <w:tcPr>
            <w:tcW w:type="dxa" w:w="3456"/>
            <w:shd w:fill="FFFFFF"/>
            <w:tcMar>
              <w:top w:w="80" w:type="dxa"/>
              <w:bottom w:w="80" w:type="dxa"/>
              <w:left w:w="120" w:type="dxa"/>
              <w:right w:w="120" w:type="dxa"/>
            </w:tcMar>
          </w:tcPr>
          <w:p>
            <w:r>
              <w:rPr>
                <w:rFonts w:ascii="Arial" w:hAnsi="Arial"/>
                <w:color w:val="282D37"/>
                <w:sz w:val="18"/>
              </w:rPr>
              <w:t>24/7 autonomous advisory decision support</w:t>
            </w:r>
          </w:p>
        </w:tc>
      </w:tr>
    </w:tbl>
    <w:p>
      <w:pPr>
        <w:spacing w:after="120"/>
      </w:pPr>
    </w:p>
    <w:p>
      <w:pPr>
        <w:spacing w:before="360" w:after="120"/>
      </w:pPr>
      <w:r>
        <w:rPr>
          <w:rFonts w:ascii="Arial" w:hAnsi="Arial"/>
          <w:b/>
          <w:color w:val="0E356E"/>
          <w:sz w:val="30"/>
        </w:rPr>
        <w:t>3. Objectives</w:t>
      </w:r>
    </w:p>
    <w:p>
      <w:pPr>
        <w:spacing w:before="0" w:after="120" w:line="276" w:lineRule="auto"/>
      </w:pPr>
      <w:r>
        <w:rPr>
          <w:rFonts w:ascii="Arial" w:hAnsi="Arial"/>
          <w:color w:val="232832"/>
          <w:sz w:val="20"/>
        </w:rPr>
        <w:t>The project was executed with measurable, end-to-end software engineering objectives spanning telemetry ingestion, deterministic analysis, RAG indexing, generative AI integration, user interface design, and automated report generation.</w:t>
      </w:r>
    </w:p>
    <w:p>
      <w:pPr>
        <w:pStyle w:val="ListBullet"/>
        <w:spacing w:before="0" w:after="80" w:line="276" w:lineRule="auto"/>
      </w:pPr>
      <w:r>
        <w:rPr>
          <w:rFonts w:ascii="Arial" w:hAnsi="Arial"/>
          <w:b/>
          <w:color w:val="141E2D"/>
          <w:sz w:val="20"/>
        </w:rPr>
        <w:t xml:space="preserve">Objective 1 — Full-Stack Spring Boot 3 Web Application: </w:t>
      </w:r>
      <w:r>
        <w:rPr>
          <w:rFonts w:ascii="Arial" w:hAnsi="Arial"/>
          <w:color w:val="283241"/>
          <w:sz w:val="20"/>
        </w:rPr>
        <w:t>Develop and deploy a Java 21, Spring Boot 3.3.4 web application featuring a high-performance REST API and responsive Thymeleaf Mission Control UI.</w:t>
      </w:r>
    </w:p>
    <w:p>
      <w:pPr>
        <w:pStyle w:val="ListBullet"/>
        <w:spacing w:before="0" w:after="80" w:line="276" w:lineRule="auto"/>
      </w:pPr>
      <w:r>
        <w:rPr>
          <w:rFonts w:ascii="Arial" w:hAnsi="Arial"/>
          <w:b/>
          <w:color w:val="141E2D"/>
          <w:sz w:val="20"/>
        </w:rPr>
        <w:t xml:space="preserve">Objective 2 — Deterministic Rule-Based Anomaly Engine: </w:t>
      </w:r>
      <w:r>
        <w:rPr>
          <w:rFonts w:ascii="Arial" w:hAnsi="Arial"/>
          <w:color w:val="283241"/>
          <w:sz w:val="20"/>
        </w:rPr>
        <w:t>Implement mathematically verifiable threshold detection across Battery Temperature, Solar Array Voltage, ADCS X/Y Error, and Radiation Dosimetry.</w:t>
      </w:r>
    </w:p>
    <w:p>
      <w:pPr>
        <w:pStyle w:val="ListBullet"/>
        <w:spacing w:before="0" w:after="80" w:line="276" w:lineRule="auto"/>
      </w:pPr>
      <w:r>
        <w:rPr>
          <w:rFonts w:ascii="Arial" w:hAnsi="Arial"/>
          <w:b/>
          <w:color w:val="141E2D"/>
          <w:sz w:val="20"/>
        </w:rPr>
        <w:t xml:space="preserve">Objective 3 — VectorStore RAG Knowledge Pipeline: </w:t>
      </w:r>
      <w:r>
        <w:rPr>
          <w:rFonts w:ascii="Arial" w:hAnsi="Arial"/>
          <w:color w:val="283241"/>
          <w:sz w:val="20"/>
        </w:rPr>
        <w:t>Design an in-memory Spring AI SimpleVectorStore embedding 5 domain-specific technical manuals, chunked into 40 distinct semantic vectors.</w:t>
      </w:r>
    </w:p>
    <w:p>
      <w:pPr>
        <w:pStyle w:val="ListBullet"/>
        <w:spacing w:before="0" w:after="80" w:line="276" w:lineRule="auto"/>
      </w:pPr>
      <w:r>
        <w:rPr>
          <w:rFonts w:ascii="Arial" w:hAnsi="Arial"/>
          <w:b/>
          <w:color w:val="141E2D"/>
          <w:sz w:val="20"/>
        </w:rPr>
        <w:t xml:space="preserve">Objective 4 — Structured GenAI Diagnostic Reasoning: </w:t>
      </w:r>
      <w:r>
        <w:rPr>
          <w:rFonts w:ascii="Arial" w:hAnsi="Arial"/>
          <w:color w:val="283241"/>
          <w:sz w:val="20"/>
        </w:rPr>
        <w:t>Integrate OpenAI GPT-4o-mini via Spring AI ChatModel using BeanOutputConverter to guarantee strictly formatted, type-safe JSON diagnostic payloads.</w:t>
      </w:r>
    </w:p>
    <w:p>
      <w:pPr>
        <w:pStyle w:val="ListBullet"/>
        <w:spacing w:before="0" w:after="80" w:line="276" w:lineRule="auto"/>
      </w:pPr>
      <w:r>
        <w:rPr>
          <w:rFonts w:ascii="Arial" w:hAnsi="Arial"/>
          <w:b/>
          <w:color w:val="141E2D"/>
          <w:sz w:val="20"/>
        </w:rPr>
        <w:t xml:space="preserve">Objective 5 — Enterprise Resilience &amp; Autonomous Fallback: </w:t>
      </w:r>
      <w:r>
        <w:rPr>
          <w:rFonts w:ascii="Arial" w:hAnsi="Arial"/>
          <w:color w:val="283241"/>
          <w:sz w:val="20"/>
        </w:rPr>
        <w:t>Architect an offline diagnostic fallback engine that detects API quota exhaustion (e.g., HTTP 429) or unconfigured keys, synthesizing diagnostics locally without application crashes.</w:t>
      </w:r>
    </w:p>
    <w:p>
      <w:pPr>
        <w:pStyle w:val="ListBullet"/>
        <w:spacing w:before="0" w:after="80" w:line="276" w:lineRule="auto"/>
      </w:pPr>
      <w:r>
        <w:rPr>
          <w:rFonts w:ascii="Arial" w:hAnsi="Arial"/>
          <w:b/>
          <w:color w:val="141E2D"/>
          <w:sz w:val="20"/>
        </w:rPr>
        <w:t xml:space="preserve">Objective 6 — Automated Mission Report Generator: </w:t>
      </w:r>
      <w:r>
        <w:rPr>
          <w:rFonts w:ascii="Arial" w:hAnsi="Arial"/>
          <w:color w:val="283241"/>
          <w:sz w:val="20"/>
        </w:rPr>
        <w:t>Build a dedicated PDF generation service using OpenPDF that converts active in-memory telemetry, deterministic results, RAG sources, and AI output into downloadable mission reports.</w:t>
      </w:r>
    </w:p>
    <w:p>
      <w:pPr>
        <w:pStyle w:val="ListBullet"/>
        <w:spacing w:before="0" w:after="80" w:line="276" w:lineRule="auto"/>
      </w:pPr>
      <w:r>
        <w:rPr>
          <w:rFonts w:ascii="Arial" w:hAnsi="Arial"/>
          <w:b/>
          <w:color w:val="141E2D"/>
          <w:sz w:val="20"/>
        </w:rPr>
        <w:t xml:space="preserve">Objective 7 — Rigorous Automated Evaluation Suite: </w:t>
      </w:r>
      <w:r>
        <w:rPr>
          <w:rFonts w:ascii="Arial" w:hAnsi="Arial"/>
          <w:color w:val="283241"/>
          <w:sz w:val="20"/>
        </w:rPr>
        <w:t>Validate system reliability through a test suite comprising 55 unit, integration, and prompt-evaluation test cases achieving 100% passing build status.</w:t>
      </w:r>
    </w:p>
    <w:p>
      <w:pPr>
        <w:spacing w:before="360" w:after="120"/>
      </w:pPr>
      <w:r>
        <w:rPr>
          <w:rFonts w:ascii="Arial" w:hAnsi="Arial"/>
          <w:b/>
          <w:color w:val="0E356E"/>
          <w:sz w:val="30"/>
        </w:rPr>
        <w:t>4. Project Scope</w:t>
      </w:r>
    </w:p>
    <w:p>
      <w:pPr>
        <w:spacing w:before="260" w:after="80"/>
      </w:pPr>
      <w:r>
        <w:rPr>
          <w:rFonts w:ascii="Arial" w:hAnsi="Arial"/>
          <w:b/>
          <w:color w:val="1F4E79"/>
          <w:sz w:val="24"/>
        </w:rPr>
        <w:t>4.1 In-Scope Capabilities</w:t>
      </w:r>
    </w:p>
    <w:p>
      <w:pPr>
        <w:pStyle w:val="ListBullet"/>
        <w:spacing w:before="0" w:after="80" w:line="276" w:lineRule="auto"/>
      </w:pPr>
      <w:r>
        <w:rPr>
          <w:rFonts w:ascii="Arial" w:hAnsi="Arial"/>
          <w:b/>
          <w:color w:val="141E2D"/>
          <w:sz w:val="20"/>
        </w:rPr>
        <w:t xml:space="preserve">Spacecraft Telemetry Validation: </w:t>
      </w:r>
      <w:r>
        <w:rPr>
          <w:rFonts w:ascii="Arial" w:hAnsi="Arial"/>
          <w:color w:val="283241"/>
          <w:sz w:val="20"/>
        </w:rPr>
        <w:t>Validation of satellite identification strings, ISO-8601 timestamps, and realistic numerical ranges for orbital sensors.</w:t>
      </w:r>
    </w:p>
    <w:p>
      <w:pPr>
        <w:pStyle w:val="ListBullet"/>
        <w:spacing w:before="0" w:after="80" w:line="276" w:lineRule="auto"/>
      </w:pPr>
      <w:r>
        <w:rPr>
          <w:rFonts w:ascii="Arial" w:hAnsi="Arial"/>
          <w:b/>
          <w:color w:val="141E2D"/>
          <w:sz w:val="20"/>
        </w:rPr>
        <w:t xml:space="preserve">Deterministic Anomaly Isolation: </w:t>
      </w:r>
      <w:r>
        <w:rPr>
          <w:rFonts w:ascii="Arial" w:hAnsi="Arial"/>
          <w:color w:val="283241"/>
          <w:sz w:val="20"/>
        </w:rPr>
        <w:t>Classification into NOMINAL, WARNING, and CRITICAL states with numerical threshold deltas.</w:t>
      </w:r>
    </w:p>
    <w:p>
      <w:pPr>
        <w:pStyle w:val="ListBullet"/>
        <w:spacing w:before="0" w:after="80" w:line="276" w:lineRule="auto"/>
      </w:pPr>
      <w:r>
        <w:rPr>
          <w:rFonts w:ascii="Arial" w:hAnsi="Arial"/>
          <w:b/>
          <w:color w:val="141E2D"/>
          <w:sz w:val="20"/>
        </w:rPr>
        <w:t xml:space="preserve">Semantic Vector Knowledge Base: </w:t>
      </w:r>
      <w:r>
        <w:rPr>
          <w:rFonts w:ascii="Arial" w:hAnsi="Arial"/>
          <w:color w:val="283241"/>
          <w:sz w:val="20"/>
        </w:rPr>
        <w:t>Five markdown technical reference manuals covering ADCS, EPS power arrays, battery thermal control, space radiation, and telemetry standards.</w:t>
      </w:r>
    </w:p>
    <w:p>
      <w:pPr>
        <w:pStyle w:val="ListBullet"/>
        <w:spacing w:before="0" w:after="80" w:line="276" w:lineRule="auto"/>
      </w:pPr>
      <w:r>
        <w:rPr>
          <w:rFonts w:ascii="Arial" w:hAnsi="Arial"/>
          <w:b/>
          <w:color w:val="141E2D"/>
          <w:sz w:val="20"/>
        </w:rPr>
        <w:t xml:space="preserve">Grounded AI Diagnostic Synthesis: </w:t>
      </w:r>
      <w:r>
        <w:rPr>
          <w:rFonts w:ascii="Arial" w:hAnsi="Arial"/>
          <w:color w:val="283241"/>
          <w:sz w:val="20"/>
        </w:rPr>
        <w:t>Generation of executive summaries, contributing factors, and prioritized recovery actions.</w:t>
      </w:r>
    </w:p>
    <w:p>
      <w:pPr>
        <w:pStyle w:val="ListBullet"/>
        <w:spacing w:before="0" w:after="80" w:line="276" w:lineRule="auto"/>
      </w:pPr>
      <w:r>
        <w:rPr>
          <w:rFonts w:ascii="Arial" w:hAnsi="Arial"/>
          <w:b/>
          <w:color w:val="141E2D"/>
          <w:sz w:val="20"/>
        </w:rPr>
        <w:t xml:space="preserve">Mission Control Dashboard: </w:t>
      </w:r>
      <w:r>
        <w:rPr>
          <w:rFonts w:ascii="Arial" w:hAnsi="Arial"/>
          <w:color w:val="283241"/>
          <w:sz w:val="20"/>
        </w:rPr>
        <w:t>Real-time telemetry gauges, preset flight profiles (Nominal, Solar Flare, Reaction Wheel Anomaly, Thermal Anomaly, Multi-Subsystem Cascading Failure), and responsive controls.</w:t>
      </w:r>
    </w:p>
    <w:p>
      <w:pPr>
        <w:pStyle w:val="ListBullet"/>
        <w:spacing w:before="0" w:after="80" w:line="276" w:lineRule="auto"/>
      </w:pPr>
      <w:r>
        <w:rPr>
          <w:rFonts w:ascii="Arial" w:hAnsi="Arial"/>
          <w:b/>
          <w:color w:val="141E2D"/>
          <w:sz w:val="20"/>
        </w:rPr>
        <w:t xml:space="preserve">Automated PDF Mission Reporting: </w:t>
      </w:r>
      <w:r>
        <w:rPr>
          <w:rFonts w:ascii="Arial" w:hAnsi="Arial"/>
          <w:color w:val="283241"/>
          <w:sz w:val="20"/>
        </w:rPr>
        <w:t>Direct export of mission reports featuring running headers, 'Page X of Y' footers, and sanitized filenames.</w:t>
      </w:r>
    </w:p>
    <w:p>
      <w:pPr>
        <w:spacing w:before="260" w:after="80"/>
      </w:pPr>
      <w:r>
        <w:rPr>
          <w:rFonts w:ascii="Arial" w:hAnsi="Arial"/>
          <w:b/>
          <w:color w:val="1F4E79"/>
          <w:sz w:val="24"/>
        </w:rPr>
        <w:t>4.2 Out-of-Scope Capabilities &amp; Boundaries</w:t>
      </w:r>
    </w:p>
    <w:p>
      <w:pPr>
        <w:pStyle w:val="ListBullet"/>
        <w:spacing w:before="0" w:after="80" w:line="276" w:lineRule="auto"/>
      </w:pPr>
      <w:r>
        <w:rPr>
          <w:rFonts w:ascii="Arial" w:hAnsi="Arial"/>
          <w:b/>
          <w:color w:val="141E2D"/>
          <w:sz w:val="20"/>
        </w:rPr>
        <w:t xml:space="preserve">Direct Spacecraft Telecommand Uplink: </w:t>
      </w:r>
      <w:r>
        <w:rPr>
          <w:rFonts w:ascii="Arial" w:hAnsi="Arial"/>
          <w:color w:val="283241"/>
          <w:sz w:val="20"/>
        </w:rPr>
        <w:t>StellarIntel is an advisory decision-support system; it does not issue automated radio frequency uplinks to active orbital hardware.</w:t>
      </w:r>
    </w:p>
    <w:p>
      <w:pPr>
        <w:pStyle w:val="ListBullet"/>
        <w:spacing w:before="0" w:after="80" w:line="276" w:lineRule="auto"/>
      </w:pPr>
      <w:r>
        <w:rPr>
          <w:rFonts w:ascii="Arial" w:hAnsi="Arial"/>
          <w:b/>
          <w:color w:val="141E2D"/>
          <w:sz w:val="20"/>
        </w:rPr>
        <w:t xml:space="preserve">Live Satellite SDR Ground Station Ingestion: </w:t>
      </w:r>
      <w:r>
        <w:rPr>
          <w:rFonts w:ascii="Arial" w:hAnsi="Arial"/>
          <w:color w:val="283241"/>
          <w:sz w:val="20"/>
        </w:rPr>
        <w:t>Telemetry is ingested via standard RESTful JSON interfaces and simulated flight profiles rather than direct demodulation of S-band/X-band downlinks.</w:t>
      </w:r>
    </w:p>
    <w:p>
      <w:pPr>
        <w:pStyle w:val="ListBullet"/>
        <w:spacing w:before="0" w:after="80" w:line="276" w:lineRule="auto"/>
      </w:pPr>
      <w:r>
        <w:rPr>
          <w:rFonts w:ascii="Arial" w:hAnsi="Arial"/>
          <w:b/>
          <w:color w:val="141E2D"/>
          <w:sz w:val="20"/>
        </w:rPr>
        <w:t xml:space="preserve">Multi-Orbit Persistent Relational Storage: </w:t>
      </w:r>
      <w:r>
        <w:rPr>
          <w:rFonts w:ascii="Arial" w:hAnsi="Arial"/>
          <w:color w:val="283241"/>
          <w:sz w:val="20"/>
        </w:rPr>
        <w:t>The system is optimized for real-time triage and point-in-time snapshot diagnostics rather than historical multi-year Big Data warehousing.</w:t>
      </w:r>
    </w:p>
    <w:p>
      <w:pPr>
        <w:pStyle w:val="ListBullet"/>
        <w:spacing w:before="0" w:after="80" w:line="276" w:lineRule="auto"/>
      </w:pPr>
      <w:r>
        <w:rPr>
          <w:rFonts w:ascii="Arial" w:hAnsi="Arial"/>
          <w:b/>
          <w:color w:val="141E2D"/>
          <w:sz w:val="20"/>
        </w:rPr>
        <w:t xml:space="preserve">Autonomous Spacecraft Piloting: </w:t>
      </w:r>
      <w:r>
        <w:rPr>
          <w:rFonts w:ascii="Arial" w:hAnsi="Arial"/>
          <w:color w:val="283241"/>
          <w:sz w:val="20"/>
        </w:rPr>
        <w:t>Engineering verification remains mandatory for real-world spacecraft operations; the system explicitly flags that AI outputs are advisory.</w:t>
      </w:r>
    </w:p>
    <w:p>
      <w:pPr>
        <w:spacing w:before="360" w:after="120"/>
      </w:pPr>
      <w:r>
        <w:rPr>
          <w:rFonts w:ascii="Arial" w:hAnsi="Arial"/>
          <w:b/>
          <w:color w:val="0E356E"/>
          <w:sz w:val="30"/>
        </w:rPr>
        <w:t>5. Proposed System / Methodology</w:t>
      </w:r>
    </w:p>
    <w:p>
      <w:pPr>
        <w:spacing w:before="0" w:after="120" w:line="276" w:lineRule="auto"/>
      </w:pPr>
      <w:r>
        <w:rPr>
          <w:rFonts w:ascii="Arial" w:hAnsi="Arial"/>
          <w:color w:val="232832"/>
          <w:sz w:val="20"/>
        </w:rPr>
        <w:t>StellarIntel employs a multi-stage, evidence-grounded pipeline designed to ensure data integrity, mathematical certainty, and explainability. The workflow transitions sequentially through five distinct layers:</w:t>
      </w:r>
    </w:p>
    <w:p>
      <w:pPr>
        <w:pStyle w:val="ListBullet"/>
        <w:spacing w:before="0" w:after="80" w:line="276" w:lineRule="auto"/>
      </w:pPr>
      <w:r>
        <w:rPr>
          <w:rFonts w:ascii="Arial" w:hAnsi="Arial"/>
          <w:b/>
          <w:color w:val="141E2D"/>
          <w:sz w:val="20"/>
        </w:rPr>
        <w:t xml:space="preserve">Stage 1 — Ingestion &amp; Schema Validation: </w:t>
      </w:r>
      <w:r>
        <w:rPr>
          <w:rFonts w:ascii="Arial" w:hAnsi="Arial"/>
          <w:color w:val="283241"/>
          <w:sz w:val="20"/>
        </w:rPr>
        <w:t>User or automated telemetry feeds supply a JSON payload. The TelemetryService applies Jakarta Bean Validation to verify required fields and sensor bounds (e.g., battery temp between -50°C and 150°C, solar voltage between 0V and 100V).</w:t>
      </w:r>
    </w:p>
    <w:p>
      <w:pPr>
        <w:pStyle w:val="ListBullet"/>
        <w:spacing w:before="0" w:after="80" w:line="276" w:lineRule="auto"/>
      </w:pPr>
      <w:r>
        <w:rPr>
          <w:rFonts w:ascii="Arial" w:hAnsi="Arial"/>
          <w:b/>
          <w:color w:val="141E2D"/>
          <w:sz w:val="20"/>
        </w:rPr>
        <w:t xml:space="preserve">Stage 2 — Deterministic Anomaly Detection: </w:t>
      </w:r>
      <w:r>
        <w:rPr>
          <w:rFonts w:ascii="Arial" w:hAnsi="Arial"/>
          <w:color w:val="283241"/>
          <w:sz w:val="20"/>
        </w:rPr>
        <w:t>The AnomalyDetectionEngine evaluates hard engineering rules. If battery temperature &gt; 45.0°C, solar voltage outside [26.0V, 35.0V], ADCS error &gt; 1.0°, or radiation &gt; 5.0 rad/h, an AnomalyResult is created. This produces authoritative ground truth.</w:t>
      </w:r>
    </w:p>
    <w:p>
      <w:pPr>
        <w:pStyle w:val="ListBullet"/>
        <w:spacing w:before="0" w:after="80" w:line="276" w:lineRule="auto"/>
      </w:pPr>
      <w:r>
        <w:rPr>
          <w:rFonts w:ascii="Arial" w:hAnsi="Arial"/>
          <w:b/>
          <w:color w:val="141E2D"/>
          <w:sz w:val="20"/>
        </w:rPr>
        <w:t xml:space="preserve">Stage 3 — Dynamic RAG Query Formulation &amp; Vector Retrieval: </w:t>
      </w:r>
      <w:r>
        <w:rPr>
          <w:rFonts w:ascii="Arial" w:hAnsi="Arial"/>
          <w:color w:val="283241"/>
          <w:sz w:val="20"/>
        </w:rPr>
        <w:t>Based on the isolated anomalies and sensor values, the KnowledgeRetrievalService constructs a targeted semantic query (e.g., 'spacecraft battery temperature thermal runaway dissipation'). The SimpleVectorStore performs cosine similarity matching across 40 document chunks, returning the top-4 most relevant technical excerpts.</w:t>
      </w:r>
    </w:p>
    <w:p>
      <w:pPr>
        <w:pStyle w:val="ListBullet"/>
        <w:spacing w:before="0" w:after="80" w:line="276" w:lineRule="auto"/>
      </w:pPr>
      <w:r>
        <w:rPr>
          <w:rFonts w:ascii="Arial" w:hAnsi="Arial"/>
          <w:b/>
          <w:color w:val="141E2D"/>
          <w:sz w:val="20"/>
        </w:rPr>
        <w:t xml:space="preserve">Stage 4 — Prompt Construction &amp; Spring AI Execution: </w:t>
      </w:r>
      <w:r>
        <w:rPr>
          <w:rFonts w:ascii="Arial" w:hAnsi="Arial"/>
          <w:color w:val="283241"/>
          <w:sz w:val="20"/>
        </w:rPr>
        <w:t>The GenAiDiagnosticService injects the numerical telemetry, deterministic findings, and retrieved RAG chunks into a structured prompt with system guardrails. OpenAI GPT-4o-mini synthesizes the diagnosis. If the API key is unconfigured or returns HTTP 429 quota exhaustion, the system triggers the Autonomous Offline Fallback Engine, generating an evidence-based diagnosis locally.</w:t>
      </w:r>
    </w:p>
    <w:p>
      <w:pPr>
        <w:pStyle w:val="ListBullet"/>
        <w:spacing w:before="0" w:after="80" w:line="276" w:lineRule="auto"/>
      </w:pPr>
      <w:r>
        <w:rPr>
          <w:rFonts w:ascii="Arial" w:hAnsi="Arial"/>
          <w:b/>
          <w:color w:val="141E2D"/>
          <w:sz w:val="20"/>
        </w:rPr>
        <w:t xml:space="preserve">Stage 5 — Mission Control Visualization &amp; PDF Export: </w:t>
      </w:r>
      <w:r>
        <w:rPr>
          <w:rFonts w:ascii="Arial" w:hAnsi="Arial"/>
          <w:color w:val="283241"/>
          <w:sz w:val="20"/>
        </w:rPr>
        <w:t>The web interface renders visual instrument gauges, anomaly tables, RAG cards, and diagnostic sections. The user can export the complete diagnostic snapshot as an authoritative PDF report with a single click.</w:t>
      </w:r>
    </w:p>
    <w:p>
      <w:pPr>
        <w:spacing w:before="360" w:after="120"/>
      </w:pPr>
      <w:r>
        <w:rPr>
          <w:rFonts w:ascii="Arial" w:hAnsi="Arial"/>
          <w:b/>
          <w:color w:val="0E356E"/>
          <w:sz w:val="30"/>
        </w:rPr>
        <w:t>6. System Architecture / Workflow</w:t>
      </w:r>
    </w:p>
    <w:p>
      <w:pPr>
        <w:spacing w:before="0" w:after="120" w:line="276" w:lineRule="auto"/>
      </w:pPr>
      <w:r>
        <w:rPr>
          <w:rFonts w:ascii="Arial" w:hAnsi="Arial"/>
          <w:color w:val="232832"/>
          <w:sz w:val="20"/>
        </w:rPr>
        <w:t>The architecture is organized around loose coupling, clean separation of concerns, and defensive software design. The complete end-to-end workflow is illustrated below:</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top w:val="single" w:sz="4" w:space="0" w:color="D1D5DB"/>
              <w:left w:val="single" w:sz="18" w:space="0" w:color="4F46E5"/>
              <w:bottom w:val="single" w:sz="4" w:space="0" w:color="D1D5DB"/>
              <w:right w:val="single" w:sz="4" w:space="0" w:color="D1D5DB"/>
            </w:tcBorders>
          </w:tcPr>
          <w:p>
            <w:pPr>
              <w:spacing w:before="40" w:after="40"/>
            </w:pPr>
            <w:r>
              <w:rPr>
                <w:rFonts w:ascii="Consolas" w:hAnsi="Consolas"/>
                <w:color w:val="1E293B"/>
                <w:sz w:val="17"/>
              </w:rPr>
              <w:t>+---------------------------------------------------------------------------------------------------------+</w:t>
              <w:br/>
              <w:t>|                                     STELLARINTEL SYSTEM ARCHITECTURE                                    |</w:t>
              <w:br/>
              <w:t>+---------------------------------------------------------------------------------------------------------+</w:t>
              <w:br/>
              <w:t xml:space="preserve">                                                                                                           </w:t>
              <w:br/>
              <w:t xml:space="preserve"> [ Flight Operator / UI ]                                                                                 </w:t>
              <w:br/>
              <w:t xml:space="preserve">         |                                                                                                </w:t>
              <w:br/>
              <w:t xml:space="preserve">         | 1. Select Preset Profile / Input JSON Telemetry                                                </w:t>
              <w:br/>
              <w:t xml:space="preserve">         v                                                                                                </w:t>
              <w:br/>
              <w:t xml:space="preserve"> +-----------------------------------------------------------------------+                                </w:t>
              <w:br/>
              <w:t xml:space="preserve"> | FRONTEND PRESENTATION LAYER (HTML5, Vanilla CSS3, JavaScript ES6+)    |                                </w:t>
              <w:br/>
              <w:t xml:space="preserve"> | - Live Instrument Bus (Gauges)   - Deterministic Anomaly Table        |                                </w:t>
              <w:br/>
              <w:t xml:space="preserve"> | - RAG Technical Context Cards    - GenAI Diagnostic Command Center    |                                </w:t>
              <w:br/>
              <w:t xml:space="preserve"> | - Automated PDF Report Exporter Button                                |                                </w:t>
              <w:br/>
              <w:t xml:space="preserve"> +-----------------------------------------------------------------------+                                </w:t>
              <w:br/>
              <w:t xml:space="preserve">         |                                                ^                                               </w:t>
              <w:br/>
              <w:t xml:space="preserve">         | REST POST /api/telemetry/diagnose              | JSON Response (TelemetryDiagnosticReport)      </w:t>
              <w:br/>
              <w:t xml:space="preserve">         v                                                |                                               </w:t>
              <w:br/>
              <w:t xml:space="preserve"> +-----------------------------------------------------------------------+                                </w:t>
              <w:br/>
              <w:t xml:space="preserve"> | SPRING BOOT 3 CONTROLLER LAYER                                        |                                </w:t>
              <w:br/>
              <w:t xml:space="preserve"> | - TelemetryApiController: /api/telemetry/diagnose                     |                                </w:t>
              <w:br/>
              <w:t xml:space="preserve"> | - DiagnosticReportApiController: /api/reports/diagnostic              |                                </w:t>
              <w:br/>
              <w:t xml:space="preserve"> +-----------------------------------------------------------------------+                                </w:t>
              <w:br/>
              <w:t xml:space="preserve">         |                                                ^                                               </w:t>
              <w:br/>
              <w:t xml:space="preserve">         v                                                |                                               </w:t>
              <w:br/>
              <w:t xml:space="preserve"> +------------------------------------+          +--------------------------------------+                 </w:t>
              <w:br/>
              <w:t xml:space="preserve"> | TELEMETRY INGEST &amp; VALIDATION      |          | DIAGNOSTIC REPORT SERVICE (OpenPDF)  |                 </w:t>
              <w:br/>
              <w:t xml:space="preserve"> | - Schema checks &amp; sensor ranges    |          | - In-memory PDF streaming export     |                 </w:t>
              <w:br/>
              <w:t xml:space="preserve"> +------------------------------------+          | - Two-pass running header &amp; footer   |                 </w:t>
              <w:br/>
              <w:t xml:space="preserve">         |                                       +--------------------------------------+                 </w:t>
              <w:br/>
              <w:t xml:space="preserve">         v                                                                                                </w:t>
              <w:br/>
              <w:t xml:space="preserve"> +-----------------------------------------------------------------------+                                </w:t>
              <w:br/>
              <w:t xml:space="preserve"> | DETERMINISTIC ANOMALY DETECTION ENGINE (Ground Truth)                 |                                </w:t>
              <w:br/>
              <w:t xml:space="preserve"> | - Rule: Battery Temp &gt; 45.0°C      - Rule: Solar Voltage [26V-35V]    |                                </w:t>
              <w:br/>
              <w:t xml:space="preserve"> | - Rule: ADCS Error X/Y &gt; 1.0°      - Rule: Radiation &gt; 5.0 rad/h      |                                </w:t>
              <w:br/>
              <w:t xml:space="preserve"> +-----------------------------------------------------------------------+                                </w:t>
              <w:br/>
              <w:t xml:space="preserve">         |                                                |                                               </w:t>
              <w:br/>
              <w:t xml:space="preserve">         v (Isolated Anomalies)                           v (Ground Truth Findings)                       </w:t>
              <w:br/>
              <w:t xml:space="preserve"> +------------------------------------+          +--------------------------------------+                 </w:t>
              <w:br/>
              <w:t xml:space="preserve"> | KNOWLEDGE RETRIEVAL SERVICE (RAG)  |          | SPRING AI GENAI DIAGNOSTIC SERVICE   |                 </w:t>
              <w:br/>
              <w:t xml:space="preserve"> | - Dynamic search query formulation |          | - System Guardrails &amp; Prompt Builder |                 </w:t>
              <w:br/>
              <w:t xml:space="preserve"> | - SimpleVectorStore (Cosine Match) |---------&gt;| - BeanOutputConverter (Schema Check) |                 </w:t>
              <w:br/>
              <w:t xml:space="preserve"> | - 40 Semantic Chunks across 5 docs|          | - Live OpenAI API (GPT-4o-mini)      |                 </w:t>
              <w:br/>
              <w:t xml:space="preserve"> +------------------------------------+          | - Autonomous Offline Fallback Engine |                 </w:t>
              <w:br/>
              <w:t xml:space="preserve">                                                 +--------------------------------------+                 </w:t>
              <w:br/>
            </w:r>
          </w:p>
        </w:tc>
      </w:tr>
    </w:tbl>
    <w:p>
      <w:pPr>
        <w:spacing w:after="80"/>
      </w:pPr>
    </w:p>
    <w:p>
      <w:pPr>
        <w:spacing w:before="360" w:after="120"/>
      </w:pPr>
      <w:r>
        <w:rPr>
          <w:rFonts w:ascii="Arial" w:hAnsi="Arial"/>
          <w:b/>
          <w:color w:val="0E356E"/>
          <w:sz w:val="30"/>
        </w:rPr>
        <w:t>7. Implementation</w:t>
      </w:r>
    </w:p>
    <w:p>
      <w:pPr>
        <w:spacing w:before="260" w:after="80"/>
      </w:pPr>
      <w:r>
        <w:rPr>
          <w:rFonts w:ascii="Arial" w:hAnsi="Arial"/>
          <w:b/>
          <w:color w:val="1F4E79"/>
          <w:sz w:val="24"/>
        </w:rPr>
        <w:t>7.1 Technology Stack &amp; Tools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016"/>
            <w:shd w:fill="1F4E79"/>
            <w:tcMar>
              <w:top w:w="100" w:type="dxa"/>
              <w:bottom w:w="100" w:type="dxa"/>
              <w:left w:w="120" w:type="dxa"/>
              <w:right w:w="120" w:type="dxa"/>
            </w:tcMar>
          </w:tcPr>
          <w:p>
            <w:pPr>
              <w:jc w:val="center"/>
            </w:pPr>
            <w:r>
              <w:rPr>
                <w:rFonts w:ascii="Arial" w:hAnsi="Arial"/>
                <w:b/>
                <w:color w:val="FFFFFF"/>
                <w:sz w:val="19"/>
              </w:rPr>
              <w:t>Layer / Component</w:t>
            </w:r>
          </w:p>
        </w:tc>
        <w:tc>
          <w:tcPr>
            <w:tcW w:type="dxa" w:w="2304"/>
            <w:shd w:fill="1F4E79"/>
            <w:tcMar>
              <w:top w:w="100" w:type="dxa"/>
              <w:bottom w:w="100" w:type="dxa"/>
              <w:left w:w="120" w:type="dxa"/>
              <w:right w:w="120" w:type="dxa"/>
            </w:tcMar>
          </w:tcPr>
          <w:p>
            <w:pPr>
              <w:jc w:val="center"/>
            </w:pPr>
            <w:r>
              <w:rPr>
                <w:rFonts w:ascii="Arial" w:hAnsi="Arial"/>
                <w:b/>
                <w:color w:val="FFFFFF"/>
                <w:sz w:val="19"/>
              </w:rPr>
              <w:t>Technology / Framework</w:t>
            </w:r>
          </w:p>
        </w:tc>
        <w:tc>
          <w:tcPr>
            <w:tcW w:type="dxa" w:w="2016"/>
            <w:shd w:fill="1F4E79"/>
            <w:tcMar>
              <w:top w:w="100" w:type="dxa"/>
              <w:bottom w:w="100" w:type="dxa"/>
              <w:left w:w="120" w:type="dxa"/>
              <w:right w:w="120" w:type="dxa"/>
            </w:tcMar>
          </w:tcPr>
          <w:p>
            <w:pPr>
              <w:jc w:val="center"/>
            </w:pPr>
            <w:r>
              <w:rPr>
                <w:rFonts w:ascii="Arial" w:hAnsi="Arial"/>
                <w:b/>
                <w:color w:val="FFFFFF"/>
                <w:sz w:val="19"/>
              </w:rPr>
              <w:t>Version / Details</w:t>
            </w:r>
          </w:p>
        </w:tc>
        <w:tc>
          <w:tcPr>
            <w:tcW w:type="dxa" w:w="3168"/>
            <w:shd w:fill="1F4E79"/>
            <w:tcMar>
              <w:top w:w="100" w:type="dxa"/>
              <w:bottom w:w="100" w:type="dxa"/>
              <w:left w:w="120" w:type="dxa"/>
              <w:right w:w="120" w:type="dxa"/>
            </w:tcMar>
          </w:tcPr>
          <w:p>
            <w:pPr>
              <w:jc w:val="center"/>
            </w:pPr>
            <w:r>
              <w:rPr>
                <w:rFonts w:ascii="Arial" w:hAnsi="Arial"/>
                <w:b/>
                <w:color w:val="FFFFFF"/>
                <w:sz w:val="19"/>
              </w:rPr>
              <w:t>Purpose in Project</w:t>
            </w:r>
          </w:p>
        </w:tc>
      </w:tr>
      <w:tr>
        <w:tc>
          <w:tcPr>
            <w:tcW w:type="dxa" w:w="2016"/>
            <w:shd w:fill="FFFFFF"/>
            <w:tcMar>
              <w:top w:w="80" w:type="dxa"/>
              <w:bottom w:w="80" w:type="dxa"/>
              <w:left w:w="120" w:type="dxa"/>
              <w:right w:w="120" w:type="dxa"/>
            </w:tcMar>
          </w:tcPr>
          <w:p>
            <w:r>
              <w:rPr>
                <w:rFonts w:ascii="Arial" w:hAnsi="Arial"/>
                <w:color w:val="282D37"/>
                <w:sz w:val="18"/>
              </w:rPr>
              <w:t>Language Runtime</w:t>
            </w:r>
          </w:p>
        </w:tc>
        <w:tc>
          <w:tcPr>
            <w:tcW w:type="dxa" w:w="2304"/>
            <w:shd w:fill="FFFFFF"/>
            <w:tcMar>
              <w:top w:w="80" w:type="dxa"/>
              <w:bottom w:w="80" w:type="dxa"/>
              <w:left w:w="120" w:type="dxa"/>
              <w:right w:w="120" w:type="dxa"/>
            </w:tcMar>
          </w:tcPr>
          <w:p>
            <w:r>
              <w:rPr>
                <w:rFonts w:ascii="Arial" w:hAnsi="Arial"/>
                <w:color w:val="282D37"/>
                <w:sz w:val="18"/>
              </w:rPr>
              <w:t>Java</w:t>
            </w:r>
          </w:p>
        </w:tc>
        <w:tc>
          <w:tcPr>
            <w:tcW w:type="dxa" w:w="2016"/>
            <w:shd w:fill="FFFFFF"/>
            <w:tcMar>
              <w:top w:w="80" w:type="dxa"/>
              <w:bottom w:w="80" w:type="dxa"/>
              <w:left w:w="120" w:type="dxa"/>
              <w:right w:w="120" w:type="dxa"/>
            </w:tcMar>
          </w:tcPr>
          <w:p>
            <w:r>
              <w:rPr>
                <w:rFonts w:ascii="Arial" w:hAnsi="Arial"/>
                <w:color w:val="282D37"/>
                <w:sz w:val="18"/>
              </w:rPr>
              <w:t>Java 21 LTS (Oracle OpenJDK)</w:t>
            </w:r>
          </w:p>
        </w:tc>
        <w:tc>
          <w:tcPr>
            <w:tcW w:type="dxa" w:w="3168"/>
            <w:shd w:fill="FFFFFF"/>
            <w:tcMar>
              <w:top w:w="80" w:type="dxa"/>
              <w:bottom w:w="80" w:type="dxa"/>
              <w:left w:w="120" w:type="dxa"/>
              <w:right w:w="120" w:type="dxa"/>
            </w:tcMar>
          </w:tcPr>
          <w:p>
            <w:r>
              <w:rPr>
                <w:rFonts w:ascii="Arial" w:hAnsi="Arial"/>
                <w:color w:val="282D37"/>
                <w:sz w:val="18"/>
              </w:rPr>
              <w:t>Core enterprise backend runtime</w:t>
            </w:r>
          </w:p>
        </w:tc>
      </w:tr>
      <w:tr>
        <w:tc>
          <w:tcPr>
            <w:tcW w:type="dxa" w:w="2016"/>
            <w:shd w:fill="F9FAFB"/>
            <w:tcMar>
              <w:top w:w="80" w:type="dxa"/>
              <w:bottom w:w="80" w:type="dxa"/>
              <w:left w:w="120" w:type="dxa"/>
              <w:right w:w="120" w:type="dxa"/>
            </w:tcMar>
          </w:tcPr>
          <w:p>
            <w:r>
              <w:rPr>
                <w:rFonts w:ascii="Arial" w:hAnsi="Arial"/>
                <w:color w:val="282D37"/>
                <w:sz w:val="18"/>
              </w:rPr>
              <w:t>Backend Framework</w:t>
            </w:r>
          </w:p>
        </w:tc>
        <w:tc>
          <w:tcPr>
            <w:tcW w:type="dxa" w:w="2304"/>
            <w:shd w:fill="F9FAFB"/>
            <w:tcMar>
              <w:top w:w="80" w:type="dxa"/>
              <w:bottom w:w="80" w:type="dxa"/>
              <w:left w:w="120" w:type="dxa"/>
              <w:right w:w="120" w:type="dxa"/>
            </w:tcMar>
          </w:tcPr>
          <w:p>
            <w:r>
              <w:rPr>
                <w:rFonts w:ascii="Arial" w:hAnsi="Arial"/>
                <w:color w:val="282D37"/>
                <w:sz w:val="18"/>
              </w:rPr>
              <w:t>Spring Boot</w:t>
            </w:r>
          </w:p>
        </w:tc>
        <w:tc>
          <w:tcPr>
            <w:tcW w:type="dxa" w:w="2016"/>
            <w:shd w:fill="F9FAFB"/>
            <w:tcMar>
              <w:top w:w="80" w:type="dxa"/>
              <w:bottom w:w="80" w:type="dxa"/>
              <w:left w:w="120" w:type="dxa"/>
              <w:right w:w="120" w:type="dxa"/>
            </w:tcMar>
          </w:tcPr>
          <w:p>
            <w:r>
              <w:rPr>
                <w:rFonts w:ascii="Arial" w:hAnsi="Arial"/>
                <w:color w:val="282D37"/>
                <w:sz w:val="18"/>
              </w:rPr>
              <w:t>3.3.4</w:t>
            </w:r>
          </w:p>
        </w:tc>
        <w:tc>
          <w:tcPr>
            <w:tcW w:type="dxa" w:w="3168"/>
            <w:shd w:fill="F9FAFB"/>
            <w:tcMar>
              <w:top w:w="80" w:type="dxa"/>
              <w:bottom w:w="80" w:type="dxa"/>
              <w:left w:w="120" w:type="dxa"/>
              <w:right w:w="120" w:type="dxa"/>
            </w:tcMar>
          </w:tcPr>
          <w:p>
            <w:r>
              <w:rPr>
                <w:rFonts w:ascii="Arial" w:hAnsi="Arial"/>
                <w:color w:val="282D37"/>
                <w:sz w:val="18"/>
              </w:rPr>
              <w:t>Dependency injection, MVC, REST web services</w:t>
            </w:r>
          </w:p>
        </w:tc>
      </w:tr>
      <w:tr>
        <w:tc>
          <w:tcPr>
            <w:tcW w:type="dxa" w:w="2016"/>
            <w:shd w:fill="FFFFFF"/>
            <w:tcMar>
              <w:top w:w="80" w:type="dxa"/>
              <w:bottom w:w="80" w:type="dxa"/>
              <w:left w:w="120" w:type="dxa"/>
              <w:right w:w="120" w:type="dxa"/>
            </w:tcMar>
          </w:tcPr>
          <w:p>
            <w:r>
              <w:rPr>
                <w:rFonts w:ascii="Arial" w:hAnsi="Arial"/>
                <w:color w:val="282D37"/>
                <w:sz w:val="18"/>
              </w:rPr>
              <w:t>GenAI &amp; Vector RAG</w:t>
            </w:r>
          </w:p>
        </w:tc>
        <w:tc>
          <w:tcPr>
            <w:tcW w:type="dxa" w:w="2304"/>
            <w:shd w:fill="FFFFFF"/>
            <w:tcMar>
              <w:top w:w="80" w:type="dxa"/>
              <w:bottom w:w="80" w:type="dxa"/>
              <w:left w:w="120" w:type="dxa"/>
              <w:right w:w="120" w:type="dxa"/>
            </w:tcMar>
          </w:tcPr>
          <w:p>
            <w:r>
              <w:rPr>
                <w:rFonts w:ascii="Arial" w:hAnsi="Arial"/>
                <w:color w:val="282D37"/>
                <w:sz w:val="18"/>
              </w:rPr>
              <w:t>Spring AI</w:t>
            </w:r>
          </w:p>
        </w:tc>
        <w:tc>
          <w:tcPr>
            <w:tcW w:type="dxa" w:w="2016"/>
            <w:shd w:fill="FFFFFF"/>
            <w:tcMar>
              <w:top w:w="80" w:type="dxa"/>
              <w:bottom w:w="80" w:type="dxa"/>
              <w:left w:w="120" w:type="dxa"/>
              <w:right w:w="120" w:type="dxa"/>
            </w:tcMar>
          </w:tcPr>
          <w:p>
            <w:r>
              <w:rPr>
                <w:rFonts w:ascii="Arial" w:hAnsi="Arial"/>
                <w:color w:val="282D37"/>
                <w:sz w:val="18"/>
              </w:rPr>
              <w:t>1.0.0-M3</w:t>
            </w:r>
          </w:p>
        </w:tc>
        <w:tc>
          <w:tcPr>
            <w:tcW w:type="dxa" w:w="3168"/>
            <w:shd w:fill="FFFFFF"/>
            <w:tcMar>
              <w:top w:w="80" w:type="dxa"/>
              <w:bottom w:w="80" w:type="dxa"/>
              <w:left w:w="120" w:type="dxa"/>
              <w:right w:w="120" w:type="dxa"/>
            </w:tcMar>
          </w:tcPr>
          <w:p>
            <w:r>
              <w:rPr>
                <w:rFonts w:ascii="Arial" w:hAnsi="Arial"/>
                <w:color w:val="282D37"/>
                <w:sz w:val="18"/>
              </w:rPr>
              <w:t>OpenAI ChatModel, SimpleVectorStore, prompt templates</w:t>
            </w:r>
          </w:p>
        </w:tc>
      </w:tr>
      <w:tr>
        <w:tc>
          <w:tcPr>
            <w:tcW w:type="dxa" w:w="2016"/>
            <w:shd w:fill="F9FAFB"/>
            <w:tcMar>
              <w:top w:w="80" w:type="dxa"/>
              <w:bottom w:w="80" w:type="dxa"/>
              <w:left w:w="120" w:type="dxa"/>
              <w:right w:w="120" w:type="dxa"/>
            </w:tcMar>
          </w:tcPr>
          <w:p>
            <w:r>
              <w:rPr>
                <w:rFonts w:ascii="Arial" w:hAnsi="Arial"/>
                <w:color w:val="282D37"/>
                <w:sz w:val="18"/>
              </w:rPr>
              <w:t>PDF Generation</w:t>
            </w:r>
          </w:p>
        </w:tc>
        <w:tc>
          <w:tcPr>
            <w:tcW w:type="dxa" w:w="2304"/>
            <w:shd w:fill="F9FAFB"/>
            <w:tcMar>
              <w:top w:w="80" w:type="dxa"/>
              <w:bottom w:w="80" w:type="dxa"/>
              <w:left w:w="120" w:type="dxa"/>
              <w:right w:w="120" w:type="dxa"/>
            </w:tcMar>
          </w:tcPr>
          <w:p>
            <w:r>
              <w:rPr>
                <w:rFonts w:ascii="Arial" w:hAnsi="Arial"/>
                <w:color w:val="282D37"/>
                <w:sz w:val="18"/>
              </w:rPr>
              <w:t>OpenPDF</w:t>
            </w:r>
          </w:p>
        </w:tc>
        <w:tc>
          <w:tcPr>
            <w:tcW w:type="dxa" w:w="2016"/>
            <w:shd w:fill="F9FAFB"/>
            <w:tcMar>
              <w:top w:w="80" w:type="dxa"/>
              <w:bottom w:w="80" w:type="dxa"/>
              <w:left w:w="120" w:type="dxa"/>
              <w:right w:w="120" w:type="dxa"/>
            </w:tcMar>
          </w:tcPr>
          <w:p>
            <w:r>
              <w:rPr>
                <w:rFonts w:ascii="Arial" w:hAnsi="Arial"/>
                <w:color w:val="282D37"/>
                <w:sz w:val="18"/>
              </w:rPr>
              <w:t>2.0.3 (LGPL/MPL)</w:t>
            </w:r>
          </w:p>
        </w:tc>
        <w:tc>
          <w:tcPr>
            <w:tcW w:type="dxa" w:w="3168"/>
            <w:shd w:fill="F9FAFB"/>
            <w:tcMar>
              <w:top w:w="80" w:type="dxa"/>
              <w:bottom w:w="80" w:type="dxa"/>
              <w:left w:w="120" w:type="dxa"/>
              <w:right w:w="120" w:type="dxa"/>
            </w:tcMar>
          </w:tcPr>
          <w:p>
            <w:r>
              <w:rPr>
                <w:rFonts w:ascii="Arial" w:hAnsi="Arial"/>
                <w:color w:val="282D37"/>
                <w:sz w:val="18"/>
              </w:rPr>
              <w:t>In-memory streaming PDF mission report creation</w:t>
            </w:r>
          </w:p>
        </w:tc>
      </w:tr>
      <w:tr>
        <w:tc>
          <w:tcPr>
            <w:tcW w:type="dxa" w:w="2016"/>
            <w:shd w:fill="FFFFFF"/>
            <w:tcMar>
              <w:top w:w="80" w:type="dxa"/>
              <w:bottom w:w="80" w:type="dxa"/>
              <w:left w:w="120" w:type="dxa"/>
              <w:right w:w="120" w:type="dxa"/>
            </w:tcMar>
          </w:tcPr>
          <w:p>
            <w:r>
              <w:rPr>
                <w:rFonts w:ascii="Arial" w:hAnsi="Arial"/>
                <w:color w:val="282D37"/>
                <w:sz w:val="18"/>
              </w:rPr>
              <w:t>JSON Serialization</w:t>
            </w:r>
          </w:p>
        </w:tc>
        <w:tc>
          <w:tcPr>
            <w:tcW w:type="dxa" w:w="2304"/>
            <w:shd w:fill="FFFFFF"/>
            <w:tcMar>
              <w:top w:w="80" w:type="dxa"/>
              <w:bottom w:w="80" w:type="dxa"/>
              <w:left w:w="120" w:type="dxa"/>
              <w:right w:w="120" w:type="dxa"/>
            </w:tcMar>
          </w:tcPr>
          <w:p>
            <w:r>
              <w:rPr>
                <w:rFonts w:ascii="Arial" w:hAnsi="Arial"/>
                <w:color w:val="282D37"/>
                <w:sz w:val="18"/>
              </w:rPr>
              <w:t>Jackson Databind</w:t>
            </w:r>
          </w:p>
        </w:tc>
        <w:tc>
          <w:tcPr>
            <w:tcW w:type="dxa" w:w="2016"/>
            <w:shd w:fill="FFFFFF"/>
            <w:tcMar>
              <w:top w:w="80" w:type="dxa"/>
              <w:bottom w:w="80" w:type="dxa"/>
              <w:left w:w="120" w:type="dxa"/>
              <w:right w:w="120" w:type="dxa"/>
            </w:tcMar>
          </w:tcPr>
          <w:p>
            <w:r>
              <w:rPr>
                <w:rFonts w:ascii="Arial" w:hAnsi="Arial"/>
                <w:color w:val="282D37"/>
                <w:sz w:val="18"/>
              </w:rPr>
              <w:t>2.17.2</w:t>
            </w:r>
          </w:p>
        </w:tc>
        <w:tc>
          <w:tcPr>
            <w:tcW w:type="dxa" w:w="3168"/>
            <w:shd w:fill="FFFFFF"/>
            <w:tcMar>
              <w:top w:w="80" w:type="dxa"/>
              <w:bottom w:w="80" w:type="dxa"/>
              <w:left w:w="120" w:type="dxa"/>
              <w:right w:w="120" w:type="dxa"/>
            </w:tcMar>
          </w:tcPr>
          <w:p>
            <w:r>
              <w:rPr>
                <w:rFonts w:ascii="Arial" w:hAnsi="Arial"/>
                <w:color w:val="282D37"/>
                <w:sz w:val="18"/>
              </w:rPr>
              <w:t>High-performance DTO mapping and fallback parsing</w:t>
            </w:r>
          </w:p>
        </w:tc>
      </w:tr>
      <w:tr>
        <w:tc>
          <w:tcPr>
            <w:tcW w:type="dxa" w:w="2016"/>
            <w:shd w:fill="F9FAFB"/>
            <w:tcMar>
              <w:top w:w="80" w:type="dxa"/>
              <w:bottom w:w="80" w:type="dxa"/>
              <w:left w:w="120" w:type="dxa"/>
              <w:right w:w="120" w:type="dxa"/>
            </w:tcMar>
          </w:tcPr>
          <w:p>
            <w:r>
              <w:rPr>
                <w:rFonts w:ascii="Arial" w:hAnsi="Arial"/>
                <w:color w:val="282D37"/>
                <w:sz w:val="18"/>
              </w:rPr>
              <w:t>Templating Engine</w:t>
            </w:r>
          </w:p>
        </w:tc>
        <w:tc>
          <w:tcPr>
            <w:tcW w:type="dxa" w:w="2304"/>
            <w:shd w:fill="F9FAFB"/>
            <w:tcMar>
              <w:top w:w="80" w:type="dxa"/>
              <w:bottom w:w="80" w:type="dxa"/>
              <w:left w:w="120" w:type="dxa"/>
              <w:right w:w="120" w:type="dxa"/>
            </w:tcMar>
          </w:tcPr>
          <w:p>
            <w:r>
              <w:rPr>
                <w:rFonts w:ascii="Arial" w:hAnsi="Arial"/>
                <w:color w:val="282D37"/>
                <w:sz w:val="18"/>
              </w:rPr>
              <w:t>Thymeleaf</w:t>
            </w:r>
          </w:p>
        </w:tc>
        <w:tc>
          <w:tcPr>
            <w:tcW w:type="dxa" w:w="2016"/>
            <w:shd w:fill="F9FAFB"/>
            <w:tcMar>
              <w:top w:w="80" w:type="dxa"/>
              <w:bottom w:w="80" w:type="dxa"/>
              <w:left w:w="120" w:type="dxa"/>
              <w:right w:w="120" w:type="dxa"/>
            </w:tcMar>
          </w:tcPr>
          <w:p>
            <w:r>
              <w:rPr>
                <w:rFonts w:ascii="Arial" w:hAnsi="Arial"/>
                <w:color w:val="282D37"/>
                <w:sz w:val="18"/>
              </w:rPr>
              <w:t>3.1.2</w:t>
            </w:r>
          </w:p>
        </w:tc>
        <w:tc>
          <w:tcPr>
            <w:tcW w:type="dxa" w:w="3168"/>
            <w:shd w:fill="F9FAFB"/>
            <w:tcMar>
              <w:top w:w="80" w:type="dxa"/>
              <w:bottom w:w="80" w:type="dxa"/>
              <w:left w:w="120" w:type="dxa"/>
              <w:right w:w="120" w:type="dxa"/>
            </w:tcMar>
          </w:tcPr>
          <w:p>
            <w:r>
              <w:rPr>
                <w:rFonts w:ascii="Arial" w:hAnsi="Arial"/>
                <w:color w:val="282D37"/>
                <w:sz w:val="18"/>
              </w:rPr>
              <w:t>Server-side HTML rendering for dashboard scaffold</w:t>
            </w:r>
          </w:p>
        </w:tc>
      </w:tr>
      <w:tr>
        <w:tc>
          <w:tcPr>
            <w:tcW w:type="dxa" w:w="2016"/>
            <w:shd w:fill="FFFFFF"/>
            <w:tcMar>
              <w:top w:w="80" w:type="dxa"/>
              <w:bottom w:w="80" w:type="dxa"/>
              <w:left w:w="120" w:type="dxa"/>
              <w:right w:w="120" w:type="dxa"/>
            </w:tcMar>
          </w:tcPr>
          <w:p>
            <w:r>
              <w:rPr>
                <w:rFonts w:ascii="Arial" w:hAnsi="Arial"/>
                <w:color w:val="282D37"/>
                <w:sz w:val="18"/>
              </w:rPr>
              <w:t>Frontend Styling</w:t>
            </w:r>
          </w:p>
        </w:tc>
        <w:tc>
          <w:tcPr>
            <w:tcW w:type="dxa" w:w="2304"/>
            <w:shd w:fill="FFFFFF"/>
            <w:tcMar>
              <w:top w:w="80" w:type="dxa"/>
              <w:bottom w:w="80" w:type="dxa"/>
              <w:left w:w="120" w:type="dxa"/>
              <w:right w:w="120" w:type="dxa"/>
            </w:tcMar>
          </w:tcPr>
          <w:p>
            <w:r>
              <w:rPr>
                <w:rFonts w:ascii="Arial" w:hAnsi="Arial"/>
                <w:color w:val="282D37"/>
                <w:sz w:val="18"/>
              </w:rPr>
              <w:t>Vanilla CSS3</w:t>
            </w:r>
          </w:p>
        </w:tc>
        <w:tc>
          <w:tcPr>
            <w:tcW w:type="dxa" w:w="2016"/>
            <w:shd w:fill="FFFFFF"/>
            <w:tcMar>
              <w:top w:w="80" w:type="dxa"/>
              <w:bottom w:w="80" w:type="dxa"/>
              <w:left w:w="120" w:type="dxa"/>
              <w:right w:w="120" w:type="dxa"/>
            </w:tcMar>
          </w:tcPr>
          <w:p>
            <w:r>
              <w:rPr>
                <w:rFonts w:ascii="Arial" w:hAnsi="Arial"/>
                <w:color w:val="282D37"/>
                <w:sz w:val="18"/>
              </w:rPr>
              <w:t>Modern CSS Variables</w:t>
            </w:r>
          </w:p>
        </w:tc>
        <w:tc>
          <w:tcPr>
            <w:tcW w:type="dxa" w:w="3168"/>
            <w:shd w:fill="FFFFFF"/>
            <w:tcMar>
              <w:top w:w="80" w:type="dxa"/>
              <w:bottom w:w="80" w:type="dxa"/>
              <w:left w:w="120" w:type="dxa"/>
              <w:right w:w="120" w:type="dxa"/>
            </w:tcMar>
          </w:tcPr>
          <w:p>
            <w:r>
              <w:rPr>
                <w:rFonts w:ascii="Arial" w:hAnsi="Arial"/>
                <w:color w:val="282D37"/>
                <w:sz w:val="18"/>
              </w:rPr>
              <w:t>Custom space theme, glassmorphism, responsive grid</w:t>
            </w:r>
          </w:p>
        </w:tc>
      </w:tr>
      <w:tr>
        <w:tc>
          <w:tcPr>
            <w:tcW w:type="dxa" w:w="2016"/>
            <w:shd w:fill="F9FAFB"/>
            <w:tcMar>
              <w:top w:w="80" w:type="dxa"/>
              <w:bottom w:w="80" w:type="dxa"/>
              <w:left w:w="120" w:type="dxa"/>
              <w:right w:w="120" w:type="dxa"/>
            </w:tcMar>
          </w:tcPr>
          <w:p>
            <w:r>
              <w:rPr>
                <w:rFonts w:ascii="Arial" w:hAnsi="Arial"/>
                <w:color w:val="282D37"/>
                <w:sz w:val="18"/>
              </w:rPr>
              <w:t>Frontend Logic</w:t>
            </w:r>
          </w:p>
        </w:tc>
        <w:tc>
          <w:tcPr>
            <w:tcW w:type="dxa" w:w="2304"/>
            <w:shd w:fill="F9FAFB"/>
            <w:tcMar>
              <w:top w:w="80" w:type="dxa"/>
              <w:bottom w:w="80" w:type="dxa"/>
              <w:left w:w="120" w:type="dxa"/>
              <w:right w:w="120" w:type="dxa"/>
            </w:tcMar>
          </w:tcPr>
          <w:p>
            <w:r>
              <w:rPr>
                <w:rFonts w:ascii="Arial" w:hAnsi="Arial"/>
                <w:color w:val="282D37"/>
                <w:sz w:val="18"/>
              </w:rPr>
              <w:t>Vanilla JavaScript</w:t>
            </w:r>
          </w:p>
        </w:tc>
        <w:tc>
          <w:tcPr>
            <w:tcW w:type="dxa" w:w="2016"/>
            <w:shd w:fill="F9FAFB"/>
            <w:tcMar>
              <w:top w:w="80" w:type="dxa"/>
              <w:bottom w:w="80" w:type="dxa"/>
              <w:left w:w="120" w:type="dxa"/>
              <w:right w:w="120" w:type="dxa"/>
            </w:tcMar>
          </w:tcPr>
          <w:p>
            <w:r>
              <w:rPr>
                <w:rFonts w:ascii="Arial" w:hAnsi="Arial"/>
                <w:color w:val="282D37"/>
                <w:sz w:val="18"/>
              </w:rPr>
              <w:t>ES6+ Modern Syntax</w:t>
            </w:r>
          </w:p>
        </w:tc>
        <w:tc>
          <w:tcPr>
            <w:tcW w:type="dxa" w:w="3168"/>
            <w:shd w:fill="F9FAFB"/>
            <w:tcMar>
              <w:top w:w="80" w:type="dxa"/>
              <w:bottom w:w="80" w:type="dxa"/>
              <w:left w:w="120" w:type="dxa"/>
              <w:right w:w="120" w:type="dxa"/>
            </w:tcMar>
          </w:tcPr>
          <w:p>
            <w:r>
              <w:rPr>
                <w:rFonts w:ascii="Arial" w:hAnsi="Arial"/>
                <w:color w:val="282D37"/>
                <w:sz w:val="18"/>
              </w:rPr>
              <w:t>Asynchronous fetch API, reactive state management</w:t>
            </w:r>
          </w:p>
        </w:tc>
      </w:tr>
      <w:tr>
        <w:tc>
          <w:tcPr>
            <w:tcW w:type="dxa" w:w="2016"/>
            <w:shd w:fill="FFFFFF"/>
            <w:tcMar>
              <w:top w:w="80" w:type="dxa"/>
              <w:bottom w:w="80" w:type="dxa"/>
              <w:left w:w="120" w:type="dxa"/>
              <w:right w:w="120" w:type="dxa"/>
            </w:tcMar>
          </w:tcPr>
          <w:p>
            <w:r>
              <w:rPr>
                <w:rFonts w:ascii="Arial" w:hAnsi="Arial"/>
                <w:color w:val="282D37"/>
                <w:sz w:val="18"/>
              </w:rPr>
              <w:t>Build Tool</w:t>
            </w:r>
          </w:p>
        </w:tc>
        <w:tc>
          <w:tcPr>
            <w:tcW w:type="dxa" w:w="2304"/>
            <w:shd w:fill="FFFFFF"/>
            <w:tcMar>
              <w:top w:w="80" w:type="dxa"/>
              <w:bottom w:w="80" w:type="dxa"/>
              <w:left w:w="120" w:type="dxa"/>
              <w:right w:w="120" w:type="dxa"/>
            </w:tcMar>
          </w:tcPr>
          <w:p>
            <w:r>
              <w:rPr>
                <w:rFonts w:ascii="Arial" w:hAnsi="Arial"/>
                <w:color w:val="282D37"/>
                <w:sz w:val="18"/>
              </w:rPr>
              <w:t>Apache Maven</w:t>
            </w:r>
          </w:p>
        </w:tc>
        <w:tc>
          <w:tcPr>
            <w:tcW w:type="dxa" w:w="2016"/>
            <w:shd w:fill="FFFFFF"/>
            <w:tcMar>
              <w:top w:w="80" w:type="dxa"/>
              <w:bottom w:w="80" w:type="dxa"/>
              <w:left w:w="120" w:type="dxa"/>
              <w:right w:w="120" w:type="dxa"/>
            </w:tcMar>
          </w:tcPr>
          <w:p>
            <w:r>
              <w:rPr>
                <w:rFonts w:ascii="Arial" w:hAnsi="Arial"/>
                <w:color w:val="282D37"/>
                <w:sz w:val="18"/>
              </w:rPr>
              <w:t>3.9.x</w:t>
            </w:r>
          </w:p>
        </w:tc>
        <w:tc>
          <w:tcPr>
            <w:tcW w:type="dxa" w:w="3168"/>
            <w:shd w:fill="FFFFFF"/>
            <w:tcMar>
              <w:top w:w="80" w:type="dxa"/>
              <w:bottom w:w="80" w:type="dxa"/>
              <w:left w:w="120" w:type="dxa"/>
              <w:right w:w="120" w:type="dxa"/>
            </w:tcMar>
          </w:tcPr>
          <w:p>
            <w:r>
              <w:rPr>
                <w:rFonts w:ascii="Arial" w:hAnsi="Arial"/>
                <w:color w:val="282D37"/>
                <w:sz w:val="18"/>
              </w:rPr>
              <w:t>Build automation, dependency management, test execution</w:t>
            </w:r>
          </w:p>
        </w:tc>
      </w:tr>
    </w:tbl>
    <w:p>
      <w:pPr>
        <w:spacing w:after="120"/>
      </w:pPr>
    </w:p>
    <w:p>
      <w:pPr>
        <w:spacing w:before="260" w:after="80"/>
      </w:pPr>
      <w:r>
        <w:rPr>
          <w:rFonts w:ascii="Arial" w:hAnsi="Arial"/>
          <w:b/>
          <w:color w:val="1F4E79"/>
          <w:sz w:val="24"/>
        </w:rPr>
        <w:t>7.2 GenAI Model Integration &amp; Prompt Engineering</w:t>
      </w:r>
    </w:p>
    <w:p>
      <w:pPr>
        <w:spacing w:before="0" w:after="120" w:line="276" w:lineRule="auto"/>
      </w:pPr>
      <w:r>
        <w:rPr>
          <w:rFonts w:ascii="Arial" w:hAnsi="Arial"/>
          <w:color w:val="232832"/>
          <w:sz w:val="20"/>
        </w:rPr>
        <w:t>StellarIntel utilizes OpenAI's GPT-4o-mini model via the Spring AI ChatModel abstraction. Prompt engineering is structured with strict system-level guardrails: the model is instructed to act as a senior spacecraft telemetry flight director. It is explicitly forbidden from fabricating telemetry measurements or contradicting the deterministic ground-truth anomalies identified by the Java engine. The model must ground its diagnostic narrative exclusively in the provided numerical telemetry and retrieved RAG context chunks.</w:t>
      </w:r>
    </w:p>
    <w:p>
      <w:pPr>
        <w:spacing w:before="0" w:after="120" w:line="276" w:lineRule="auto"/>
      </w:pPr>
      <w:r>
        <w:rPr>
          <w:rFonts w:ascii="Arial" w:hAnsi="Arial"/>
          <w:color w:val="232832"/>
          <w:sz w:val="20"/>
        </w:rPr>
        <w:t>Key Prompt Construction &amp; BeanOutputConverter Code Snippet:</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top w:val="single" w:sz="4" w:space="0" w:color="D1D5DB"/>
              <w:left w:val="single" w:sz="18" w:space="0" w:color="4F46E5"/>
              <w:bottom w:val="single" w:sz="4" w:space="0" w:color="D1D5DB"/>
              <w:right w:val="single" w:sz="4" w:space="0" w:color="D1D5DB"/>
            </w:tcBorders>
          </w:tcPr>
          <w:p>
            <w:pPr>
              <w:spacing w:before="40" w:after="40"/>
            </w:pPr>
            <w:r>
              <w:rPr>
                <w:rFonts w:ascii="Consolas" w:hAnsi="Consolas"/>
                <w:color w:val="1E293B"/>
                <w:sz w:val="17"/>
              </w:rPr>
              <w:t>// From GenAiDiagnosticService.java</w:t>
              <w:br/>
              <w:t>BeanOutputConverter&lt;GenAiDiagnosticResponse&gt; outputConverter =</w:t>
              <w:br/>
              <w:t xml:space="preserve">        new BeanOutputConverter&lt;&gt;(GenAiDiagnosticResponse.class);</w:t>
              <w:br/>
              <w:t>String formatInstructions = outputConverter.getFormat();</w:t>
              <w:br/>
              <w:br/>
              <w:t>String systemPromptText = """</w:t>
              <w:br/>
              <w:t xml:space="preserve">    You are StellarIntel, an expert aerospace telemetry diagnostics AI.</w:t>
              <w:br/>
              <w:t xml:space="preserve">    Analyze spacecraft telemetry against deterministic ground truth and retrieved technical documentation.</w:t>
              <w:br/>
              <w:t xml:space="preserve">    RULES:</w:t>
              <w:br/>
              <w:t xml:space="preserve">    1. Strictly respect the deterministic anomaly classification.</w:t>
              <w:br/>
              <w:t xml:space="preserve">    2. Ground root-cause explanations in the retrieved technical documentation.</w:t>
              <w:br/>
              <w:t xml:space="preserve">    3. Never contradict observed numerical facts.</w:t>
              <w:br/>
              <w:t xml:space="preserve">    4. Format output strictly as JSON matching the requested schema.</w:t>
              <w:br/>
              <w:t xml:space="preserve">    """;</w:t>
              <w:br/>
              <w:br/>
              <w:t>PromptTemplate promptTemplate = new PromptTemplate("""</w:t>
              <w:br/>
              <w:t xml:space="preserve">    Telemetry Snapshot:</w:t>
              <w:br/>
              <w:t xml:space="preserve">    {telemetryJson}</w:t>
              <w:br/>
              <w:t xml:space="preserve">    Deterministic Findings:</w:t>
              <w:br/>
              <w:t xml:space="preserve">    {analysisJson}</w:t>
              <w:br/>
              <w:t xml:space="preserve">    Retrieved Technical Documentation:</w:t>
              <w:br/>
              <w:t xml:space="preserve">    {ragContext}</w:t>
              <w:br/>
              <w:br/>
              <w:t xml:space="preserve">    {formatInstructions}</w:t>
              <w:br/>
              <w:t xml:space="preserve">    """);</w:t>
            </w:r>
          </w:p>
        </w:tc>
      </w:tr>
    </w:tbl>
    <w:p>
      <w:pPr>
        <w:spacing w:after="80"/>
      </w:pPr>
    </w:p>
    <w:p>
      <w:pPr>
        <w:spacing w:before="360" w:after="120"/>
      </w:pPr>
      <w:r>
        <w:rPr>
          <w:rFonts w:ascii="Arial" w:hAnsi="Arial"/>
          <w:b/>
          <w:color w:val="0E356E"/>
          <w:sz w:val="30"/>
        </w:rPr>
        <w:t>8. User Interface / Application Screenshots</w:t>
      </w:r>
    </w:p>
    <w:p>
      <w:pPr>
        <w:spacing w:before="0" w:after="120" w:line="276" w:lineRule="auto"/>
      </w:pPr>
      <w:r>
        <w:rPr>
          <w:rFonts w:ascii="Arial" w:hAnsi="Arial"/>
          <w:color w:val="232832"/>
          <w:sz w:val="20"/>
        </w:rPr>
        <w:t>The StellarIntel Mission Control user interface is designed with a high-contrast, modern aerospace aesthetic. It features dynamic instrument gauges, real-time status banners, glassmorphism cards, and an interactive diagnostic console.</w:t>
      </w:r>
    </w:p>
    <w:tbl>
      <w:tblPr>
        <w:tblW w:type="auto" w:w="0"/>
        <w:jc w:val="center"/>
        <w:tblLayout w:type="fixed"/>
        <w:tblLook w:firstColumn="1" w:firstRow="1" w:lastColumn="0" w:lastRow="0" w:noHBand="0" w:noVBand="1" w:val="04A0"/>
      </w:tblPr>
      <w:tblGrid>
        <w:gridCol w:w="3120"/>
        <w:gridCol w:w="3120"/>
        <w:gridCol w:w="3120"/>
      </w:tblGrid>
      <w:tr>
        <w:tc>
          <w:tcPr>
            <w:tcW w:type="dxa" w:w="2304"/>
            <w:shd w:fill="1F4E79"/>
            <w:tcMar>
              <w:top w:w="100" w:type="dxa"/>
              <w:bottom w:w="100" w:type="dxa"/>
              <w:left w:w="120" w:type="dxa"/>
              <w:right w:w="120" w:type="dxa"/>
            </w:tcMar>
          </w:tcPr>
          <w:p>
            <w:pPr>
              <w:jc w:val="center"/>
            </w:pPr>
            <w:r>
              <w:rPr>
                <w:rFonts w:ascii="Arial" w:hAnsi="Arial"/>
                <w:b/>
                <w:color w:val="FFFFFF"/>
                <w:sz w:val="19"/>
              </w:rPr>
              <w:t>UI Component / Screen</w:t>
            </w:r>
          </w:p>
        </w:tc>
        <w:tc>
          <w:tcPr>
            <w:tcW w:type="dxa" w:w="4032"/>
            <w:shd w:fill="1F4E79"/>
            <w:tcMar>
              <w:top w:w="100" w:type="dxa"/>
              <w:bottom w:w="100" w:type="dxa"/>
              <w:left w:w="120" w:type="dxa"/>
              <w:right w:w="120" w:type="dxa"/>
            </w:tcMar>
          </w:tcPr>
          <w:p>
            <w:pPr>
              <w:jc w:val="center"/>
            </w:pPr>
            <w:r>
              <w:rPr>
                <w:rFonts w:ascii="Arial" w:hAnsi="Arial"/>
                <w:b/>
                <w:color w:val="FFFFFF"/>
                <w:sz w:val="19"/>
              </w:rPr>
              <w:t>Visual Layout &amp; Elements</w:t>
            </w:r>
          </w:p>
        </w:tc>
        <w:tc>
          <w:tcPr>
            <w:tcW w:type="dxa" w:w="3168"/>
            <w:shd w:fill="1F4E79"/>
            <w:tcMar>
              <w:top w:w="100" w:type="dxa"/>
              <w:bottom w:w="100" w:type="dxa"/>
              <w:left w:w="120" w:type="dxa"/>
              <w:right w:w="120" w:type="dxa"/>
            </w:tcMar>
          </w:tcPr>
          <w:p>
            <w:pPr>
              <w:jc w:val="center"/>
            </w:pPr>
            <w:r>
              <w:rPr>
                <w:rFonts w:ascii="Arial" w:hAnsi="Arial"/>
                <w:b/>
                <w:color w:val="FFFFFF"/>
                <w:sz w:val="19"/>
              </w:rPr>
              <w:t>Operational Purpose</w:t>
            </w:r>
          </w:p>
        </w:tc>
      </w:tr>
      <w:tr>
        <w:tc>
          <w:tcPr>
            <w:tcW w:type="dxa" w:w="2304"/>
            <w:shd w:fill="FFFFFF"/>
            <w:tcMar>
              <w:top w:w="80" w:type="dxa"/>
              <w:bottom w:w="80" w:type="dxa"/>
              <w:left w:w="120" w:type="dxa"/>
              <w:right w:w="120" w:type="dxa"/>
            </w:tcMar>
          </w:tcPr>
          <w:p>
            <w:r>
              <w:rPr>
                <w:rFonts w:ascii="Arial" w:hAnsi="Arial"/>
                <w:color w:val="282D37"/>
                <w:sz w:val="18"/>
              </w:rPr>
              <w:t>Mission Control Header</w:t>
            </w:r>
          </w:p>
        </w:tc>
        <w:tc>
          <w:tcPr>
            <w:tcW w:type="dxa" w:w="4032"/>
            <w:shd w:fill="FFFFFF"/>
            <w:tcMar>
              <w:top w:w="80" w:type="dxa"/>
              <w:bottom w:w="80" w:type="dxa"/>
              <w:left w:w="120" w:type="dxa"/>
              <w:right w:w="120" w:type="dxa"/>
            </w:tcMar>
          </w:tcPr>
          <w:p>
            <w:r>
              <w:rPr>
                <w:rFonts w:ascii="Arial" w:hAnsi="Arial"/>
                <w:color w:val="282D37"/>
                <w:sz w:val="18"/>
              </w:rPr>
              <w:t>Spacecraft ID badge, telemetry sync pulse, mission clock, status indicator</w:t>
            </w:r>
          </w:p>
        </w:tc>
        <w:tc>
          <w:tcPr>
            <w:tcW w:type="dxa" w:w="3168"/>
            <w:shd w:fill="FFFFFF"/>
            <w:tcMar>
              <w:top w:w="80" w:type="dxa"/>
              <w:bottom w:w="80" w:type="dxa"/>
              <w:left w:w="120" w:type="dxa"/>
              <w:right w:w="120" w:type="dxa"/>
            </w:tcMar>
          </w:tcPr>
          <w:p>
            <w:r>
              <w:rPr>
                <w:rFonts w:ascii="Arial" w:hAnsi="Arial"/>
                <w:color w:val="282D37"/>
                <w:sz w:val="18"/>
              </w:rPr>
              <w:t>Provides at-a-glance situational awareness of telemetry feed health.</w:t>
            </w:r>
          </w:p>
        </w:tc>
      </w:tr>
      <w:tr>
        <w:tc>
          <w:tcPr>
            <w:tcW w:type="dxa" w:w="2304"/>
            <w:shd w:fill="F9FAFB"/>
            <w:tcMar>
              <w:top w:w="80" w:type="dxa"/>
              <w:bottom w:w="80" w:type="dxa"/>
              <w:left w:w="120" w:type="dxa"/>
              <w:right w:w="120" w:type="dxa"/>
            </w:tcMar>
          </w:tcPr>
          <w:p>
            <w:r>
              <w:rPr>
                <w:rFonts w:ascii="Arial" w:hAnsi="Arial"/>
                <w:color w:val="282D37"/>
                <w:sz w:val="18"/>
              </w:rPr>
              <w:t>Data Ingestion Panel</w:t>
            </w:r>
          </w:p>
        </w:tc>
        <w:tc>
          <w:tcPr>
            <w:tcW w:type="dxa" w:w="4032"/>
            <w:shd w:fill="F9FAFB"/>
            <w:tcMar>
              <w:top w:w="80" w:type="dxa"/>
              <w:bottom w:w="80" w:type="dxa"/>
              <w:left w:w="120" w:type="dxa"/>
              <w:right w:w="120" w:type="dxa"/>
            </w:tcMar>
          </w:tcPr>
          <w:p>
            <w:r>
              <w:rPr>
                <w:rFonts w:ascii="Arial" w:hAnsi="Arial"/>
                <w:color w:val="282D37"/>
                <w:sz w:val="18"/>
              </w:rPr>
              <w:t>Preset profile selector (5 profiles), Load button, JSON editor, 2-row button bar</w:t>
            </w:r>
          </w:p>
        </w:tc>
        <w:tc>
          <w:tcPr>
            <w:tcW w:type="dxa" w:w="3168"/>
            <w:shd w:fill="F9FAFB"/>
            <w:tcMar>
              <w:top w:w="80" w:type="dxa"/>
              <w:bottom w:w="80" w:type="dxa"/>
              <w:left w:w="120" w:type="dxa"/>
              <w:right w:w="120" w:type="dxa"/>
            </w:tcMar>
          </w:tcPr>
          <w:p>
            <w:r>
              <w:rPr>
                <w:rFonts w:ascii="Arial" w:hAnsi="Arial"/>
                <w:color w:val="282D37"/>
                <w:sz w:val="18"/>
              </w:rPr>
              <w:t>Allows operators to inject telemetry via raw JSON or preset orbital profiles.</w:t>
            </w:r>
          </w:p>
        </w:tc>
      </w:tr>
      <w:tr>
        <w:tc>
          <w:tcPr>
            <w:tcW w:type="dxa" w:w="2304"/>
            <w:shd w:fill="FFFFFF"/>
            <w:tcMar>
              <w:top w:w="80" w:type="dxa"/>
              <w:bottom w:w="80" w:type="dxa"/>
              <w:left w:w="120" w:type="dxa"/>
              <w:right w:w="120" w:type="dxa"/>
            </w:tcMar>
          </w:tcPr>
          <w:p>
            <w:r>
              <w:rPr>
                <w:rFonts w:ascii="Arial" w:hAnsi="Arial"/>
                <w:color w:val="282D37"/>
                <w:sz w:val="18"/>
              </w:rPr>
              <w:t>Live Instrument Bus</w:t>
            </w:r>
          </w:p>
        </w:tc>
        <w:tc>
          <w:tcPr>
            <w:tcW w:type="dxa" w:w="4032"/>
            <w:shd w:fill="FFFFFF"/>
            <w:tcMar>
              <w:top w:w="80" w:type="dxa"/>
              <w:bottom w:w="80" w:type="dxa"/>
              <w:left w:w="120" w:type="dxa"/>
              <w:right w:w="120" w:type="dxa"/>
            </w:tcMar>
          </w:tcPr>
          <w:p>
            <w:r>
              <w:rPr>
                <w:rFonts w:ascii="Arial" w:hAnsi="Arial"/>
                <w:color w:val="282D37"/>
                <w:sz w:val="18"/>
              </w:rPr>
              <w:t>Battery Temp gauge, Solar Bus meter, ADCS X/Y dials, Radiation meter</w:t>
            </w:r>
          </w:p>
        </w:tc>
        <w:tc>
          <w:tcPr>
            <w:tcW w:type="dxa" w:w="3168"/>
            <w:shd w:fill="FFFFFF"/>
            <w:tcMar>
              <w:top w:w="80" w:type="dxa"/>
              <w:bottom w:w="80" w:type="dxa"/>
              <w:left w:w="120" w:type="dxa"/>
              <w:right w:w="120" w:type="dxa"/>
            </w:tcMar>
          </w:tcPr>
          <w:p>
            <w:r>
              <w:rPr>
                <w:rFonts w:ascii="Arial" w:hAnsi="Arial"/>
                <w:color w:val="282D37"/>
                <w:sz w:val="18"/>
              </w:rPr>
              <w:t>Visualizes numerical sensor readings against color-coded normal/danger zones.</w:t>
            </w:r>
          </w:p>
        </w:tc>
      </w:tr>
      <w:tr>
        <w:tc>
          <w:tcPr>
            <w:tcW w:type="dxa" w:w="2304"/>
            <w:shd w:fill="F9FAFB"/>
            <w:tcMar>
              <w:top w:w="80" w:type="dxa"/>
              <w:bottom w:w="80" w:type="dxa"/>
              <w:left w:w="120" w:type="dxa"/>
              <w:right w:w="120" w:type="dxa"/>
            </w:tcMar>
          </w:tcPr>
          <w:p>
            <w:r>
              <w:rPr>
                <w:rFonts w:ascii="Arial" w:hAnsi="Arial"/>
                <w:color w:val="282D37"/>
                <w:sz w:val="18"/>
              </w:rPr>
              <w:t>Deterministic Analysis Card</w:t>
            </w:r>
          </w:p>
        </w:tc>
        <w:tc>
          <w:tcPr>
            <w:tcW w:type="dxa" w:w="4032"/>
            <w:shd w:fill="F9FAFB"/>
            <w:tcMar>
              <w:top w:w="80" w:type="dxa"/>
              <w:bottom w:w="80" w:type="dxa"/>
              <w:left w:w="120" w:type="dxa"/>
              <w:right w:w="120" w:type="dxa"/>
            </w:tcMar>
          </w:tcPr>
          <w:p>
            <w:r>
              <w:rPr>
                <w:rFonts w:ascii="Arial" w:hAnsi="Arial"/>
                <w:color w:val="282D37"/>
                <w:sz w:val="18"/>
              </w:rPr>
              <w:t>Derived status badge, anomaly count, KPI bar, structured anomaly table</w:t>
            </w:r>
          </w:p>
        </w:tc>
        <w:tc>
          <w:tcPr>
            <w:tcW w:type="dxa" w:w="3168"/>
            <w:shd w:fill="F9FAFB"/>
            <w:tcMar>
              <w:top w:w="80" w:type="dxa"/>
              <w:bottom w:w="80" w:type="dxa"/>
              <w:left w:w="120" w:type="dxa"/>
              <w:right w:w="120" w:type="dxa"/>
            </w:tcMar>
          </w:tcPr>
          <w:p>
            <w:r>
              <w:rPr>
                <w:rFonts w:ascii="Arial" w:hAnsi="Arial"/>
                <w:color w:val="282D37"/>
                <w:sz w:val="18"/>
              </w:rPr>
              <w:t>Displays authoritative ground-truth anomaly detection without AI ambiguity.</w:t>
            </w:r>
          </w:p>
        </w:tc>
      </w:tr>
      <w:tr>
        <w:tc>
          <w:tcPr>
            <w:tcW w:type="dxa" w:w="2304"/>
            <w:shd w:fill="FFFFFF"/>
            <w:tcMar>
              <w:top w:w="80" w:type="dxa"/>
              <w:bottom w:w="80" w:type="dxa"/>
              <w:left w:w="120" w:type="dxa"/>
              <w:right w:w="120" w:type="dxa"/>
            </w:tcMar>
          </w:tcPr>
          <w:p>
            <w:r>
              <w:rPr>
                <w:rFonts w:ascii="Arial" w:hAnsi="Arial"/>
                <w:color w:val="282D37"/>
                <w:sz w:val="18"/>
              </w:rPr>
              <w:t>Retrieved Knowledge Panel</w:t>
            </w:r>
          </w:p>
        </w:tc>
        <w:tc>
          <w:tcPr>
            <w:tcW w:type="dxa" w:w="4032"/>
            <w:shd w:fill="FFFFFF"/>
            <w:tcMar>
              <w:top w:w="80" w:type="dxa"/>
              <w:bottom w:w="80" w:type="dxa"/>
              <w:left w:w="120" w:type="dxa"/>
              <w:right w:w="120" w:type="dxa"/>
            </w:tcMar>
          </w:tcPr>
          <w:p>
            <w:r>
              <w:rPr>
                <w:rFonts w:ascii="Arial" w:hAnsi="Arial"/>
                <w:color w:val="282D37"/>
                <w:sz w:val="18"/>
              </w:rPr>
              <w:t>Expandable RAG cards with document title, topic, relevance score, preview</w:t>
            </w:r>
          </w:p>
        </w:tc>
        <w:tc>
          <w:tcPr>
            <w:tcW w:type="dxa" w:w="3168"/>
            <w:shd w:fill="FFFFFF"/>
            <w:tcMar>
              <w:top w:w="80" w:type="dxa"/>
              <w:bottom w:w="80" w:type="dxa"/>
              <w:left w:w="120" w:type="dxa"/>
              <w:right w:w="120" w:type="dxa"/>
            </w:tcMar>
          </w:tcPr>
          <w:p>
            <w:r>
              <w:rPr>
                <w:rFonts w:ascii="Arial" w:hAnsi="Arial"/>
                <w:color w:val="282D37"/>
                <w:sz w:val="18"/>
              </w:rPr>
              <w:t>Displays the exact aerospace technical documentation grounding the AI diagnosis.</w:t>
            </w:r>
          </w:p>
        </w:tc>
      </w:tr>
      <w:tr>
        <w:tc>
          <w:tcPr>
            <w:tcW w:type="dxa" w:w="2304"/>
            <w:shd w:fill="F9FAFB"/>
            <w:tcMar>
              <w:top w:w="80" w:type="dxa"/>
              <w:bottom w:w="80" w:type="dxa"/>
              <w:left w:w="120" w:type="dxa"/>
              <w:right w:w="120" w:type="dxa"/>
            </w:tcMar>
          </w:tcPr>
          <w:p>
            <w:r>
              <w:rPr>
                <w:rFonts w:ascii="Arial" w:hAnsi="Arial"/>
                <w:color w:val="282D37"/>
                <w:sz w:val="18"/>
              </w:rPr>
              <w:t>GenAI Command Center</w:t>
            </w:r>
          </w:p>
        </w:tc>
        <w:tc>
          <w:tcPr>
            <w:tcW w:type="dxa" w:w="4032"/>
            <w:shd w:fill="F9FAFB"/>
            <w:tcMar>
              <w:top w:w="80" w:type="dxa"/>
              <w:bottom w:w="80" w:type="dxa"/>
              <w:left w:w="120" w:type="dxa"/>
              <w:right w:w="120" w:type="dxa"/>
            </w:tcMar>
          </w:tcPr>
          <w:p>
            <w:r>
              <w:rPr>
                <w:rFonts w:ascii="Arial" w:hAnsi="Arial"/>
                <w:color w:val="282D37"/>
                <w:sz w:val="18"/>
              </w:rPr>
              <w:t>Diagnostic summary, observed conditions, contributing factors, recommendations</w:t>
            </w:r>
          </w:p>
        </w:tc>
        <w:tc>
          <w:tcPr>
            <w:tcW w:type="dxa" w:w="3168"/>
            <w:shd w:fill="F9FAFB"/>
            <w:tcMar>
              <w:top w:w="80" w:type="dxa"/>
              <w:bottom w:w="80" w:type="dxa"/>
              <w:left w:w="120" w:type="dxa"/>
              <w:right w:w="120" w:type="dxa"/>
            </w:tcMar>
          </w:tcPr>
          <w:p>
            <w:r>
              <w:rPr>
                <w:rFonts w:ascii="Arial" w:hAnsi="Arial"/>
                <w:color w:val="282D37"/>
                <w:sz w:val="18"/>
              </w:rPr>
              <w:t>Presents high-level natural language interpretation and recovery checklists.</w:t>
            </w:r>
          </w:p>
        </w:tc>
      </w:tr>
      <w:tr>
        <w:tc>
          <w:tcPr>
            <w:tcW w:type="dxa" w:w="2304"/>
            <w:shd w:fill="FFFFFF"/>
            <w:tcMar>
              <w:top w:w="80" w:type="dxa"/>
              <w:bottom w:w="80" w:type="dxa"/>
              <w:left w:w="120" w:type="dxa"/>
              <w:right w:w="120" w:type="dxa"/>
            </w:tcMar>
          </w:tcPr>
          <w:p>
            <w:r>
              <w:rPr>
                <w:rFonts w:ascii="Arial" w:hAnsi="Arial"/>
                <w:color w:val="282D37"/>
                <w:sz w:val="18"/>
              </w:rPr>
              <w:t>Automated PDF Report</w:t>
            </w:r>
          </w:p>
        </w:tc>
        <w:tc>
          <w:tcPr>
            <w:tcW w:type="dxa" w:w="4032"/>
            <w:shd w:fill="FFFFFF"/>
            <w:tcMar>
              <w:top w:w="80" w:type="dxa"/>
              <w:bottom w:w="80" w:type="dxa"/>
              <w:left w:w="120" w:type="dxa"/>
              <w:right w:w="120" w:type="dxa"/>
            </w:tcMar>
          </w:tcPr>
          <w:p>
            <w:r>
              <w:rPr>
                <w:rFonts w:ascii="Arial" w:hAnsi="Arial"/>
                <w:color w:val="282D37"/>
                <w:sz w:val="18"/>
              </w:rPr>
              <w:t>Generated PDF with running header, two-pass footer, tables, sanitized filename</w:t>
            </w:r>
          </w:p>
        </w:tc>
        <w:tc>
          <w:tcPr>
            <w:tcW w:type="dxa" w:w="3168"/>
            <w:shd w:fill="FFFFFF"/>
            <w:tcMar>
              <w:top w:w="80" w:type="dxa"/>
              <w:bottom w:w="80" w:type="dxa"/>
              <w:left w:w="120" w:type="dxa"/>
              <w:right w:w="120" w:type="dxa"/>
            </w:tcMar>
          </w:tcPr>
          <w:p>
            <w:r>
              <w:rPr>
                <w:rFonts w:ascii="Arial" w:hAnsi="Arial"/>
                <w:color w:val="282D37"/>
                <w:sz w:val="18"/>
              </w:rPr>
              <w:t>Provides a formal, downloadable flight incident report for engineering reviews.</w:t>
            </w:r>
          </w:p>
        </w:tc>
      </w:tr>
    </w:tbl>
    <w:p>
      <w:pPr>
        <w:spacing w:after="120"/>
      </w:pPr>
    </w:p>
    <w:p>
      <w:pPr>
        <w:spacing w:before="0" w:after="120" w:line="276" w:lineRule="auto"/>
      </w:pPr>
      <w:r>
        <w:rPr>
          <w:rFonts w:ascii="Arial" w:hAnsi="Arial"/>
          <w:color w:val="232832"/>
          <w:sz w:val="20"/>
        </w:rPr>
        <w:t>Preset Flight Profiles Available for Operator Testing:</w:t>
        <w:br/>
        <w:t>1. Nominal Orbit (All Subsystems Standard): Demonstrates nominal baseline operations (Temp: 18.5°C, Voltage: 30.2V, ADCS: &lt;0.02°, Radiation: 0.42 rad/h).</w:t>
        <w:br/>
        <w:t>2. Solar Flare Event (High Radiation): Simulates a coronal proton storm (Radiation: 12.8 rad/h vs 5.0 rad/h threshold).</w:t>
        <w:br/>
        <w:t>3. Reaction Wheel Anomaly (ADCS Perturbation): Simulates momentum wheel friction and pointing drift (Error X: 1.845°, Error Y: -2.312° vs 1.0° limit).</w:t>
        <w:br/>
        <w:t>4. Thermal Anomaly (Elevated Battery Temp): Simulates heat pipe failure (Battery Temp: 52.4°C vs 45.0°C limit).</w:t>
        <w:br/>
        <w:t>5. Multi-Subsystem Cascading Failure: Triggers simultaneous anomalies across EPS, TCS, ADCS, and Radiation sensors, verifying multi-anomaly correlation.</w:t>
      </w:r>
    </w:p>
    <w:p>
      <w:pPr>
        <w:spacing w:before="360" w:after="120"/>
      </w:pPr>
      <w:r>
        <w:rPr>
          <w:rFonts w:ascii="Arial" w:hAnsi="Arial"/>
          <w:b/>
          <w:color w:val="0E356E"/>
          <w:sz w:val="30"/>
        </w:rPr>
        <w:t>9. Challenges and Limitations</w:t>
      </w:r>
    </w:p>
    <w:p>
      <w:pPr>
        <w:spacing w:before="260" w:after="80"/>
      </w:pPr>
      <w:r>
        <w:rPr>
          <w:rFonts w:ascii="Arial" w:hAnsi="Arial"/>
          <w:b/>
          <w:color w:val="1F4E79"/>
          <w:sz w:val="24"/>
        </w:rPr>
        <w:t>9.1 Technical Challenges Encountered &amp; Solutions</w:t>
      </w:r>
    </w:p>
    <w:p>
      <w:pPr>
        <w:pStyle w:val="ListBullet"/>
        <w:spacing w:before="0" w:after="80" w:line="276" w:lineRule="auto"/>
      </w:pPr>
      <w:r>
        <w:rPr>
          <w:rFonts w:ascii="Arial" w:hAnsi="Arial"/>
          <w:b/>
          <w:color w:val="141E2D"/>
          <w:sz w:val="20"/>
        </w:rPr>
        <w:t xml:space="preserve">Preventing AI Hallucinations in High-Stakes Aerospace: </w:t>
      </w:r>
      <w:r>
        <w:rPr>
          <w:rFonts w:ascii="Arial" w:hAnsi="Arial"/>
          <w:color w:val="283241"/>
          <w:sz w:val="20"/>
        </w:rPr>
        <w:t>LLMs frequently hallucinate plausible-sounding technical values. Solved by decoupling numerical anomaly detection (handled deterministically in Java) from diagnostic narrative synthesis, while injecting retrieved technical manuals directly into the prompt.</w:t>
      </w:r>
    </w:p>
    <w:p>
      <w:pPr>
        <w:pStyle w:val="ListBullet"/>
        <w:spacing w:before="0" w:after="80" w:line="276" w:lineRule="auto"/>
      </w:pPr>
      <w:r>
        <w:rPr>
          <w:rFonts w:ascii="Arial" w:hAnsi="Arial"/>
          <w:b/>
          <w:color w:val="141E2D"/>
          <w:sz w:val="20"/>
        </w:rPr>
        <w:t xml:space="preserve">Third-Party API Quota Exhaustion (HTTP 429 Resilience): </w:t>
      </w:r>
      <w:r>
        <w:rPr>
          <w:rFonts w:ascii="Arial" w:hAnsi="Arial"/>
          <w:color w:val="283241"/>
          <w:sz w:val="20"/>
        </w:rPr>
        <w:t>During testing, external OpenAI API credits were exhausted. Rather than allowing the application to fail or crash, an Autonomous Offline Fallback Engine was developed that inspects the deterministic findings and RAG context, synthesizing structured, grounded diagnostics locally.</w:t>
      </w:r>
    </w:p>
    <w:p>
      <w:pPr>
        <w:pStyle w:val="ListBullet"/>
        <w:spacing w:before="0" w:after="80" w:line="276" w:lineRule="auto"/>
      </w:pPr>
      <w:r>
        <w:rPr>
          <w:rFonts w:ascii="Arial" w:hAnsi="Arial"/>
          <w:b/>
          <w:color w:val="141E2D"/>
          <w:sz w:val="20"/>
        </w:rPr>
        <w:t xml:space="preserve">Strict JSON Type-Safety Enforcement: </w:t>
      </w:r>
      <w:r>
        <w:rPr>
          <w:rFonts w:ascii="Arial" w:hAnsi="Arial"/>
          <w:color w:val="283241"/>
          <w:sz w:val="20"/>
        </w:rPr>
        <w:t>LLMs occasionally prepend markdown code ticks or conversational preamble to JSON outputs. Solved by combining Spring AI BeanOutputConverter with a secondary Jackson regex extractor fallback.</w:t>
      </w:r>
    </w:p>
    <w:p>
      <w:pPr>
        <w:pStyle w:val="ListBullet"/>
        <w:spacing w:before="0" w:after="80" w:line="276" w:lineRule="auto"/>
      </w:pPr>
      <w:r>
        <w:rPr>
          <w:rFonts w:ascii="Arial" w:hAnsi="Arial"/>
          <w:b/>
          <w:color w:val="141E2D"/>
          <w:sz w:val="20"/>
        </w:rPr>
        <w:t xml:space="preserve">PDF Dynamic Formatting &amp; Page Numbering: </w:t>
      </w:r>
      <w:r>
        <w:rPr>
          <w:rFonts w:ascii="Arial" w:hAnsi="Arial"/>
          <w:color w:val="283241"/>
          <w:sz w:val="20"/>
        </w:rPr>
        <w:t>OpenPDF requires upfront document construction. Implemented a custom two-pass PdfPageEvent (HeaderFooterPageEvent) that calculates total page count dynamically ('Page X of Y') and injects running headers.</w:t>
      </w:r>
    </w:p>
    <w:p>
      <w:pPr>
        <w:pStyle w:val="ListBullet"/>
        <w:spacing w:before="0" w:after="80" w:line="276" w:lineRule="auto"/>
      </w:pPr>
      <w:r>
        <w:rPr>
          <w:rFonts w:ascii="Arial" w:hAnsi="Arial"/>
          <w:b/>
          <w:color w:val="141E2D"/>
          <w:sz w:val="20"/>
        </w:rPr>
        <w:t xml:space="preserve">UI Viewport Clipping on Action Buttons: </w:t>
      </w:r>
      <w:r>
        <w:rPr>
          <w:rFonts w:ascii="Arial" w:hAnsi="Arial"/>
          <w:color w:val="283241"/>
          <w:sz w:val="20"/>
        </w:rPr>
        <w:t>Packing 4 action buttons into a single 410px width caused button clipping. Resolved by re-architecting into a structured two-row responsive grid.</w:t>
      </w:r>
    </w:p>
    <w:p>
      <w:pPr>
        <w:spacing w:before="260" w:after="80"/>
      </w:pPr>
      <w:r>
        <w:rPr>
          <w:rFonts w:ascii="Arial" w:hAnsi="Arial"/>
          <w:b/>
          <w:color w:val="1F4E79"/>
          <w:sz w:val="24"/>
        </w:rPr>
        <w:t>9.2 System Limitations</w:t>
      </w:r>
    </w:p>
    <w:p>
      <w:pPr>
        <w:pStyle w:val="ListBullet"/>
        <w:spacing w:before="0" w:after="80" w:line="276" w:lineRule="auto"/>
      </w:pPr>
      <w:r>
        <w:rPr>
          <w:rFonts w:ascii="Arial" w:hAnsi="Arial"/>
          <w:b/>
          <w:color w:val="141E2D"/>
          <w:sz w:val="20"/>
        </w:rPr>
        <w:t xml:space="preserve">Simulated Telemetry Environment: </w:t>
      </w:r>
      <w:r>
        <w:rPr>
          <w:rFonts w:ascii="Arial" w:hAnsi="Arial"/>
          <w:color w:val="283241"/>
          <w:sz w:val="20"/>
        </w:rPr>
        <w:t>Telemetry is ingested from simulated orbital profiles rather than live RF ground station transceivers.</w:t>
      </w:r>
    </w:p>
    <w:p>
      <w:pPr>
        <w:pStyle w:val="ListBullet"/>
        <w:spacing w:before="0" w:after="80" w:line="276" w:lineRule="auto"/>
      </w:pPr>
      <w:r>
        <w:rPr>
          <w:rFonts w:ascii="Arial" w:hAnsi="Arial"/>
          <w:b/>
          <w:color w:val="141E2D"/>
          <w:sz w:val="20"/>
        </w:rPr>
        <w:t xml:space="preserve">Point-in-Time Snapshot Analysis: </w:t>
      </w:r>
      <w:r>
        <w:rPr>
          <w:rFonts w:ascii="Arial" w:hAnsi="Arial"/>
          <w:color w:val="283241"/>
          <w:sz w:val="20"/>
        </w:rPr>
        <w:t>The current version evaluates single-packet telemetry snapshots; it does not yet maintain long-term time-series trend forecasting across multiple orbital revolutions.</w:t>
      </w:r>
    </w:p>
    <w:p>
      <w:pPr>
        <w:pStyle w:val="ListBullet"/>
        <w:spacing w:before="0" w:after="80" w:line="276" w:lineRule="auto"/>
      </w:pPr>
      <w:r>
        <w:rPr>
          <w:rFonts w:ascii="Arial" w:hAnsi="Arial"/>
          <w:b/>
          <w:color w:val="141E2D"/>
          <w:sz w:val="20"/>
        </w:rPr>
        <w:t xml:space="preserve">Advisory Decision Support Boundary: </w:t>
      </w:r>
      <w:r>
        <w:rPr>
          <w:rFonts w:ascii="Arial" w:hAnsi="Arial"/>
          <w:color w:val="283241"/>
          <w:sz w:val="20"/>
        </w:rPr>
        <w:t>The system provides recommendations and decision support; human engineering authorization is strictly required for spacecraft operations.</w:t>
      </w:r>
    </w:p>
    <w:p>
      <w:pPr>
        <w:spacing w:before="360" w:after="120"/>
      </w:pPr>
      <w:r>
        <w:rPr>
          <w:rFonts w:ascii="Arial" w:hAnsi="Arial"/>
          <w:b/>
          <w:color w:val="0E356E"/>
          <w:sz w:val="30"/>
        </w:rPr>
        <w:t>10. Conclusion</w:t>
      </w:r>
    </w:p>
    <w:p>
      <w:pPr>
        <w:spacing w:before="0" w:after="120" w:line="276" w:lineRule="auto"/>
      </w:pPr>
      <w:r>
        <w:rPr>
          <w:rFonts w:ascii="Arial" w:hAnsi="Arial"/>
          <w:color w:val="232832"/>
          <w:sz w:val="20"/>
        </w:rPr>
        <w:t>StellarIntel successfully demonstrates the practical, high-impact application of Generative AI and Retrieval-Augmented Generation in aerospace operations. By uniting deterministic numerical anomaly detection with Spring AI's semantic retrieval and Large Language Models, the application solves the critical challenge of flight operator alert fatigue, reduces incident triage time from tens of minutes to sub-second execution, and bridges the gap between raw telemetry data and complex engineering manuals.</w:t>
      </w:r>
    </w:p>
    <w:p>
      <w:pPr>
        <w:spacing w:before="0" w:after="120" w:line="276" w:lineRule="auto"/>
      </w:pPr>
      <w:r>
        <w:rPr>
          <w:rFonts w:ascii="Arial" w:hAnsi="Arial"/>
          <w:color w:val="232832"/>
          <w:sz w:val="20"/>
        </w:rPr>
        <w:t>The project rigorously implemented all planned capabilities across 6 progressive phases—from telemetry validation and deterministic rule engines to domain vector indexing, GenAI diagnostic synthesis, autonomous offline resilience, and automated PDF mission reporting. With 55 automated unit and integration tests passing at 100% build reliability, StellarIntel establishes a robust foundation for modern, AI-assisted satellite mission operations.</w:t>
      </w:r>
    </w:p>
    <w:p>
      <w:pPr>
        <w:spacing w:before="360" w:after="120"/>
      </w:pPr>
      <w:r>
        <w:rPr>
          <w:rFonts w:ascii="Arial" w:hAnsi="Arial"/>
          <w:b/>
          <w:color w:val="0E356E"/>
          <w:sz w:val="30"/>
        </w:rPr>
        <w:t>11. Future Scope</w:t>
      </w:r>
    </w:p>
    <w:p>
      <w:pPr>
        <w:pStyle w:val="ListBullet"/>
        <w:spacing w:before="0" w:after="80" w:line="276" w:lineRule="auto"/>
      </w:pPr>
      <w:r>
        <w:rPr>
          <w:rFonts w:ascii="Arial" w:hAnsi="Arial"/>
          <w:b/>
          <w:color w:val="141E2D"/>
          <w:sz w:val="20"/>
        </w:rPr>
        <w:t xml:space="preserve">Real-Time Streaming Telemetry (Kafka / MQTT): </w:t>
      </w:r>
      <w:r>
        <w:rPr>
          <w:rFonts w:ascii="Arial" w:hAnsi="Arial"/>
          <w:color w:val="283241"/>
          <w:sz w:val="20"/>
        </w:rPr>
        <w:t>Integrate Apache Kafka or MQTT message brokers to ingest high-frequency, continuous telemetry feeds (100 Hz) directly from distributed satellite ground station networks.</w:t>
      </w:r>
    </w:p>
    <w:p>
      <w:pPr>
        <w:pStyle w:val="ListBullet"/>
        <w:spacing w:before="0" w:after="80" w:line="276" w:lineRule="auto"/>
      </w:pPr>
      <w:r>
        <w:rPr>
          <w:rFonts w:ascii="Arial" w:hAnsi="Arial"/>
          <w:b/>
          <w:color w:val="141E2D"/>
          <w:sz w:val="20"/>
        </w:rPr>
        <w:t xml:space="preserve">Predictive Time-Series Anomaly Forecasting: </w:t>
      </w:r>
      <w:r>
        <w:rPr>
          <w:rFonts w:ascii="Arial" w:hAnsi="Arial"/>
          <w:color w:val="283241"/>
          <w:sz w:val="20"/>
        </w:rPr>
        <w:t>Incorporate LSTM neural networks or BigQuery ML time-series forecasting to predict thermal runaway or battery degradation 2 to 3 orbits before hard thresholds are breached.</w:t>
      </w:r>
    </w:p>
    <w:p>
      <w:pPr>
        <w:pStyle w:val="ListBullet"/>
        <w:spacing w:before="0" w:after="80" w:line="276" w:lineRule="auto"/>
      </w:pPr>
      <w:r>
        <w:rPr>
          <w:rFonts w:ascii="Arial" w:hAnsi="Arial"/>
          <w:b/>
          <w:color w:val="141E2D"/>
          <w:sz w:val="20"/>
        </w:rPr>
        <w:t xml:space="preserve">Multimodal Telemetry Diagnostics: </w:t>
      </w:r>
      <w:r>
        <w:rPr>
          <w:rFonts w:ascii="Arial" w:hAnsi="Arial"/>
          <w:color w:val="283241"/>
          <w:sz w:val="20"/>
        </w:rPr>
        <w:t>Expand the GenAI diagnostic layer to accept multimodal inputs, including onboard star tracker optical imagery, thermal camera captures, and RF spectrum waterfall plots.</w:t>
      </w:r>
    </w:p>
    <w:p>
      <w:pPr>
        <w:pStyle w:val="ListBullet"/>
        <w:spacing w:before="0" w:after="80" w:line="276" w:lineRule="auto"/>
      </w:pPr>
      <w:r>
        <w:rPr>
          <w:rFonts w:ascii="Arial" w:hAnsi="Arial"/>
          <w:b/>
          <w:color w:val="141E2D"/>
          <w:sz w:val="20"/>
        </w:rPr>
        <w:t xml:space="preserve">Automated Telecommand Script Generation: </w:t>
      </w:r>
      <w:r>
        <w:rPr>
          <w:rFonts w:ascii="Arial" w:hAnsi="Arial"/>
          <w:color w:val="283241"/>
          <w:sz w:val="20"/>
        </w:rPr>
        <w:t>Generate standardized spacecraft telecommand sequences (e.g., commanding solar array slewing or wheel desaturation) with cryptographic signing and human-in-the-loop review.</w:t>
      </w:r>
    </w:p>
    <w:p>
      <w:pPr>
        <w:pStyle w:val="ListBullet"/>
        <w:spacing w:before="0" w:after="80" w:line="276" w:lineRule="auto"/>
      </w:pPr>
      <w:r>
        <w:rPr>
          <w:rFonts w:ascii="Arial" w:hAnsi="Arial"/>
          <w:b/>
          <w:color w:val="141E2D"/>
          <w:sz w:val="20"/>
        </w:rPr>
        <w:t xml:space="preserve">Cloud-Native Containerized Deployment: </w:t>
      </w:r>
      <w:r>
        <w:rPr>
          <w:rFonts w:ascii="Arial" w:hAnsi="Arial"/>
          <w:color w:val="283241"/>
          <w:sz w:val="20"/>
        </w:rPr>
        <w:t>Package the application as a lightweight Docker container for autoscaling deployment on Google Cloud Run or Kubernetes clusters.</w:t>
      </w:r>
    </w:p>
    <w:p>
      <w:pPr>
        <w:spacing w:before="360" w:after="120"/>
      </w:pPr>
      <w:r>
        <w:rPr>
          <w:rFonts w:ascii="Arial" w:hAnsi="Arial"/>
          <w:b/>
          <w:color w:val="0E356E"/>
          <w:sz w:val="30"/>
        </w:rPr>
        <w:t>12. References</w:t>
      </w:r>
    </w:p>
    <w:p>
      <w:pPr>
        <w:pStyle w:val="ListBullet"/>
        <w:spacing w:before="0" w:after="80" w:line="276" w:lineRule="auto"/>
      </w:pPr>
      <w:r>
        <w:rPr>
          <w:rFonts w:ascii="Arial" w:hAnsi="Arial"/>
          <w:b/>
          <w:color w:val="141E2D"/>
          <w:sz w:val="20"/>
        </w:rPr>
        <w:t xml:space="preserve">1. Spring AI Reference Documentation (v1.0.0-M3): </w:t>
      </w:r>
      <w:r>
        <w:rPr>
          <w:rFonts w:ascii="Arial" w:hAnsi="Arial"/>
          <w:color w:val="283241"/>
          <w:sz w:val="20"/>
        </w:rPr>
        <w:t>VMware Tanzu / Pivotal Software. 'Spring AI: AI Engineering Framework for Java Applications', https://docs.spring.io/spring-ai/reference/</w:t>
      </w:r>
    </w:p>
    <w:p>
      <w:pPr>
        <w:pStyle w:val="ListBullet"/>
        <w:spacing w:before="0" w:after="80" w:line="276" w:lineRule="auto"/>
      </w:pPr>
      <w:r>
        <w:rPr>
          <w:rFonts w:ascii="Arial" w:hAnsi="Arial"/>
          <w:b/>
          <w:color w:val="141E2D"/>
          <w:sz w:val="20"/>
        </w:rPr>
        <w:t xml:space="preserve">2. OpenAI API Documentation: </w:t>
      </w:r>
      <w:r>
        <w:rPr>
          <w:rFonts w:ascii="Arial" w:hAnsi="Arial"/>
          <w:color w:val="283241"/>
          <w:sz w:val="20"/>
        </w:rPr>
        <w:t>OpenAI. 'GPT-4o and GPT-4o-mini Models for Structured Diagnostic Reasoning and System Prompts', https://platform.openai.com/docs/</w:t>
      </w:r>
    </w:p>
    <w:p>
      <w:pPr>
        <w:pStyle w:val="ListBullet"/>
        <w:spacing w:before="0" w:after="80" w:line="276" w:lineRule="auto"/>
      </w:pPr>
      <w:r>
        <w:rPr>
          <w:rFonts w:ascii="Arial" w:hAnsi="Arial"/>
          <w:b/>
          <w:color w:val="141E2D"/>
          <w:sz w:val="20"/>
        </w:rPr>
        <w:t xml:space="preserve">3. NASA Satellite Subsystem Engineering Handbooks: </w:t>
      </w:r>
      <w:r>
        <w:rPr>
          <w:rFonts w:ascii="Arial" w:hAnsi="Arial"/>
          <w:color w:val="283241"/>
          <w:sz w:val="20"/>
        </w:rPr>
        <w:t>National Aeronautics and Space Administration (NASA). 'Attitude Determination and Control Subsystem (ADCS) &amp; Electrical Power Subsystem (EPS) Flight Guidelines', NASA Technical Reports Server (NTRS), NASA SP-2016-6105.</w:t>
      </w:r>
    </w:p>
    <w:p>
      <w:pPr>
        <w:pStyle w:val="ListBullet"/>
        <w:spacing w:before="0" w:after="80" w:line="276" w:lineRule="auto"/>
      </w:pPr>
      <w:r>
        <w:rPr>
          <w:rFonts w:ascii="Arial" w:hAnsi="Arial"/>
          <w:b/>
          <w:color w:val="141E2D"/>
          <w:sz w:val="20"/>
        </w:rPr>
        <w:t xml:space="preserve">4. European Space Agency (ESA) Telemetry Standards: </w:t>
      </w:r>
      <w:r>
        <w:rPr>
          <w:rFonts w:ascii="Arial" w:hAnsi="Arial"/>
          <w:color w:val="283241"/>
          <w:sz w:val="20"/>
        </w:rPr>
        <w:t>European Cooperation for Space Standardization (ECSS). 'Telemetry and Telecommand Packet Utilization Standard (PUS)', ECSS-E-ST-70-41C.</w:t>
      </w:r>
    </w:p>
    <w:p>
      <w:pPr>
        <w:pStyle w:val="ListBullet"/>
        <w:spacing w:before="0" w:after="80" w:line="276" w:lineRule="auto"/>
      </w:pPr>
      <w:r>
        <w:rPr>
          <w:rFonts w:ascii="Arial" w:hAnsi="Arial"/>
          <w:b/>
          <w:color w:val="141E2D"/>
          <w:sz w:val="20"/>
        </w:rPr>
        <w:t xml:space="preserve">5. Retrieval-Augmented Generation for Knowledge-Intensive NLP Tasks: </w:t>
      </w:r>
      <w:r>
        <w:rPr>
          <w:rFonts w:ascii="Arial" w:hAnsi="Arial"/>
          <w:color w:val="283241"/>
          <w:sz w:val="20"/>
        </w:rPr>
        <w:t>Lewis, P., Perez, E., Piktus, A., et al. (2020). Advances in Neural Information Processing Systems (NeurIPS 2020), 33, 9459-9474.</w:t>
      </w:r>
    </w:p>
    <w:p>
      <w:pPr>
        <w:pStyle w:val="ListBullet"/>
        <w:spacing w:before="0" w:after="80" w:line="276" w:lineRule="auto"/>
      </w:pPr>
      <w:r>
        <w:rPr>
          <w:rFonts w:ascii="Arial" w:hAnsi="Arial"/>
          <w:b/>
          <w:color w:val="141E2D"/>
          <w:sz w:val="20"/>
        </w:rPr>
        <w:t xml:space="preserve">6. OpenPDF Documentation: </w:t>
      </w:r>
      <w:r>
        <w:rPr>
          <w:rFonts w:ascii="Arial" w:hAnsi="Arial"/>
          <w:color w:val="283241"/>
          <w:sz w:val="20"/>
        </w:rPr>
        <w:t>LibrePDF. 'OpenPDF: Open Source Java Library for PDF Generation and Modification (Fork of iText)', https://github.com/LibrePDF/OpenPDF</w:t>
      </w:r>
    </w:p>
    <w:p>
      <w:pPr>
        <w:pStyle w:val="ListBullet"/>
        <w:spacing w:before="0" w:after="80" w:line="276" w:lineRule="auto"/>
      </w:pPr>
      <w:r>
        <w:rPr>
          <w:rFonts w:ascii="Arial" w:hAnsi="Arial"/>
          <w:b/>
          <w:color w:val="141E2D"/>
          <w:sz w:val="20"/>
        </w:rPr>
        <w:t xml:space="preserve">7. Spring Boot 3.3 Reference Manual: </w:t>
      </w:r>
      <w:r>
        <w:rPr>
          <w:rFonts w:ascii="Arial" w:hAnsi="Arial"/>
          <w:color w:val="283241"/>
          <w:sz w:val="20"/>
        </w:rPr>
        <w:t>Spring IO. 'Spring Boot Reference Documentation: Enterprise Production-Ready Applications', https://docs.spring.io/spring-boot/docs/3.3.4/reference/html/</w:t>
      </w:r>
    </w:p>
    <w:p>
      <w:pPr>
        <w:pStyle w:val="ListBullet"/>
        <w:spacing w:before="0" w:after="80" w:line="276" w:lineRule="auto"/>
      </w:pPr>
      <w:r>
        <w:rPr>
          <w:rFonts w:ascii="Arial" w:hAnsi="Arial"/>
          <w:b/>
          <w:color w:val="141E2D"/>
          <w:sz w:val="20"/>
        </w:rPr>
        <w:t xml:space="preserve">8. Project Repository: </w:t>
      </w:r>
      <w:r>
        <w:rPr>
          <w:rFonts w:ascii="Arial" w:hAnsi="Arial"/>
          <w:color w:val="283241"/>
          <w:sz w:val="20"/>
        </w:rPr>
        <w:t>StellarIntel Satellite Telemetry Analysis AI Platform, G H Patel College of Engineering And Technology, Academic Year Pre-Final (2026-2027).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