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left"/>
      </w:pPr>
      <w:r>
        <w:rPr>
          <w:b/>
          <w:color w:val="0F172A"/>
          <w:sz w:val="52"/>
        </w:rPr>
        <w:t>Identity Context Protocol (ICP) Server</w:t>
      </w:r>
    </w:p>
    <w:p>
      <w:pPr>
        <w:spacing w:after="480"/>
      </w:pPr>
      <w:r>
        <w:rPr>
          <w:i/>
          <w:color w:val="475569"/>
          <w:sz w:val="28"/>
        </w:rPr>
        <w:t>Product Requirement Document (PRD) — Exhaustive Enterprise Architecture</w:t>
      </w:r>
    </w:p>
    <w:p>
      <w:pPr>
        <w:spacing w:after="800"/>
      </w:pPr>
      <w:r>
        <w:rPr>
          <w:color w:val="475569"/>
          <w:sz w:val="20"/>
        </w:rPr>
        <w:t>Author: Principal IAM Cyber Architect</w:t>
        <w:br/>
        <w:t>Target Ecosystem: Model Context Protocol (MCP) Middleware</w:t>
        <w:br/>
        <w:t>Integrations: Ping Identity &amp; Microsoft Entra ID</w:t>
        <w:br/>
        <w:t>Date: May 2026</w:t>
        <w:br/>
        <w:t>Version: 1.0.0</w:t>
      </w:r>
    </w:p>
    <w:p>
      <w:pPr>
        <w:spacing w:after="600"/>
        <w:pBdr>
          <w:bottom w:val="single" w:sz="12" w:space="1" w:color="475569"/>
        </w:pBdr>
      </w:pPr>
    </w:p>
    <w:p>
      <w:pPr>
        <w:keepNext/>
        <w:spacing w:before="480" w:after="160"/>
      </w:pPr>
      <w:r>
        <w:rPr>
          <w:b/>
          <w:color w:val="0F172A"/>
          <w:sz w:val="36"/>
        </w:rPr>
        <w:t>1. Executive Summary &amp; Problem Landscape</w:t>
      </w:r>
    </w:p>
    <w:p>
      <w:pPr>
        <w:spacing w:after="160" w:line="276" w:lineRule="auto"/>
      </w:pPr>
      <w:r>
        <w:rPr>
          <w:color w:val="334155"/>
          <w:sz w:val="22"/>
        </w:rPr>
        <w:t>Traditional Identity and Access Management (IAM) frameworks (OIDC, OAuth2, SAML) operate under a foundational premise: that a human operator acts directly via a deterministic client user interface. With the rapid emergence of the Model Context Protocol (MCP) and autonomous AI Agent ecosystems, this architectural premise is broken. Enterprise AI agents routinely act on behalf of human users but execute arbitrary decision-making loops completely isolated from the primary identity session.</w:t>
      </w:r>
    </w:p>
    <w:p>
      <w:pPr>
        <w:spacing w:after="160" w:line="276" w:lineRule="auto"/>
      </w:pPr>
      <w:r>
        <w:rPr>
          <w:color w:val="334155"/>
          <w:sz w:val="22"/>
        </w:rPr>
        <w:t>The Identity Context Protocol (ICP) Server resolves this runtime security blind spot. Operating as a Node.js/TypeScript stateless middleware compliant with the official MCP specification, the ICP server intercepts agent actions out-of-band, securely brokers real-time session metadata from identity providers (IdPs) like Ping Identity and Microsoft Entra ID, sanitizes sensitive data fields, and delivers a context-aware safety evaluation object directly to the execution pipeline.</w:t>
      </w:r>
    </w:p>
    <w:p>
      <w:pPr>
        <w:keepNext/>
        <w:spacing w:before="320" w:after="120"/>
      </w:pPr>
      <w:r>
        <w:rPr>
          <w:b/>
          <w:color w:val="0F172A"/>
          <w:sz w:val="28"/>
        </w:rPr>
        <w:t>1.1 Critical Vulnerability Vectors Addressed</w:t>
      </w:r>
    </w:p>
    <w:p>
      <w:pPr>
        <w:pStyle w:val="ListBullet"/>
        <w:spacing w:after="80"/>
      </w:pPr>
      <w:r>
        <w:rPr>
          <w:b/>
          <w:color w:val="0F172A"/>
        </w:rPr>
        <w:t xml:space="preserve">The Identity Fragmentation Vector: </w:t>
      </w:r>
      <w:r>
        <w:rPr>
          <w:color w:val="334155"/>
        </w:rPr>
        <w:t>Downstream corporate targets see API actions originating from a generic service principal or broad workload identity assigned to the AI cluster, completely destroying user-level non-repudiation and auditability.</w:t>
      </w:r>
    </w:p>
    <w:p>
      <w:pPr>
        <w:pStyle w:val="ListBullet"/>
        <w:spacing w:after="80"/>
      </w:pPr>
      <w:r>
        <w:rPr>
          <w:b/>
          <w:color w:val="0F172A"/>
        </w:rPr>
        <w:t xml:space="preserve">The Token Exfiltration Vector: </w:t>
      </w:r>
      <w:r>
        <w:rPr>
          <w:color w:val="334155"/>
        </w:rPr>
        <w:t>Directly passing raw corporate OIDC/OAuth2 bearer tokens into LLM prompts to allow the agent to invoke tools introduces fatal risks. An indirect prompt injection can force the model to leak raw cryptographic tokens to malicious external listeners.</w:t>
      </w:r>
    </w:p>
    <w:p>
      <w:pPr>
        <w:pStyle w:val="ListBullet"/>
        <w:spacing w:after="80"/>
      </w:pPr>
      <w:r>
        <w:rPr>
          <w:b/>
          <w:color w:val="0F172A"/>
        </w:rPr>
        <w:t xml:space="preserve">The Multi-Hop Delegation Blind Spot: </w:t>
      </w:r>
      <w:r>
        <w:rPr>
          <w:color w:val="334155"/>
        </w:rPr>
        <w:t>Complex multi-agent orchestrations involve a Primary Agent programmatically spinning up downstream Sub-Agents. Over multiple hops, the connection back to the authorizing human root principal degrades entirely, leading to unchecked privilege escalation.</w:t>
      </w:r>
    </w:p>
    <w:p>
      <w:pPr>
        <w:keepNext/>
        <w:spacing w:before="480" w:after="160"/>
      </w:pPr>
      <w:r>
        <w:rPr>
          <w:b/>
          <w:color w:val="0F172A"/>
          <w:sz w:val="36"/>
        </w:rPr>
        <w:t>2. Definitive Component &amp; Persona Boundaries</w:t>
      </w:r>
    </w:p>
    <w:p>
      <w:pPr>
        <w:spacing w:after="160" w:line="276" w:lineRule="auto"/>
      </w:pPr>
      <w:r>
        <w:rPr>
          <w:color w:val="334155"/>
          <w:sz w:val="22"/>
        </w:rPr>
        <w:t>To guarantee a zero-trust architecture, the ICP design explicitly segregates execution scope and cryptographic tokens based on clear operational boundaries:</w:t>
      </w:r>
    </w:p>
    <w:p>
      <w:pPr>
        <w:pStyle w:val="ListBullet"/>
        <w:spacing w:after="80"/>
      </w:pPr>
      <w:r>
        <w:rPr>
          <w:b/>
          <w:color w:val="0F172A"/>
        </w:rPr>
        <w:t xml:space="preserve">Root Principal (Proot): </w:t>
      </w:r>
      <w:r>
        <w:rPr>
          <w:color w:val="334155"/>
        </w:rPr>
        <w:t>The human enterprise employee (e.g., Sarah Johnson from GE Aviation) initiating the workflow session. Proot authenticates via a corporate browser session using Ping Identity or Microsoft Entra ID, receiving a cryptographically signed OAuth2 access token (JWTraw).</w:t>
      </w:r>
    </w:p>
    <w:p>
      <w:pPr>
        <w:pStyle w:val="ListBullet"/>
        <w:spacing w:after="80"/>
      </w:pPr>
      <w:r>
        <w:rPr>
          <w:b/>
          <w:color w:val="0F172A"/>
        </w:rPr>
        <w:t xml:space="preserve">Primary Agent / MCP Host (Aprimary): </w:t>
      </w:r>
      <w:r>
        <w:rPr>
          <w:color w:val="334155"/>
        </w:rPr>
        <w:t>The conversational LLM wrapper or workspace shell (e.g., corporate Claude Desktop or LangChain orchestration engine) interacting directly with Proot. Aprimary functions as the Token Isolation Firewall—storing JWTraw in secure host environment variables entirely inaccessible to the model prompt window.</w:t>
      </w:r>
    </w:p>
    <w:p>
      <w:pPr>
        <w:pStyle w:val="ListBullet"/>
        <w:spacing w:after="80"/>
      </w:pPr>
      <w:r>
        <w:rPr>
          <w:b/>
          <w:color w:val="0F172A"/>
        </w:rPr>
        <w:t xml:space="preserve">Sub-Agent / Worker Node (Asub): </w:t>
      </w:r>
      <w:r>
        <w:rPr>
          <w:color w:val="334155"/>
        </w:rPr>
        <w:t>Transient, programmatic background micro-agents spawned directly by Aprimary to execute specialized tasks. Asub operates completely down the pipeline and communicates through standardized MCP tool call strings.</w:t>
      </w:r>
    </w:p>
    <w:p>
      <w:pPr>
        <w:pStyle w:val="ListBullet"/>
        <w:spacing w:after="80"/>
      </w:pPr>
      <w:r>
        <w:rPr>
          <w:b/>
          <w:color w:val="0F172A"/>
        </w:rPr>
        <w:t xml:space="preserve">ICP Server (Sicp): </w:t>
      </w:r>
      <w:r>
        <w:rPr>
          <w:color w:val="334155"/>
        </w:rPr>
        <w:t>The stateless engine built in Node.js/TypeScript that acts as the centralized IAM oracle for the agents. It validates injected tokens against enterprise IdPs, applies dynamic mathematical risk analysis, strips PII, and returns a sanitized JSON context schema.</w:t>
      </w:r>
    </w:p>
    <w:p>
      <w:pPr>
        <w:keepNext/>
        <w:spacing w:before="480" w:after="160"/>
      </w:pPr>
      <w:r>
        <w:rPr>
          <w:b/>
          <w:color w:val="0F172A"/>
          <w:sz w:val="36"/>
        </w:rPr>
        <w:t>3. Operational System Control Flow</w:t>
      </w:r>
    </w:p>
    <w:p>
      <w:pPr>
        <w:spacing w:after="160" w:line="276" w:lineRule="auto"/>
      </w:pPr>
      <w:r>
        <w:rPr>
          <w:color w:val="334155"/>
          <w:sz w:val="22"/>
        </w:rPr>
        <w:t>The system topology executes a strict out-of-band handshake, preventing the underlying large language model from directly handling, parsing, or interacting with raw security credentials.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0F172A"/>
              <w:bottom w:val="none"/>
              <w:right w:val="none"/>
            </w:tcBorders>
          </w:tcPr>
          <w:p>
            <w:pPr>
              <w:spacing w:after="0" w:line="240" w:lineRule="auto"/>
            </w:pPr>
            <w:r>
              <w:rPr>
                <w:rFonts w:ascii="Consolas" w:hAnsi="Consolas"/>
                <w:color w:val="0F172A"/>
                <w:sz w:val="19"/>
              </w:rPr>
              <w:t xml:space="preserve">  [ Human Operator (Sarah) ] </w:t>
              <w:br/>
              <w:t xml:space="preserve">               │</w:t>
              <w:br/>
              <w:t xml:space="preserve">       1. Standard Auth Call (Ping / Entra ID)</w:t>
              <w:br/>
              <w:t xml:space="preserve">               ▼</w:t>
              <w:br/>
              <w:t xml:space="preserve">  +------------------------+             +--------------------------+</w:t>
              <w:br/>
              <w:t xml:space="preserve">  |     Primary Agent      |             |   Enterprise Identity    |</w:t>
              <w:br/>
              <w:t xml:space="preserve">  | (Token Isolation Layer)|             | Provider (Ping / Entra)  |</w:t>
              <w:br/>
              <w:t xml:space="preserve">  +-----------+------------+             +------------+-------------+</w:t>
              <w:br/>
              <w:t xml:space="preserve">              │                                       ▲</w:t>
              <w:br/>
              <w:t xml:space="preserve">       2. Delegate Task (Prompt + Metadata)           │</w:t>
              <w:br/>
              <w:t xml:space="preserve">              ▼                                4. Introspect &amp; Fetch</w:t>
              <w:br/>
              <w:t xml:space="preserve">  +------------------------+                      Telemetry Data</w:t>
              <w:br/>
              <w:t xml:space="preserve">  |       Sub-Agent        |                          │</w:t>
              <w:br/>
              <w:t xml:space="preserve">  |  (Data-Fetching Bot)   |                          ▼</w:t>
              <w:br/>
              <w:t xml:space="preserve">  +-----------+------------+             +--------------------------+</w:t>
              <w:br/>
              <w:t xml:space="preserve">              │                          |    ICP Middleware Svr    |</w:t>
              <w:br/>
              <w:t xml:space="preserve">              └────── 3. MCP Tool Call ─&gt;|   (Node.js / TypeScript) |</w:t>
              <w:br/>
              <w:t xml:space="preserve">                     get_identity_ctx()  +------------+-------------+</w:t>
              <w:br/>
              <w:t xml:space="preserve">                                                      │</w:t>
              <w:br/>
              <w:t xml:space="preserve">                                         5. Return Safe JSON Payload</w:t>
              <w:br/>
              <w:t xml:space="preserve">                                            (No raw tokens / No PII)</w:t>
              <w:br/>
              <w:t xml:space="preserve">                                                      ▼</w:t>
              <w:br/>
              <w:t xml:space="preserve">                                         [ Verified Execution Loop ]</w:t>
            </w:r>
          </w:p>
        </w:tc>
      </w:tr>
    </w:tbl>
    <w:p>
      <w:pPr>
        <w:spacing w:before="0" w:after="160"/>
      </w:pPr>
    </w:p>
    <w:p>
      <w:pPr>
        <w:keepNext/>
        <w:spacing w:before="320" w:after="120"/>
      </w:pPr>
      <w:r>
        <w:rPr>
          <w:b/>
          <w:color w:val="0F172A"/>
          <w:sz w:val="28"/>
        </w:rPr>
        <w:t>3.1 Step-by-Step Technical Execution Sequence</w:t>
      </w:r>
    </w:p>
    <w:p>
      <w:pPr>
        <w:pStyle w:val="ListBullet"/>
        <w:spacing w:after="80"/>
      </w:pPr>
      <w:r>
        <w:rPr>
          <w:b/>
          <w:color w:val="0F172A"/>
        </w:rPr>
        <w:t xml:space="preserve">Step 1: Session Initiation — </w:t>
      </w:r>
      <w:r>
        <w:rPr>
          <w:color w:val="334155"/>
        </w:rPr>
        <w:t>The human operator logs into the enterprise gateway. The host wrapper secures the active OAuth2/OIDC access token (JWTraw) safely in out-of-band application memory.</w:t>
      </w:r>
    </w:p>
    <w:p>
      <w:pPr>
        <w:pStyle w:val="ListBullet"/>
        <w:spacing w:after="80"/>
      </w:pPr>
      <w:r>
        <w:rPr>
          <w:b/>
          <w:color w:val="0F172A"/>
        </w:rPr>
        <w:t xml:space="preserve">Step 2: Sub-Agent Spawning — </w:t>
      </w:r>
      <w:r>
        <w:rPr>
          <w:color w:val="334155"/>
        </w:rPr>
        <w:t>The operator asks the primary agent to scan telemetry. The primary agent provisions an ephemeral sub-agent to connect to internal infrastructure, passing a tracking provenance chain but keeping the raw token locked in the firewall memory wrapper.</w:t>
      </w:r>
    </w:p>
    <w:p>
      <w:pPr>
        <w:pStyle w:val="ListBullet"/>
        <w:spacing w:after="80"/>
      </w:pPr>
      <w:r>
        <w:rPr>
          <w:b/>
          <w:color w:val="0F172A"/>
        </w:rPr>
        <w:t xml:space="preserve">Step 3: The ICP Handshake — </w:t>
      </w:r>
      <w:r>
        <w:rPr>
          <w:color w:val="334155"/>
        </w:rPr>
        <w:t>Before executing any backend queries, the sub-agent fires the mandatory MCP tool: get_user_identity_context(). The host environment injects the token and provider string into the parameters behind the scenes, out of the model's sight.</w:t>
      </w:r>
    </w:p>
    <w:p>
      <w:pPr>
        <w:pStyle w:val="ListBullet"/>
        <w:spacing w:after="80"/>
      </w:pPr>
      <w:r>
        <w:rPr>
          <w:b/>
          <w:color w:val="0F172A"/>
        </w:rPr>
        <w:t xml:space="preserve">Step 4: Cryptographic Introspection — </w:t>
      </w:r>
      <w:r>
        <w:rPr>
          <w:color w:val="334155"/>
        </w:rPr>
        <w:t>The ICP server intercepts the payload. It skips text processing and makes a direct backend call over an internal TLS 1.3 pipeline to the enterprise IdP introspection endpoint, extracting token life indicators, MFA status flags, and device posture matrices.</w:t>
      </w:r>
    </w:p>
    <w:p>
      <w:pPr>
        <w:pStyle w:val="ListBullet"/>
        <w:spacing w:after="80"/>
      </w:pPr>
      <w:r>
        <w:rPr>
          <w:b/>
          <w:color w:val="0F172A"/>
        </w:rPr>
        <w:t xml:space="preserve">Step 5: Masked Context Delivery — </w:t>
      </w:r>
      <w:r>
        <w:rPr>
          <w:color w:val="334155"/>
        </w:rPr>
        <w:t>The ICP server hashes user identifiers, resolves active directory groups to permission matrices, and transmits a totally sanitized JSON configuration context back to the agent engine inside sub-200 milliseconds.</w:t>
      </w:r>
    </w:p>
    <w:p>
      <w:pPr>
        <w:keepNext/>
        <w:spacing w:before="480" w:after="160"/>
      </w:pPr>
      <w:r>
        <w:rPr>
          <w:b/>
          <w:color w:val="0F172A"/>
          <w:sz w:val="36"/>
        </w:rPr>
        <w:t>4. Mathematical Risk &amp; Safety Telemetry Engine</w:t>
      </w:r>
    </w:p>
    <w:p>
      <w:pPr>
        <w:spacing w:after="160" w:line="276" w:lineRule="auto"/>
      </w:pPr>
      <w:r>
        <w:rPr>
          <w:color w:val="334155"/>
          <w:sz w:val="22"/>
        </w:rPr>
        <w:t>To provide proactive defense rather than static parameter verification, the ICP Server runs every session through a dynamic multi-factor mathematical calculation model to yield a definitive runtime Agent Risk Score (R_agent) scaled between 0 and 100.</w:t>
      </w:r>
    </w:p>
    <w:p>
      <w:pPr>
        <w:spacing w:after="160" w:line="276" w:lineRule="auto"/>
      </w:pPr>
      <w:r>
        <w:rPr>
          <w:color w:val="334155"/>
          <w:sz w:val="22"/>
        </w:rPr>
        <w:t>The engine evaluates risk using weighted operational vectors across the identity ecosystem, defined as:</w:t>
      </w:r>
    </w:p>
    <w:p>
      <w:pPr>
        <w:spacing w:after="160" w:line="276" w:lineRule="auto"/>
      </w:pPr>
      <w:r>
        <w:rPr>
          <w:color w:val="334155"/>
          <w:sz w:val="22"/>
        </w:rPr>
        <w:t>R_agent = (W_mfa * S_mfa) + (W_age * S_age) + (W_net * S_net) + (W_prov * S_prov)</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2340"/>
        <w:gridCol w:w="2340"/>
        <w:gridCol w:w="2340"/>
        <w:gridCol w:w="2340"/>
      </w:tblGrid>
      <w:tr>
        <w:tc>
          <w:tcPr>
            <w:tcW w:type="dxa" w:w="2340"/>
            <w:shd w:fill="0F172A"/>
            <w:tcMar>
              <w:top w:w="120" w:type="dxa"/>
              <w:bottom w:w="120" w:type="dxa"/>
              <w:left w:w="150" w:type="dxa"/>
              <w:right w:w="150" w:type="dxa"/>
            </w:tcMar>
          </w:tcPr>
          <w:p>
            <w:pPr>
              <w:jc w:val="left"/>
            </w:pPr>
            <w:r>
              <w:rPr>
                <w:b/>
                <w:color w:val="FFFFFF"/>
                <w:sz w:val="20"/>
              </w:rPr>
              <w:t>Risk Vector Component</w:t>
            </w:r>
          </w:p>
        </w:tc>
        <w:tc>
          <w:tcPr>
            <w:tcW w:type="dxa" w:w="2340"/>
            <w:shd w:fill="0F172A"/>
            <w:tcMar>
              <w:top w:w="120" w:type="dxa"/>
              <w:bottom w:w="120" w:type="dxa"/>
              <w:left w:w="150" w:type="dxa"/>
              <w:right w:w="150" w:type="dxa"/>
            </w:tcMar>
          </w:tcPr>
          <w:p>
            <w:pPr>
              <w:jc w:val="left"/>
            </w:pPr>
            <w:r>
              <w:rPr>
                <w:b/>
                <w:color w:val="FFFFFF"/>
                <w:sz w:val="20"/>
              </w:rPr>
              <w:t>Variable Coefficient</w:t>
            </w:r>
          </w:p>
        </w:tc>
        <w:tc>
          <w:tcPr>
            <w:tcW w:type="dxa" w:w="2340"/>
            <w:shd w:fill="0F172A"/>
            <w:tcMar>
              <w:top w:w="120" w:type="dxa"/>
              <w:bottom w:w="120" w:type="dxa"/>
              <w:left w:w="150" w:type="dxa"/>
              <w:right w:w="150" w:type="dxa"/>
            </w:tcMar>
          </w:tcPr>
          <w:p>
            <w:pPr>
              <w:jc w:val="left"/>
            </w:pPr>
            <w:r>
              <w:rPr>
                <w:b/>
                <w:color w:val="FFFFFF"/>
                <w:sz w:val="20"/>
              </w:rPr>
              <w:t>Target Weight</w:t>
            </w:r>
          </w:p>
        </w:tc>
        <w:tc>
          <w:tcPr>
            <w:tcW w:type="dxa" w:w="2340"/>
            <w:shd w:fill="0F172A"/>
            <w:tcMar>
              <w:top w:w="120" w:type="dxa"/>
              <w:bottom w:w="120" w:type="dxa"/>
              <w:left w:w="150" w:type="dxa"/>
              <w:right w:w="150" w:type="dxa"/>
            </w:tcMar>
          </w:tcPr>
          <w:p>
            <w:pPr>
              <w:jc w:val="left"/>
            </w:pPr>
            <w:r>
              <w:rPr>
                <w:b/>
                <w:color w:val="FFFFFF"/>
                <w:sz w:val="20"/>
              </w:rPr>
              <w:t>Evaluation Architecture Logic</w:t>
            </w:r>
          </w:p>
        </w:tc>
      </w:tr>
      <w:tr>
        <w:tc>
          <w:tcPr>
            <w:tcW w:type="dxa" w:w="2340"/>
            <w:tcMar>
              <w:top w:w="100" w:type="dxa"/>
              <w:bottom w:w="100" w:type="dxa"/>
              <w:left w:w="150" w:type="dxa"/>
              <w:right w:w="150" w:type="dxa"/>
            </w:tcMar>
          </w:tcPr>
          <w:p>
            <w:r>
              <w:rPr>
                <w:sz w:val="19"/>
              </w:rPr>
              <w:t>Authentication Strength</w:t>
            </w:r>
          </w:p>
        </w:tc>
        <w:tc>
          <w:tcPr>
            <w:tcW w:type="dxa" w:w="2340"/>
            <w:tcMar>
              <w:top w:w="100" w:type="dxa"/>
              <w:bottom w:w="100" w:type="dxa"/>
              <w:left w:w="150" w:type="dxa"/>
              <w:right w:w="150" w:type="dxa"/>
            </w:tcMar>
          </w:tcPr>
          <w:p>
            <w:r>
              <w:rPr>
                <w:sz w:val="19"/>
              </w:rPr>
              <w:t>S_mfa</w:t>
            </w:r>
          </w:p>
        </w:tc>
        <w:tc>
          <w:tcPr>
            <w:tcW w:type="dxa" w:w="2340"/>
            <w:tcMar>
              <w:top w:w="100" w:type="dxa"/>
              <w:bottom w:w="100" w:type="dxa"/>
              <w:left w:w="150" w:type="dxa"/>
              <w:right w:w="150" w:type="dxa"/>
            </w:tcMar>
          </w:tcPr>
          <w:p>
            <w:r>
              <w:rPr>
                <w:sz w:val="19"/>
              </w:rPr>
              <w:t>0.40</w:t>
            </w:r>
          </w:p>
        </w:tc>
        <w:tc>
          <w:tcPr>
            <w:tcW w:type="dxa" w:w="2340"/>
            <w:tcMar>
              <w:top w:w="100" w:type="dxa"/>
              <w:bottom w:w="100" w:type="dxa"/>
              <w:left w:w="150" w:type="dxa"/>
              <w:right w:w="150" w:type="dxa"/>
            </w:tcMar>
          </w:tcPr>
          <w:p>
            <w:r>
              <w:rPr>
                <w:sz w:val="19"/>
              </w:rPr>
              <w:t>Evaluates 'amr' (Auth Methods References) claims. Phishing-resistant FIDO2/WebAuthn maps to 0; single-factor password authentication maps to 100.</w:t>
            </w:r>
          </w:p>
        </w:tc>
      </w:tr>
      <w:tr>
        <w:tc>
          <w:tcPr>
            <w:tcW w:type="dxa" w:w="2340"/>
            <w:tcMar>
              <w:top w:w="100" w:type="dxa"/>
              <w:bottom w:w="100" w:type="dxa"/>
              <w:left w:w="150" w:type="dxa"/>
              <w:right w:w="150" w:type="dxa"/>
            </w:tcMar>
            <w:shd w:fill="F8FAFC"/>
          </w:tcPr>
          <w:p>
            <w:r>
              <w:rPr>
                <w:sz w:val="19"/>
              </w:rPr>
              <w:t>Session Longevity</w:t>
            </w:r>
          </w:p>
        </w:tc>
        <w:tc>
          <w:tcPr>
            <w:tcW w:type="dxa" w:w="2340"/>
            <w:tcMar>
              <w:top w:w="100" w:type="dxa"/>
              <w:bottom w:w="100" w:type="dxa"/>
              <w:left w:w="150" w:type="dxa"/>
              <w:right w:w="150" w:type="dxa"/>
            </w:tcMar>
            <w:shd w:fill="F8FAFC"/>
          </w:tcPr>
          <w:p>
            <w:r>
              <w:rPr>
                <w:sz w:val="19"/>
              </w:rPr>
              <w:t>S_age</w:t>
            </w:r>
          </w:p>
        </w:tc>
        <w:tc>
          <w:tcPr>
            <w:tcW w:type="dxa" w:w="2340"/>
            <w:tcMar>
              <w:top w:w="100" w:type="dxa"/>
              <w:bottom w:w="100" w:type="dxa"/>
              <w:left w:w="150" w:type="dxa"/>
              <w:right w:w="150" w:type="dxa"/>
            </w:tcMar>
            <w:shd w:fill="F8FAFC"/>
          </w:tcPr>
          <w:p>
            <w:r>
              <w:rPr>
                <w:sz w:val="19"/>
              </w:rPr>
              <w:t>0.20</w:t>
            </w:r>
          </w:p>
        </w:tc>
        <w:tc>
          <w:tcPr>
            <w:tcW w:type="dxa" w:w="2340"/>
            <w:tcMar>
              <w:top w:w="100" w:type="dxa"/>
              <w:bottom w:w="100" w:type="dxa"/>
              <w:left w:w="150" w:type="dxa"/>
              <w:right w:w="150" w:type="dxa"/>
            </w:tcMar>
            <w:shd w:fill="F8FAFC"/>
          </w:tcPr>
          <w:p>
            <w:r>
              <w:rPr>
                <w:sz w:val="19"/>
              </w:rPr>
              <w:t>Linear risk decay calculation matching elapsed time since initial minting. Risk scales up sharply as the token approaches expiration thresholds.</w:t>
            </w:r>
          </w:p>
        </w:tc>
      </w:tr>
      <w:tr>
        <w:tc>
          <w:tcPr>
            <w:tcW w:type="dxa" w:w="2340"/>
            <w:tcMar>
              <w:top w:w="100" w:type="dxa"/>
              <w:bottom w:w="100" w:type="dxa"/>
              <w:left w:w="150" w:type="dxa"/>
              <w:right w:w="150" w:type="dxa"/>
            </w:tcMar>
          </w:tcPr>
          <w:p>
            <w:r>
              <w:rPr>
                <w:sz w:val="19"/>
              </w:rPr>
              <w:t>Network Perimeter Identity</w:t>
            </w:r>
          </w:p>
        </w:tc>
        <w:tc>
          <w:tcPr>
            <w:tcW w:type="dxa" w:w="2340"/>
            <w:tcMar>
              <w:top w:w="100" w:type="dxa"/>
              <w:bottom w:w="100" w:type="dxa"/>
              <w:left w:w="150" w:type="dxa"/>
              <w:right w:w="150" w:type="dxa"/>
            </w:tcMar>
          </w:tcPr>
          <w:p>
            <w:r>
              <w:rPr>
                <w:sz w:val="19"/>
              </w:rPr>
              <w:t>S_net</w:t>
            </w:r>
          </w:p>
        </w:tc>
        <w:tc>
          <w:tcPr>
            <w:tcW w:type="dxa" w:w="2340"/>
            <w:tcMar>
              <w:top w:w="100" w:type="dxa"/>
              <w:bottom w:w="100" w:type="dxa"/>
              <w:left w:w="150" w:type="dxa"/>
              <w:right w:w="150" w:type="dxa"/>
            </w:tcMar>
          </w:tcPr>
          <w:p>
            <w:r>
              <w:rPr>
                <w:sz w:val="19"/>
              </w:rPr>
              <w:t>0.15</w:t>
            </w:r>
          </w:p>
        </w:tc>
        <w:tc>
          <w:tcPr>
            <w:tcW w:type="dxa" w:w="2340"/>
            <w:tcMar>
              <w:top w:w="100" w:type="dxa"/>
              <w:bottom w:w="100" w:type="dxa"/>
              <w:left w:w="150" w:type="dxa"/>
              <w:right w:w="150" w:type="dxa"/>
            </w:tcMar>
          </w:tcPr>
          <w:p>
            <w:r>
              <w:rPr>
                <w:sz w:val="19"/>
              </w:rPr>
              <w:t>Cross-references client network origin. Matches against enterprise Zero-Trust SASE ranges. Trusted IP = 0; Unknown remote terminal = 100.</w:t>
            </w:r>
          </w:p>
        </w:tc>
      </w:tr>
      <w:tr>
        <w:tc>
          <w:tcPr>
            <w:tcW w:type="dxa" w:w="2340"/>
            <w:tcMar>
              <w:top w:w="100" w:type="dxa"/>
              <w:bottom w:w="100" w:type="dxa"/>
              <w:left w:w="150" w:type="dxa"/>
              <w:right w:w="150" w:type="dxa"/>
            </w:tcMar>
            <w:shd w:fill="F8FAFC"/>
          </w:tcPr>
          <w:p>
            <w:r>
              <w:rPr>
                <w:sz w:val="19"/>
              </w:rPr>
              <w:t>Provenance Chain Decay</w:t>
            </w:r>
          </w:p>
        </w:tc>
        <w:tc>
          <w:tcPr>
            <w:tcW w:type="dxa" w:w="2340"/>
            <w:tcMar>
              <w:top w:w="100" w:type="dxa"/>
              <w:bottom w:w="100" w:type="dxa"/>
              <w:left w:w="150" w:type="dxa"/>
              <w:right w:w="150" w:type="dxa"/>
            </w:tcMar>
            <w:shd w:fill="F8FAFC"/>
          </w:tcPr>
          <w:p>
            <w:r>
              <w:rPr>
                <w:sz w:val="19"/>
              </w:rPr>
              <w:t>S_prov</w:t>
            </w:r>
          </w:p>
        </w:tc>
        <w:tc>
          <w:tcPr>
            <w:tcW w:type="dxa" w:w="2340"/>
            <w:tcMar>
              <w:top w:w="100" w:type="dxa"/>
              <w:bottom w:w="100" w:type="dxa"/>
              <w:left w:w="150" w:type="dxa"/>
              <w:right w:w="150" w:type="dxa"/>
            </w:tcMar>
            <w:shd w:fill="F8FAFC"/>
          </w:tcPr>
          <w:p>
            <w:r>
              <w:rPr>
                <w:sz w:val="19"/>
              </w:rPr>
              <w:t>0.25</w:t>
            </w:r>
          </w:p>
        </w:tc>
        <w:tc>
          <w:tcPr>
            <w:tcW w:type="dxa" w:w="2340"/>
            <w:tcMar>
              <w:top w:w="100" w:type="dxa"/>
              <w:bottom w:w="100" w:type="dxa"/>
              <w:left w:w="150" w:type="dxa"/>
              <w:right w:w="150" w:type="dxa"/>
            </w:tcMar>
            <w:shd w:fill="F8FAFC"/>
          </w:tcPr>
          <w:p>
            <w:r>
              <w:rPr>
                <w:sz w:val="19"/>
              </w:rPr>
              <w:t>Stochastically increases risk score by +30 points for every unverified sub-agent proxy hop added to the nested tracking provenance array.</w:t>
            </w:r>
          </w:p>
        </w:tc>
      </w:tr>
    </w:tbl>
    <w:p>
      <w:pPr>
        <w:spacing w:after="240"/>
      </w:pPr>
    </w:p>
    <w:p>
      <w:pPr>
        <w:keepNext/>
        <w:spacing w:before="480" w:after="160"/>
      </w:pPr>
      <w:r>
        <w:rPr>
          <w:b/>
          <w:color w:val="0F172A"/>
          <w:sz w:val="36"/>
        </w:rPr>
        <w:t>5. Protocol Interface &amp; Schema Specifications</w:t>
      </w:r>
    </w:p>
    <w:p>
      <w:pPr>
        <w:spacing w:after="160" w:line="276" w:lineRule="auto"/>
      </w:pPr>
      <w:r>
        <w:rPr>
          <w:color w:val="334155"/>
          <w:sz w:val="22"/>
        </w:rPr>
        <w:t>The implementation utilizes strict JSON-schema definition compliance to allow out-of-the-box integration into Claude Desktop and LangChain MCP host networks.</w:t>
      </w:r>
    </w:p>
    <w:p>
      <w:pPr>
        <w:keepNext/>
        <w:spacing w:before="320" w:after="120"/>
      </w:pPr>
      <w:r>
        <w:rPr>
          <w:b/>
          <w:color w:val="0F172A"/>
          <w:sz w:val="28"/>
        </w:rPr>
        <w:t>5.1 Tool JSON Schema Registration Interface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0F172A"/>
              <w:bottom w:val="none"/>
              <w:right w:val="none"/>
            </w:tcBorders>
          </w:tcPr>
          <w:p>
            <w:pPr>
              <w:spacing w:after="0" w:line="240" w:lineRule="auto"/>
            </w:pPr>
            <w:r>
              <w:rPr>
                <w:rFonts w:ascii="Consolas" w:hAnsi="Consolas"/>
                <w:color w:val="0F172A"/>
                <w:sz w:val="19"/>
              </w:rPr>
              <w:t>{</w:t>
              <w:br/>
              <w:t xml:space="preserve">  "name": "get_user_identity_context",</w:t>
              <w:br/>
              <w:t xml:space="preserve">  "description": "Fetches the authenticated corporate human user's context, permissions, and session telemetry flags out-of-band. Must execute before sensitive tasks.",</w:t>
              <w:br/>
              <w:t xml:space="preserve">  "inputSchema": {</w:t>
              <w:br/>
              <w:t xml:space="preserve">    "type": "object",</w:t>
              <w:br/>
              <w:t xml:space="preserve">    "properties": {</w:t>
              <w:br/>
              <w:t xml:space="preserve">      "provider": {</w:t>
              <w:br/>
              <w:t xml:space="preserve">        "type": "string",</w:t>
              <w:br/>
              <w:t xml:space="preserve">        "enum": ["entra", "ping"]</w:t>
              <w:br/>
              <w:t xml:space="preserve">      },</w:t>
              <w:br/>
              <w:t xml:space="preserve">      "token": {</w:t>
              <w:br/>
              <w:t xml:space="preserve">        "type": "string",</w:t>
              <w:br/>
              <w:t xml:space="preserve">        "description": "Raw OIDC/OAuth2 bearer token injected out-of-band by the agent host shell environment."</w:t>
              <w:br/>
              <w:t xml:space="preserve">      },</w:t>
              <w:br/>
              <w:t xml:space="preserve">      "provenance_chain": {</w:t>
              <w:br/>
              <w:t xml:space="preserve">        "type": "array",</w:t>
              <w:br/>
              <w:t xml:space="preserve">        "items": { "type": "string" },</w:t>
              <w:br/>
              <w:t xml:space="preserve">        "description": "Ordered trace array monitoring the preceding agent execution nodes."</w:t>
              <w:br/>
              <w:t xml:space="preserve">      }</w:t>
              <w:br/>
              <w:t xml:space="preserve">    },</w:t>
              <w:br/>
              <w:t xml:space="preserve">    "required": ["provider", "token"]</w:t>
              <w:br/>
              <w:t xml:space="preserve">  }</w:t>
              <w:br/>
              <w:t>}</w:t>
            </w:r>
          </w:p>
        </w:tc>
      </w:tr>
    </w:tbl>
    <w:p>
      <w:pPr>
        <w:spacing w:before="0" w:after="160"/>
      </w:pPr>
    </w:p>
    <w:p>
      <w:pPr>
        <w:keepNext/>
        <w:spacing w:before="320" w:after="120"/>
      </w:pPr>
      <w:r>
        <w:rPr>
          <w:b/>
          <w:color w:val="0F172A"/>
          <w:sz w:val="28"/>
        </w:rPr>
        <w:t>5.2 Sanitized Tool Output JSON Payload Block</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0F172A"/>
              <w:bottom w:val="none"/>
              <w:right w:val="none"/>
            </w:tcBorders>
          </w:tcPr>
          <w:p>
            <w:pPr>
              <w:spacing w:after="0" w:line="240" w:lineRule="auto"/>
            </w:pPr>
            <w:r>
              <w:rPr>
                <w:rFonts w:ascii="Consolas" w:hAnsi="Consolas"/>
                <w:color w:val="0F172A"/>
                <w:sz w:val="19"/>
              </w:rPr>
              <w:t>{</w:t>
              <w:br/>
              <w:t xml:space="preserve">  "status": "success",</w:t>
              <w:br/>
              <w:t xml:space="preserve">  "timestamp": "2026-05-17T18:01:27Z",</w:t>
              <w:br/>
              <w:t xml:space="preserve">  "context": {</w:t>
              <w:br/>
              <w:t xml:space="preserve">    "transient_user_id": "usr_sha256_e3b0c44298fc1c149afbf4c8996fb92427ae41e4649b934ca...",</w:t>
              <w:br/>
              <w:t xml:space="preserve">    "organization_id": "org_ge_aviation_digital",</w:t>
              <w:br/>
              <w:t xml:space="preserve">    "execution_context": {</w:t>
              <w:br/>
              <w:t xml:space="preserve">      "acting_principal": "AI_SUB_AGENT",</w:t>
              <w:br/>
              <w:t xml:space="preserve">      "identity_provenance": [</w:t>
              <w:br/>
              <w:t xml:space="preserve">        "human:sarah_johnson",</w:t>
              <w:br/>
              <w:t xml:space="preserve">        "agent:primary_assistant_agent",</w:t>
              <w:br/>
              <w:t xml:space="preserve">        "sub_agent:data_fetching_bot_04"</w:t>
              <w:br/>
              <w:t xml:space="preserve">      ]</w:t>
              <w:br/>
              <w:t xml:space="preserve">    },</w:t>
              <w:br/>
              <w:t xml:space="preserve">    "session_health": {</w:t>
              <w:br/>
              <w:t xml:space="preserve">      "is_active": true,</w:t>
              <w:br/>
              <w:t xml:space="preserve">      "mfa_verified": true,</w:t>
              <w:br/>
              <w:t xml:space="preserve">      "auth_mechanism": "fido2_biometric",</w:t>
              <w:br/>
              <w:t xml:space="preserve">      "token_expires_in_seconds": 2450</w:t>
              <w:br/>
              <w:t xml:space="preserve">    },</w:t>
              <w:br/>
              <w:t xml:space="preserve">    "entitlements": {</w:t>
              <w:br/>
              <w:t xml:space="preserve">      "scoped_permissions": {</w:t>
              <w:br/>
              <w:t xml:space="preserve">        "can_read_telemetry_db": true,</w:t>
              <w:br/>
              <w:t xml:space="preserve">        "can_write_telemetry_db": false,</w:t>
              <w:br/>
              <w:t xml:space="preserve">        "can_modify_iam_policies": false</w:t>
              <w:br/>
              <w:t xml:space="preserve">      }</w:t>
              <w:br/>
              <w:t xml:space="preserve">    },</w:t>
              <w:br/>
              <w:t xml:space="preserve">    "security_telemetry": {</w:t>
              <w:br/>
              <w:t xml:space="preserve">      "risk_score": 12,</w:t>
              <w:br/>
              <w:t xml:space="preserve">      "risk_level": "LOW",</w:t>
              <w:br/>
              <w:t xml:space="preserve">      "token_firewall_status": "ENFORCED"</w:t>
              <w:br/>
              <w:t xml:space="preserve">    }</w:t>
              <w:br/>
              <w:t xml:space="preserve">  }</w:t>
              <w:br/>
              <w:t>}</w:t>
            </w:r>
          </w:p>
        </w:tc>
      </w:tr>
    </w:tbl>
    <w:p>
      <w:pPr>
        <w:spacing w:before="0" w:after="160"/>
      </w:pPr>
    </w:p>
    <w:p>
      <w:pPr>
        <w:keepNext/>
        <w:spacing w:before="480" w:after="160"/>
      </w:pPr>
      <w:r>
        <w:rPr>
          <w:b/>
          <w:color w:val="0F172A"/>
          <w:sz w:val="36"/>
        </w:rPr>
        <w:t>6. Verification Scenarios &amp; Operational Resiliency</w:t>
      </w:r>
    </w:p>
    <w:p>
      <w:pPr>
        <w:spacing w:after="160" w:line="276" w:lineRule="auto"/>
      </w:pPr>
      <w:r>
        <w:rPr>
          <w:color w:val="334155"/>
          <w:sz w:val="22"/>
        </w:rPr>
        <w:t>The ICP Server features automated mitigation workflows to handle modern agent-specific edge-case threats:</w:t>
      </w:r>
    </w:p>
    <w:p>
      <w:pPr>
        <w:keepNext/>
        <w:spacing w:before="320" w:after="120"/>
      </w:pPr>
      <w:r>
        <w:rPr>
          <w:b/>
          <w:color w:val="0F172A"/>
          <w:sz w:val="28"/>
        </w:rPr>
        <w:t>6.1 Active Session Revocation (The 'Terminated Employee' Loop)</w:t>
      </w:r>
    </w:p>
    <w:p>
      <w:pPr>
        <w:spacing w:after="160" w:line="276" w:lineRule="auto"/>
      </w:pPr>
      <w:r>
        <w:rPr>
          <w:color w:val="334155"/>
          <w:sz w:val="22"/>
        </w:rPr>
        <w:t>Risk Profile: A human operator executes a high-frequency automation script via an AI agent cluster. Midway through the task, the user account is disabled or corporate credentials are flagged inside Microsoft Entra ID. The running agent continues accessing critical downstream file storage targets using an unexpired local access token.</w:t>
      </w:r>
    </w:p>
    <w:p>
      <w:pPr>
        <w:spacing w:after="160" w:line="276" w:lineRule="auto"/>
      </w:pPr>
      <w:r>
        <w:rPr>
          <w:color w:val="334155"/>
          <w:sz w:val="22"/>
        </w:rPr>
        <w:t>Mitigation Logic: The ICP Server implements an aggressive five-minute Time-To-Live (TTL) cache window on token context mapping. Upon the expiration of the fifth minute, the server enforces a cache miss and initiates an out-of-band verification token request directly to Ping Identity or Entra ID endpoints. Once the IdP indicates account suspension, the server invalidates the session status, drops the active permissions payload, overrides the tracking flag to 'session_healthy: false', and alerts the agent wrapper shell to immediately suspend execution.</w:t>
      </w:r>
    </w:p>
    <w:p>
      <w:pPr>
        <w:keepNext/>
        <w:spacing w:before="320" w:after="120"/>
      </w:pPr>
      <w:r>
        <w:rPr>
          <w:b/>
          <w:color w:val="0F172A"/>
          <w:sz w:val="28"/>
        </w:rPr>
        <w:t>6.2 Data Privacy Shield (PII Anonymization Layer)</w:t>
      </w:r>
    </w:p>
    <w:p>
      <w:pPr>
        <w:spacing w:after="160" w:line="276" w:lineRule="auto"/>
      </w:pPr>
      <w:r>
        <w:rPr>
          <w:color w:val="334155"/>
          <w:sz w:val="22"/>
        </w:rPr>
        <w:t>Risk Profile: When pulling profile attributes from Active Directory tables, raw strings containing sensitive information like human phone numbers, full corporate email addresses, or unmasked group hierarchical paths are dumped into the prompt data structure, introducing risks of long-term model data training leaks.</w:t>
      </w:r>
    </w:p>
    <w:p>
      <w:pPr>
        <w:spacing w:after="160" w:line="276" w:lineRule="auto"/>
      </w:pPr>
      <w:r>
        <w:rPr>
          <w:color w:val="334155"/>
          <w:sz w:val="22"/>
        </w:rPr>
        <w:t>Mitigation Logic: The ICP Server intercepts all strings before creating the response JSON payload. Emails are transformed via SHA-256 with an ephemeral salt parameter. Hierarchical organizational unit paths (e.g., CN=Aviation_Finance_Admins,OU=Groups) are mapped using a pre-configured server look-up index, flattening data into highly specific boolean permissions keys. The prompt context is limited strictly to deterministic operational clearance variables, making data parsing completely secure.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