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9b405627dc446f0" /><Relationship Type="http://schemas.openxmlformats.org/package/2006/relationships/metadata/core-properties" Target="/docProps/core.xml" Id="Rab335e29f9b94601" /><Relationship Type="http://schemas.openxmlformats.org/officeDocument/2006/relationships/extended-properties" Target="/docProps/app.xml" Id="R4c8446bec2204991" /><Relationship Type="http://schemas.openxmlformats.org/officeDocument/2006/relationships/custom-properties" Target="/docProps/custom.xml" Id="Rbe19f3eb0d85430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Global Financial Markets Analysis and ML Forecasting</w:t>
      </w:r>
    </w:p>
    <w:p w14:paraId="00100002" w14:textId="00100003">
      <w:pPr>
        <w:pStyle w:val="Normal"/>
        <w:spacing w:after="80"/>
        <w:jc w:val="center"/>
      </w:pPr>
      <w:r>
        <w:rPr>
          <w:color w:val="555555"/>
          <w:sz w:val="26"/>
        </w:rPr>
        <w:t xml:space="preserve">Project Report - Data Analysis, Hidden Trends and Machine Learning</w:t>
      </w:r>
    </w:p>
    <w:p w14:paraId="00100004" w14:textId="00100005">
      <w:pPr>
        <w:pStyle w:val="Normal"/>
        <w:spacing w:after="80"/>
        <w:jc w:val="center"/>
      </w:pPr>
      <w:r>
        <w:rPr>
          <w:color w:val="777777"/>
          <w:sz w:val="22"/>
        </w:rPr>
        <w:t xml:space="preserve">Dataset: global_financial_markets_2000_Now.csv  |  190,545 records  |  34 assets  |  2000 to 2026</w:t>
      </w:r>
    </w:p>
    <w:p w14:paraId="00100006" w14:textId="00100007">
      <w:pPr>
        <w:pStyle w:val="Normal"/>
        <w:spacing w:after="400"/>
        <w:jc w:val="center"/>
      </w:pPr>
      <w:r>
        <w:rPr>
          <w:color w:val="777777"/>
          <w:sz w:val="22"/>
        </w:rPr>
        <w:t xml:space="preserve">Tools: Python, Streamlit, Plotly, scikit-learn, pandas, NumPy</w:t>
      </w:r>
    </w:p>
    <w:p w14:paraId="00100008" w14:textId="00100009">
      <w:pPr>
        <w:pStyle w:val="Heading1"/>
        <w:spacing w:after="120"/>
      </w:pPr>
      <w:r>
        <w:rPr>
          <w:b/>
          <w:sz w:val="32"/>
        </w:rPr>
        <w:t xml:space="preserve">Table of Contents</w:t>
      </w:r>
    </w:p>
    <w:p w14:paraId="0010000A" w14:textId="0010000B">
      <w:pPr>
        <w:pStyle w:val="Normal"/>
        <w:spacing w:after="60"/>
      </w:pPr>
      <w:r>
        <w:rPr>
          <w:sz w:val="22"/>
        </w:rPr>
        <w:t xml:space="preserve">1. Project Overview</w:t>
      </w:r>
    </w:p>
    <w:p w14:paraId="0010000C" w14:textId="0010000D">
      <w:pPr>
        <w:pStyle w:val="Normal"/>
        <w:spacing w:after="60"/>
      </w:pPr>
      <w:r>
        <w:rPr>
          <w:sz w:val="22"/>
        </w:rPr>
        <w:t xml:space="preserve">2. Dataset Description</w:t>
      </w:r>
    </w:p>
    <w:p w14:paraId="0010000E" w14:textId="0010000F">
      <w:pPr>
        <w:pStyle w:val="Normal"/>
        <w:spacing w:after="60"/>
      </w:pPr>
      <w:r>
        <w:rPr>
          <w:sz w:val="22"/>
        </w:rPr>
        <w:t xml:space="preserve">3. Data Collection and Loading</w:t>
      </w:r>
    </w:p>
    <w:p w14:paraId="00100010" w14:textId="00100011">
      <w:pPr>
        <w:pStyle w:val="Normal"/>
        <w:spacing w:after="60"/>
      </w:pPr>
      <w:r>
        <w:rPr>
          <w:sz w:val="22"/>
        </w:rPr>
        <w:t xml:space="preserve">4. Data Quality Check</w:t>
      </w:r>
    </w:p>
    <w:p w14:paraId="00100012" w14:textId="00100013">
      <w:pPr>
        <w:pStyle w:val="Normal"/>
        <w:spacing w:after="60"/>
      </w:pPr>
      <w:r>
        <w:rPr>
          <w:sz w:val="22"/>
        </w:rPr>
        <w:t xml:space="preserve">5. Exploratory Data Analysis (EDA)</w:t>
      </w:r>
    </w:p>
    <w:p w14:paraId="00100014" w14:textId="00100015">
      <w:pPr>
        <w:pStyle w:val="Normal"/>
        <w:spacing w:after="60"/>
      </w:pPr>
      <w:r>
        <w:rPr>
          <w:sz w:val="22"/>
        </w:rPr>
        <w:t xml:space="preserve">6. Price History and Trend Analysis</w:t>
      </w:r>
    </w:p>
    <w:p w14:paraId="00100016" w14:textId="00100017">
      <w:pPr>
        <w:pStyle w:val="Normal"/>
        <w:spacing w:after="60"/>
      </w:pPr>
      <w:r>
        <w:rPr>
          <w:sz w:val="22"/>
        </w:rPr>
        <w:t xml:space="preserve">7. Market Crashes and Drawdowns</w:t>
      </w:r>
    </w:p>
    <w:p w14:paraId="00100018" w14:textId="00100019">
      <w:pPr>
        <w:pStyle w:val="Normal"/>
        <w:spacing w:after="60"/>
      </w:pPr>
      <w:r>
        <w:rPr>
          <w:sz w:val="22"/>
        </w:rPr>
        <w:t xml:space="preserve">8. Hidden Trends and Seasonality Patterns</w:t>
      </w:r>
    </w:p>
    <w:p w14:paraId="0010001A" w14:textId="0010001B">
      <w:pPr>
        <w:pStyle w:val="Normal"/>
        <w:spacing w:after="60"/>
      </w:pPr>
      <w:r>
        <w:rPr>
          <w:sz w:val="22"/>
        </w:rPr>
        <w:t xml:space="preserve">9. Machine Learning Price Forecast</w:t>
      </w:r>
    </w:p>
    <w:p w14:paraId="0010001C" w14:textId="0010001D">
      <w:pPr>
        <w:pStyle w:val="Normal"/>
        <w:spacing w:after="60"/>
      </w:pPr>
      <w:r>
        <w:rPr>
          <w:sz w:val="22"/>
        </w:rPr>
        <w:t xml:space="preserve">10. Business Insights and Recommendations</w:t>
      </w:r>
    </w:p>
    <w:p w14:paraId="0010001E" w14:textId="0010001F">
      <w:pPr>
        <w:pStyle w:val="Normal"/>
        <w:spacing w:after="400"/>
      </w:pPr>
      <w:r>
        <w:rPr>
          <w:sz w:val="22"/>
        </w:rPr>
        <w:t xml:space="preserve">11. Conclusion</w:t>
      </w:r>
    </w:p>
    <w:p w14:paraId="00100020" w14:textId="00100021">
      <w:pPr>
        <w:pStyle w:val="Heading1"/>
        <w:spacing w:before="240" w:after="160"/>
      </w:pPr>
      <w:r>
        <w:rPr>
          <w:b/>
          <w:sz w:val="36"/>
        </w:rPr>
        <w:t xml:space="preserve">1. Project Overview</w:t>
      </w:r>
    </w:p>
    <w:p w14:paraId="00100022" w14:textId="00100023">
      <w:pPr>
        <w:pStyle w:val="Normal"/>
        <w:spacing w:after="120"/>
      </w:pPr>
      <w:r>
        <w:rPr>
          <w:sz w:val="22"/>
        </w:rPr>
        <w:t xml:space="preserve">This project performs a comprehensive analysis of global financial markets from January 2000 to 2026, covering stock indices, currencies, commodities, and cryptocurrencies. The core objectives are:</w:t>
      </w:r>
    </w:p>
    <w:p w14:paraId="00100024" w14:textId="00100025">
      <w:pPr>
        <w:pStyle w:val="Normal"/>
        <w:numPr>
          <w:ilvl w:val="0"/>
          <w:numId w:val="1"/>
        </w:numPr>
        <w:spacing w:after="60"/>
      </w:pPr>
      <w:r>
        <w:rPr>
          <w:sz w:val="22"/>
        </w:rPr>
        <w:t xml:space="preserve">Load and validate a real-world financial dataset containing 190,545 daily records.</w:t>
      </w:r>
    </w:p>
    <w:p w14:paraId="00100026" w14:textId="00100027">
      <w:pPr>
        <w:pStyle w:val="Normal"/>
        <w:numPr>
          <w:ilvl w:val="0"/>
          <w:numId w:val="1"/>
        </w:numPr>
        <w:spacing w:after="60"/>
      </w:pPr>
      <w:r>
        <w:rPr>
          <w:sz w:val="22"/>
        </w:rPr>
        <w:t xml:space="preserve">Identify data quality issues: missing values, impossible prices, and date gaps.</w:t>
      </w:r>
    </w:p>
    <w:p w14:paraId="00100028" w14:textId="00100029">
      <w:pPr>
        <w:pStyle w:val="Normal"/>
        <w:numPr>
          <w:ilvl w:val="0"/>
          <w:numId w:val="1"/>
        </w:numPr>
        <w:spacing w:after="60"/>
      </w:pPr>
      <w:r>
        <w:rPr>
          <w:sz w:val="22"/>
        </w:rPr>
        <w:t xml:space="preserve">Visualise price trends, crashes, seasonality, and cross-asset behaviour.</w:t>
      </w:r>
    </w:p>
    <w:p w14:paraId="0010002A" w14:textId="0010002B">
      <w:pPr>
        <w:pStyle w:val="Normal"/>
        <w:numPr>
          <w:ilvl w:val="0"/>
          <w:numId w:val="1"/>
        </w:numPr>
        <w:spacing w:after="60"/>
      </w:pPr>
      <w:r>
        <w:rPr>
          <w:sz w:val="22"/>
        </w:rPr>
        <w:t xml:space="preserve">Detect hidden and recurring market patterns using statistical methods.</w:t>
      </w:r>
    </w:p>
    <w:p w14:paraId="0010002C" w14:textId="0010002D">
      <w:pPr>
        <w:pStyle w:val="Normal"/>
        <w:numPr>
          <w:ilvl w:val="0"/>
          <w:numId w:val="1"/>
        </w:numPr>
        <w:spacing w:after="60"/>
      </w:pPr>
      <w:r>
        <w:rPr>
          <w:sz w:val="22"/>
        </w:rPr>
        <w:t xml:space="preserve">Build and evaluate a Random Forest ML model for price forecasting.</w:t>
      </w:r>
    </w:p>
    <w:p w14:paraId="0010002E" w14:textId="0010002F">
      <w:pPr>
        <w:pStyle w:val="Normal"/>
        <w:numPr>
          <w:ilvl w:val="0"/>
          <w:numId w:val="1"/>
        </w:numPr>
        <w:spacing w:after="60"/>
      </w:pPr>
      <w:r>
        <w:rPr>
          <w:sz w:val="22"/>
        </w:rPr>
        <w:t xml:space="preserve">Deliver all results through an interactive Streamlit web dashboard.</w:t>
      </w:r>
    </w:p>
    <w:p w14:paraId="00100030" w14:textId="00100031">
      <w:pPr>
        <w:pStyle w:val="Normal"/>
        <w:numPr>
          <w:ilvl w:val="0"/>
          <w:numId w:val="1"/>
        </w:numPr>
        <w:spacing w:after="240"/>
      </w:pPr>
      <w:r>
        <w:rPr>
          <w:sz w:val="22"/>
        </w:rPr>
        <w:t xml:space="preserve">Translate findings into plain-English business and portfolio recommendations.</w:t>
      </w:r>
    </w:p>
    <w:p w14:paraId="00100032" w14:textId="00100033">
      <w:pPr>
        <w:pStyle w:val="Heading1"/>
        <w:spacing w:before="240" w:after="160"/>
      </w:pPr>
      <w:r>
        <w:rPr>
          <w:b/>
          <w:sz w:val="36"/>
        </w:rPr>
        <w:t xml:space="preserve">2. Dataset Description</w:t>
      </w:r>
    </w:p>
    <w:p w14:paraId="00100034" w14:textId="00100035">
      <w:pPr>
        <w:pStyle w:val="Normal"/>
        <w:spacing w:after="160"/>
      </w:pPr>
      <w:r>
        <w:rPr>
          <w:sz w:val="22"/>
        </w:rPr>
        <w:t xml:space="preserve">The dataset contains daily OHLCV (Open, High, Low, Close, Volume) records for 34 globally traded assets across four asset classes. Each row represents one trading day for one asset.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6" w14:textId="00100037">
            <w:r>
              <w:t xml:space="preserve">Asset Class</w:t>
            </w:r>
          </w:p>
        </w:tc>
        <w:tc>
          <w:p w14:paraId="00100038" w14:textId="00100039">
            <w:r>
              <w:t xml:space="preserve">Count</w:t>
            </w:r>
          </w:p>
        </w:tc>
        <w:tc>
          <w:p w14:paraId="0010003A" w14:textId="0010003B">
            <w:r>
              <w:t xml:space="preserve">Examples</w:t>
            </w:r>
          </w:p>
        </w:tc>
      </w:tr>
      <w:tr>
        <w:trPr/>
        <w:tc>
          <w:p w14:paraId="0010003C" w14:textId="0010003D">
            <w:r>
              <w:t xml:space="preserve">Stock Indices</w:t>
            </w:r>
          </w:p>
        </w:tc>
        <w:tc>
          <w:p w14:paraId="0010003E" w14:textId="0010003F">
            <w:r>
              <w:t xml:space="preserve">10</w:t>
            </w:r>
          </w:p>
        </w:tc>
        <w:tc>
          <w:p w14:paraId="00100040" w14:textId="00100041">
            <w:r>
              <w:t xml:space="preserve">S&amp;P 500, NASDAQ, SENSEX, Nikkei 225, DAX, FTSE 100, HSI, Shanghai, KOSPI, NIFTY 50</w:t>
            </w:r>
          </w:p>
        </w:tc>
      </w:tr>
      <w:tr>
        <w:trPr/>
        <w:tc>
          <w:p w14:paraId="00100042" w14:textId="00100043">
            <w:r>
              <w:t xml:space="preserve">Currencies</w:t>
            </w:r>
          </w:p>
        </w:tc>
        <w:tc>
          <w:p w14:paraId="00100044" w14:textId="00100045">
            <w:r>
              <w:t xml:space="preserve">8</w:t>
            </w:r>
          </w:p>
        </w:tc>
        <w:tc>
          <w:p w14:paraId="00100046" w14:textId="00100047">
            <w:r>
              <w:t xml:space="preserve">EUR/USD, GBP/USD, JPY/USD, INR/USD, CHF/USD, AUD/USD, CAD/USD, CNY/USD</w:t>
            </w:r>
          </w:p>
        </w:tc>
      </w:tr>
      <w:tr>
        <w:trPr/>
        <w:tc>
          <w:p w14:paraId="00100048" w14:textId="00100049">
            <w:r>
              <w:t xml:space="preserve">Commodities</w:t>
            </w:r>
          </w:p>
        </w:tc>
        <w:tc>
          <w:p w14:paraId="0010004A" w14:textId="0010004B">
            <w:r>
              <w:t xml:space="preserve">8</w:t>
            </w:r>
          </w:p>
        </w:tc>
        <w:tc>
          <w:p w14:paraId="0010004C" w14:textId="0010004D">
            <w:r>
              <w:t xml:space="preserve">Gold, Silver, Crude Oil (WTI), Brent Crude, Natural Gas, Copper, Corn, Wheat</w:t>
            </w:r>
          </w:p>
        </w:tc>
      </w:tr>
      <w:tr>
        <w:trPr/>
        <w:tc>
          <w:p w14:paraId="0010004E" w14:textId="0010004F">
            <w:r>
              <w:t xml:space="preserve">Cryptocurrencies</w:t>
            </w:r>
          </w:p>
        </w:tc>
        <w:tc>
          <w:p w14:paraId="00100050" w14:textId="00100051">
            <w:r>
              <w:t xml:space="preserve">8</w:t>
            </w:r>
          </w:p>
        </w:tc>
        <w:tc>
          <w:p w14:paraId="00100052" w14:textId="00100053">
            <w:r>
              <w:t xml:space="preserve">Bitcoin, Ethereum, BNB, Solana, XRP, Cardano, Dogecoin, Litecoin</w:t>
            </w:r>
          </w:p>
        </w:tc>
      </w:tr>
      <w:tr>
        <w:trPr/>
        <w:tc>
          <w:p w14:paraId="00100054" w14:textId="00100055">
            <w:r>
              <w:t xml:space="preserve">TOTAL</w:t>
            </w:r>
          </w:p>
        </w:tc>
        <w:tc>
          <w:p w14:paraId="00100056" w14:textId="00100057">
            <w:r>
              <w:t xml:space="preserve">34</w:t>
            </w:r>
          </w:p>
        </w:tc>
        <w:tc>
          <w:p w14:paraId="00100058" w14:textId="00100059">
            <w:r>
              <w:t xml:space="preserve">190,545 daily records | Date range: 2000-01-03 to 2026-09-18</w:t>
            </w:r>
          </w:p>
        </w:tc>
      </w:tr>
    </w:tbl>
    <w:p w14:paraId="0010005A" w14:textId="0010005B">
      <w:pPr>
        <w:pStyle w:val="Normal"/>
        <w:spacing w:after="240"/>
        <w:jc w:val="center"/>
      </w:pPr>
      <w:r>
        <w:rPr>
          <w:color w:val="666666"/>
          <w:sz w:val="20"/>
        </w:rPr>
        <w:t xml:space="preserve">Table 1: Asset Classes in the Dataset</w:t>
      </w:r>
    </w:p>
    <w:p w14:paraId="0010005C" w14:textId="0010005D">
      <w:pPr>
        <w:pStyle w:val="Heading1"/>
        <w:spacing w:before="240" w:after="160"/>
      </w:pPr>
      <w:r>
        <w:rPr>
          <w:b/>
          <w:sz w:val="36"/>
        </w:rPr>
        <w:t xml:space="preserve">3. Data Collection and Loading</w:t>
      </w:r>
    </w:p>
    <w:p w14:paraId="0010005E" w14:textId="0010005F">
      <w:pPr>
        <w:pStyle w:val="Normal"/>
        <w:spacing w:after="160"/>
      </w:pPr>
      <w:r>
        <w:rPr>
          <w:sz w:val="22"/>
        </w:rPr>
        <w:t xml:space="preserve">The dataset was loaded using pandas read_csv() with automatic date parsing. Derived columns (year, month, quarter, returns) were computed once at load time. Streamlit's @st.cache_data decorator ensures the 190,545-row CSV is parsed only once per session, avoiding repeated disk reads.</w:t>
      </w:r>
    </w:p>
    <w:p w14:paraId="00100060" w14:textId="00100061">
      <w:pPr>
        <w:pStyle w:val="Normal"/>
        <w:spacing w:after="80"/>
      </w:pPr>
      <w:r>
        <w:rPr>
          <w:b/>
          <w:sz w:val="22"/>
        </w:rPr>
        <w:t xml:space="preserve">Key loading steps:</w:t>
      </w:r>
    </w:p>
    <w:p w14:paraId="00100062" w14:textId="00100063">
      <w:pPr>
        <w:pStyle w:val="Normal"/>
        <w:numPr>
          <w:ilvl w:val="0"/>
          <w:numId w:val="2"/>
        </w:numPr>
        <w:spacing w:after="60"/>
      </w:pPr>
      <w:r>
        <w:rPr>
          <w:sz w:val="22"/>
        </w:rPr>
        <w:t xml:space="preserve">Read CSV with parse_dates=['date'] for native datetime handling.</w:t>
      </w:r>
    </w:p>
    <w:p w14:paraId="00100064" w14:textId="00100065">
      <w:pPr>
        <w:pStyle w:val="Normal"/>
        <w:numPr>
          <w:ilvl w:val="0"/>
          <w:numId w:val="2"/>
        </w:numPr>
        <w:spacing w:after="60"/>
      </w:pPr>
      <w:r>
        <w:rPr>
          <w:sz w:val="22"/>
        </w:rPr>
        <w:t xml:space="preserve">Sort by date ascending to ensure chronological correctness.</w:t>
      </w:r>
    </w:p>
    <w:p w14:paraId="00100066" w14:textId="00100067">
      <w:pPr>
        <w:pStyle w:val="Normal"/>
        <w:numPr>
          <w:ilvl w:val="0"/>
          <w:numId w:val="2"/>
        </w:numPr>
        <w:spacing w:after="60"/>
      </w:pPr>
      <w:r>
        <w:rPr>
          <w:sz w:val="22"/>
        </w:rPr>
        <w:t xml:space="preserve">Compute daily returns per asset using groupby('symbol').pct_change().</w:t>
      </w:r>
    </w:p>
    <w:p w14:paraId="00100068" w14:textId="00100069">
      <w:pPr>
        <w:pStyle w:val="Normal"/>
        <w:numPr>
          <w:ilvl w:val="0"/>
          <w:numId w:val="2"/>
        </w:numPr>
        <w:spacing w:after="240"/>
      </w:pPr>
      <w:r>
        <w:rPr>
          <w:sz w:val="22"/>
        </w:rPr>
        <w:t xml:space="preserve">Build a symbol-to-name lookup dictionary for readable chart labels.</w:t>
      </w:r>
    </w:p>
    <w:p w14:paraId="0010006A" w14:textId="0010006B">
      <w:pPr>
        <w:pStyle w:val="Normal"/>
        <w:spacing w:after="160"/>
      </w:pPr>
      <w:r>
        <w:rPr>
          <w:sz w:val="22"/>
        </w:rPr>
        <w:t xml:space="preserve">The only expected NaN values are in the computed returns column (one per asset on the first trading day, because pct_change() has no prior row). These are handled by dropna() wherever returns are used.</w:t>
      </w:r>
    </w:p>
    <w:p w14:paraId="0010006C" w14:textId="0010006D">
      <w:pPr>
        <w:pStyle w:val="Normal"/>
        <w:spacing w:after="120"/>
      </w:pPr>
      <w:r>
        <w:rPr>
          <w:sz w:val="22"/>
        </w:rPr>
        <w:t xml:space="preserve">Figure 1: Data Quality Check - all raw columns have zero missing values:</w:t>
      </w:r>
    </w:p>
    <w:p w14:paraId="0010006E" w14:textId="0010006F">
      <w:pPr>
        <w:spacing w:line="240" w:lineRule="auto"/>
      </w:pPr>
      <w:r>
        <w:rPr/>
        <w:drawing>
          <wp:inline distT="0" distB="0" distL="0" distR="0">
            <wp:extent cx="5400000" cy="1944000"/>
            <wp:effectExtent l="0" t="0" r="0" b="0"/>
            <wp:docPr id="1" name="11_data_quality.png" descr=""/>
            <wp:cNvGraphicFramePr>
              <a:graphicFrameLocks noChangeAspect="1"/>
            </wp:cNvGraphicFramePr>
            <a:graphic>
              <a:graphicData uri="http://schemas.openxmlformats.org/drawingml/2006/picture">
                <pic:pic>
                  <pic:nvPicPr>
                    <pic:cNvPr id="1" name="11_data_quality.png"/>
                    <pic:cNvPicPr/>
                  </pic:nvPicPr>
                  <pic:blipFill>
                    <a:blip r:embed="R0df413fd0fe74037" cstate="print"/>
                    <a:stretch>
                      <a:fillRect/>
                    </a:stretch>
                  </pic:blipFill>
                  <pic:spPr>
                    <a:xfrm>
                      <a:off x="0" y="0"/>
                      <a:ext cx="5400000" cy="1944000"/>
                    </a:xfrm>
                    <a:prstGeom prst="rect">
                      <a:avLst/>
                    </a:prstGeom>
                  </pic:spPr>
                </pic:pic>
              </a:graphicData>
            </a:graphic>
          </wp:inline>
        </w:drawing>
      </w:r>
    </w:p>
    <w:p w14:paraId="00100070" w14:textId="00100071">
      <w:pPr>
        <w:pStyle w:val="Normal"/>
        <w:spacing w:after="240"/>
        <w:jc w:val="center"/>
      </w:pPr>
      <w:r>
        <w:rPr>
          <w:color w:val="666666"/>
          <w:sz w:val="20"/>
        </w:rPr>
        <w:t xml:space="preserve">Figure 1: Missing Values per Column (0 = perfectly clean)</w:t>
      </w:r>
    </w:p>
    <w:p w14:paraId="0010008E" w14:textId="0010008F">
      <w:pPr>
        <w:pStyle w:val="Normal"/>
        <w:spacing w:after="240"/>
        <w:jc w:val="center"/>
      </w:pPr>
      <w:r>
        <w:rPr>
          <w:color w:val="666666"/>
          <w:sz w:val="20"/>
        </w:rPr>
        <w:t xml:space="preserve">Figure 4: S&amp;P 500 Annual Returns by Year (green = gain, red = loss)</w:t>
      </w:r>
    </w:p>
    <w:p w14:paraId="00100090" w14:textId="00100091">
      <w:pPr>
        <w:pStyle w:val="Heading1"/>
        <w:spacing w:before="240" w:after="160"/>
      </w:pPr>
      <w:r>
        <w:rPr>
          <w:b/>
          <w:sz w:val="36"/>
        </w:rPr>
        <w:t xml:space="preserve">4. Data Quality Check</w:t>
      </w:r>
    </w:p>
    <w:p w14:paraId="00100092" w14:textId="00100093">
      <w:pPr>
        <w:pStyle w:val="Normal"/>
        <w:spacing w:after="160"/>
      </w:pPr>
      <w:r>
        <w:rPr>
          <w:sz w:val="22"/>
        </w:rPr>
        <w:t xml:space="preserve">A thorough quality audit confirmed the dataset is fully clean: zero missing values, no negative prices, and no zero close prices across all 190,545 records. The only expected NaN values are in the derived returns column on the very first trading day per asset.</w:t>
      </w:r>
    </w:p>
    <w:p w14:paraId="00100094" w14:textId="00100095">
      <w:pPr>
        <w:spacing w:line="240" w:lineRule="auto"/>
      </w:pPr>
      <w:r>
        <w:drawing>
          <wp:inline distT="0" distB="0" distL="0" distR="0">
            <wp:extent cx="5760000" cy="2073600"/>
            <wp:effectExtent l="0" t="0" r="0" b="0"/>
            <wp:docPr id="5" name="11_data_quality.png" descr=""/>
            <wp:cNvGraphicFramePr>
              <a:graphicFrameLocks noChangeAspect="1"/>
            </wp:cNvGraphicFramePr>
            <a:graphic>
              <a:graphicData uri="http://schemas.openxmlformats.org/drawingml/2006/picture">
                <pic:pic>
                  <pic:nvPicPr>
                    <pic:cNvPr id="5" name="11_data_quality.png"/>
                    <pic:cNvPicPr/>
                  </pic:nvPicPr>
                  <pic:blipFill>
                    <a:blip r:embed="R568e21eb9315460e" cstate="print"/>
                    <a:stretch>
                      <a:fillRect/>
                    </a:stretch>
                  </pic:blipFill>
                  <pic:spPr>
                    <a:xfrm>
                      <a:off x="0" y="0"/>
                      <a:ext cx="5760000" cy="2073600"/>
                    </a:xfrm>
                    <a:prstGeom prst="rect">
                      <a:avLst/>
                    </a:prstGeom>
                  </pic:spPr>
                </pic:pic>
              </a:graphicData>
            </a:graphic>
          </wp:inline>
        </w:drawing>
      </w:r>
    </w:p>
    <w:p w14:paraId="00100096" w14:textId="00100097">
      <w:pPr>
        <w:pStyle w:val="Normal"/>
        <w:spacing w:after="240"/>
        <w:jc w:val="center"/>
      </w:pPr>
      <w:r>
        <w:rPr>
          <w:color w:val="666666"/>
          <w:sz w:val="20"/>
        </w:rPr>
        <w:t xml:space="preserve">Figure 1: Missing Values per Column - all raw columns confirmed clean (zero missing)</w:t>
      </w:r>
    </w:p>
    <w:p w14:paraId="00100098" w14:textId="00100099">
      <w:pPr>
        <w:pStyle w:val="Heading1"/>
        <w:spacing w:before="240" w:after="160"/>
      </w:pPr>
      <w:r>
        <w:rPr>
          <w:b/>
          <w:sz w:val="36"/>
        </w:rPr>
        <w:t xml:space="preserve">5. Exploratory Data Analysis (EDA)</w:t>
      </w:r>
    </w:p>
    <w:p w14:paraId="0010009A" w14:textId="0010009B">
      <w:pPr>
        <w:pStyle w:val="Normal"/>
        <w:spacing w:after="160"/>
      </w:pPr>
      <w:r>
        <w:rPr>
          <w:sz w:val="22"/>
        </w:rPr>
        <w:t xml:space="preserve">The EDA phase examined statistical distributions of returns, data coverage per year, and the breakdown of records by asset class. Cryptos appear from 2014 onwards; all other asset classes have continuous data from 2000. Daily return distributions are approximately normal with fat tails, meaning extreme market moves occur more frequently than standard models predict.</w:t>
      </w:r>
    </w:p>
    <w:p w14:paraId="0010009C" w14:textId="0010009D">
      <w:pPr>
        <w:spacing w:line="240" w:lineRule="auto"/>
      </w:pPr>
      <w:r>
        <w:drawing>
          <wp:inline distT="0" distB="0" distL="0" distR="0">
            <wp:extent cx="4320000" cy="1555200"/>
            <wp:effectExtent l="0" t="0" r="0" b="0"/>
            <wp:docPr id="6" name="03_asset_types.png" descr=""/>
            <wp:cNvGraphicFramePr>
              <a:graphicFrameLocks noChangeAspect="1"/>
            </wp:cNvGraphicFramePr>
            <a:graphic>
              <a:graphicData uri="http://schemas.openxmlformats.org/drawingml/2006/picture">
                <pic:pic>
                  <pic:nvPicPr>
                    <pic:cNvPr id="6" name="03_asset_types.png"/>
                    <pic:cNvPicPr/>
                  </pic:nvPicPr>
                  <pic:blipFill>
                    <a:blip r:embed="R514c87725d1b4010" cstate="print"/>
                    <a:stretch>
                      <a:fillRect/>
                    </a:stretch>
                  </pic:blipFill>
                  <pic:spPr>
                    <a:xfrm>
                      <a:off x="0" y="0"/>
                      <a:ext cx="4320000" cy="1555200"/>
                    </a:xfrm>
                    <a:prstGeom prst="rect">
                      <a:avLst/>
                    </a:prstGeom>
                  </pic:spPr>
                </pic:pic>
              </a:graphicData>
            </a:graphic>
          </wp:inline>
        </w:drawing>
      </w:r>
    </w:p>
    <w:p w14:paraId="0010009E" w14:textId="0010009F">
      <w:pPr>
        <w:pStyle w:val="Normal"/>
        <w:spacing w:after="240"/>
        <w:jc w:val="center"/>
      </w:pPr>
      <w:r>
        <w:rPr>
          <w:color w:val="666666"/>
          <w:sz w:val="20"/>
        </w:rPr>
        <w:t xml:space="preserve">Figure 2: Asset Class Distribution (34 assets across 4 categories)</w:t>
      </w:r>
    </w:p>
    <w:p w14:paraId="001000A0" w14:textId="001000A1">
      <w:pPr>
        <w:pStyle w:val="Heading1"/>
        <w:spacing w:before="240" w:after="160"/>
      </w:pPr>
      <w:r>
        <w:rPr>
          <w:b/>
          <w:sz w:val="36"/>
        </w:rPr>
        <w:t xml:space="preserve">6. Price History and Trend Analysis</w:t>
      </w:r>
    </w:p>
    <w:p w14:paraId="001000A2" w14:textId="001000A3">
      <w:pPr>
        <w:pStyle w:val="Normal"/>
        <w:spacing w:after="120"/>
      </w:pPr>
      <w:r>
        <w:rPr>
          <w:sz w:val="22"/>
        </w:rPr>
        <w:t xml:space="preserve">Price history was analysed using line charts overlaid with 50-day and 200-day moving averages. The normalised comparison chart rebases all assets to 100 for fair growth comparison regardless of price levels.</w:t>
      </w:r>
    </w:p>
    <w:p w14:paraId="001000A4" w14:textId="001000A5">
      <w:pPr>
        <w:pStyle w:val="Normal"/>
        <w:spacing w:after="160"/>
      </w:pPr>
      <w:r>
        <w:rPr>
          <w:sz w:val="22"/>
        </w:rPr>
        <w:t xml:space="preserve">Key finding: $1,000 in NASDAQ (2010) grew to over $22,000 by 2026. The same in Gold became ~$2,400. Bitcoin (from 2015) returned over 100x.</w:t>
      </w:r>
    </w:p>
    <w:p w14:paraId="001000A6" w14:textId="001000A7">
      <w:pPr>
        <w:spacing w:line="240" w:lineRule="auto"/>
      </w:pPr>
      <w:r>
        <w:drawing>
          <wp:inline distT="0" distB="0" distL="0" distR="0">
            <wp:extent cx="5760000" cy="2534400"/>
            <wp:effectExtent l="0" t="0" r="0" b="0"/>
            <wp:docPr id="7" name="01_growth_1000.png" descr=""/>
            <wp:cNvGraphicFramePr>
              <a:graphicFrameLocks noChangeAspect="1"/>
            </wp:cNvGraphicFramePr>
            <a:graphic>
              <a:graphicData uri="http://schemas.openxmlformats.org/drawingml/2006/picture">
                <pic:pic>
                  <pic:nvPicPr>
                    <pic:cNvPr id="7" name="01_growth_1000.png"/>
                    <pic:cNvPicPr/>
                  </pic:nvPicPr>
                  <pic:blipFill>
                    <a:blip r:embed="Rc4002074ad08436f" cstate="print"/>
                    <a:stretch>
                      <a:fillRect/>
                    </a:stretch>
                  </pic:blipFill>
                  <pic:spPr>
                    <a:xfrm>
                      <a:off x="0" y="0"/>
                      <a:ext cx="5760000" cy="2534400"/>
                    </a:xfrm>
                    <a:prstGeom prst="rect">
                      <a:avLst/>
                    </a:prstGeom>
                  </pic:spPr>
                </pic:pic>
              </a:graphicData>
            </a:graphic>
          </wp:inline>
        </w:drawing>
      </w:r>
    </w:p>
    <w:p w14:paraId="001000A8" w14:textId="001000A9">
      <w:pPr>
        <w:pStyle w:val="Normal"/>
        <w:spacing w:after="160"/>
        <w:jc w:val="center"/>
      </w:pPr>
      <w:r>
        <w:rPr>
          <w:color w:val="666666"/>
          <w:sz w:val="20"/>
        </w:rPr>
        <w:t xml:space="preserve">Figure 3: Growth of $1,000 Invested (2010 to Present) across 5 Key Assets</w:t>
      </w:r>
    </w:p>
    <w:p w14:paraId="001000AA" w14:textId="001000AB">
      <w:pPr>
        <w:spacing w:line="240" w:lineRule="auto"/>
      </w:pPr>
      <w:r>
        <w:drawing>
          <wp:inline distT="0" distB="0" distL="0" distR="0">
            <wp:extent cx="5760000" cy="2304000"/>
            <wp:effectExtent l="0" t="0" r="0" b="0"/>
            <wp:docPr id="8" name="02_annual_returns.png" descr=""/>
            <wp:cNvGraphicFramePr>
              <a:graphicFrameLocks noChangeAspect="1"/>
            </wp:cNvGraphicFramePr>
            <a:graphic>
              <a:graphicData uri="http://schemas.openxmlformats.org/drawingml/2006/picture">
                <pic:pic>
                  <pic:nvPicPr>
                    <pic:cNvPr id="8" name="02_annual_returns.png"/>
                    <pic:cNvPicPr/>
                  </pic:nvPicPr>
                  <pic:blipFill>
                    <a:blip r:embed="R52ec8679dc7c4ff1" cstate="print"/>
                    <a:stretch>
                      <a:fillRect/>
                    </a:stretch>
                  </pic:blipFill>
                  <pic:spPr>
                    <a:xfrm>
                      <a:off x="0" y="0"/>
                      <a:ext cx="5760000" cy="2304000"/>
                    </a:xfrm>
                    <a:prstGeom prst="rect">
                      <a:avLst/>
                    </a:prstGeom>
                  </pic:spPr>
                </pic:pic>
              </a:graphicData>
            </a:graphic>
          </wp:inline>
        </w:drawing>
      </w:r>
    </w:p>
    <w:p w14:paraId="001000AC" w14:textId="001000AD">
      <w:pPr>
        <w:pStyle w:val="Normal"/>
        <w:spacing w:after="240"/>
        <w:jc w:val="center"/>
      </w:pPr>
      <w:r>
        <w:rPr>
          <w:color w:val="666666"/>
          <w:sz w:val="20"/>
        </w:rPr>
        <w:t xml:space="preserve">Figure 4: S&amp;P 500 Annual Returns by Year (green = gain, red = loss)</w:t>
      </w:r>
    </w:p>
    <w:p w14:paraId="001000AE" w14:textId="001000AF">
      <w:pPr>
        <w:pStyle w:val="Heading1"/>
        <w:spacing w:before="240" w:after="160"/>
      </w:pPr>
      <w:r>
        <w:rPr>
          <w:b/>
          <w:sz w:val="36"/>
        </w:rPr>
        <w:t xml:space="preserve">7. Market Crashes and Drawdowns</w:t>
      </w:r>
    </w:p>
    <w:p w14:paraId="001000B0" w14:textId="001000B1">
      <w:pPr>
        <w:pStyle w:val="Normal"/>
        <w:spacing w:after="160"/>
      </w:pPr>
      <w:r>
        <w:rPr>
          <w:sz w:val="22"/>
        </w:rPr>
        <w:t xml:space="preserve">Four major market crashes were analysed: the Dot-com Crash (2000-2002), the 2008 Global Financial Crisis, the COVID-19 crash (2020), and the 2022 Inflation Shock. Every crash was followed by a full recovery and new all-time highs - confirming the long-run upward bias of equity markets.</w:t>
      </w:r>
    </w:p>
    <w:p w14:paraId="001000B2" w14:textId="001000B3">
      <w:pPr>
        <w:spacing w:line="240" w:lineRule="auto"/>
      </w:pPr>
      <w:r>
        <w:drawing>
          <wp:inline distT="0" distB="0" distL="0" distR="0">
            <wp:extent cx="5760000" cy="2304000"/>
            <wp:effectExtent l="0" t="0" r="0" b="0"/>
            <wp:docPr id="9" name="04_crash_overlay.png" descr=""/>
            <wp:cNvGraphicFramePr>
              <a:graphicFrameLocks noChangeAspect="1"/>
            </wp:cNvGraphicFramePr>
            <a:graphic>
              <a:graphicData uri="http://schemas.openxmlformats.org/drawingml/2006/picture">
                <pic:pic>
                  <pic:nvPicPr>
                    <pic:cNvPr id="9" name="04_crash_overlay.png"/>
                    <pic:cNvPicPr/>
                  </pic:nvPicPr>
                  <pic:blipFill>
                    <a:blip r:embed="Re5cc0928e0ad4076" cstate="print"/>
                    <a:stretch>
                      <a:fillRect/>
                    </a:stretch>
                  </pic:blipFill>
                  <pic:spPr>
                    <a:xfrm>
                      <a:off x="0" y="0"/>
                      <a:ext cx="5760000" cy="2304000"/>
                    </a:xfrm>
                    <a:prstGeom prst="rect">
                      <a:avLst/>
                    </a:prstGeom>
                  </pic:spPr>
                </pic:pic>
              </a:graphicData>
            </a:graphic>
          </wp:inline>
        </w:drawing>
      </w:r>
    </w:p>
    <w:p w14:paraId="001000B4" w14:textId="001000B5">
      <w:pPr>
        <w:pStyle w:val="Normal"/>
        <w:spacing w:after="160"/>
        <w:jc w:val="center"/>
      </w:pPr>
      <w:r>
        <w:rPr>
          <w:color w:val="666666"/>
          <w:sz w:val="20"/>
        </w:rPr>
        <w:t xml:space="preserve">Figure 5: S&amp;P 500 with Major Crash Periods Highlighted</w:t>
      </w:r>
    </w:p>
    <w:p w14:paraId="001000B6" w14:textId="001000B7">
      <w:pPr>
        <w:spacing w:line="240" w:lineRule="auto"/>
      </w:pPr>
      <w:r>
        <w:drawing>
          <wp:inline distT="0" distB="0" distL="0" distR="0">
            <wp:extent cx="5760000" cy="2188800"/>
            <wp:effectExtent l="0" t="0" r="0" b="0"/>
            <wp:docPr id="10" name="05_drawdown.png" descr=""/>
            <wp:cNvGraphicFramePr>
              <a:graphicFrameLocks noChangeAspect="1"/>
            </wp:cNvGraphicFramePr>
            <a:graphic>
              <a:graphicData uri="http://schemas.openxmlformats.org/drawingml/2006/picture">
                <pic:pic>
                  <pic:nvPicPr>
                    <pic:cNvPr id="10" name="05_drawdown.png"/>
                    <pic:cNvPicPr/>
                  </pic:nvPicPr>
                  <pic:blipFill>
                    <a:blip r:embed="R1c2bf5267e3441a4" cstate="print"/>
                    <a:stretch>
                      <a:fillRect/>
                    </a:stretch>
                  </pic:blipFill>
                  <pic:spPr>
                    <a:xfrm>
                      <a:off x="0" y="0"/>
                      <a:ext cx="5760000" cy="2188800"/>
                    </a:xfrm>
                    <a:prstGeom prst="rect">
                      <a:avLst/>
                    </a:prstGeom>
                  </pic:spPr>
                </pic:pic>
              </a:graphicData>
            </a:graphic>
          </wp:inline>
        </w:drawing>
      </w:r>
    </w:p>
    <w:p w14:paraId="001000B8" w14:textId="001000B9">
      <w:pPr>
        <w:pStyle w:val="Normal"/>
        <w:spacing w:after="160"/>
        <w:jc w:val="center"/>
      </w:pPr>
      <w:r>
        <w:rPr>
          <w:color w:val="666666"/>
          <w:sz w:val="20"/>
        </w:rPr>
        <w:t xml:space="preserve">Figure 6: Drawdown from All-Time High - S&amp;P 500, NASDAQ, and Gold (2010-present)</w:t>
      </w:r>
    </w:p>
    <w:p w14:paraId="001000BA" w14:textId="001000BB">
      <w:pPr>
        <w:pStyle w:val="Normal"/>
        <w:spacing w:after="240"/>
      </w:pPr>
      <w:r>
        <w:rPr>
          <w:sz w:val="22"/>
        </w:rPr>
        <w:t xml:space="preserve">Recurring pattern identified: Major crashes follow a cycle of rapid credit expansion, asset bubble, trigger event, 30-60% decline, and 2-5 year recovery. The dot-com, housing, and COVID crashes all followed this blueprint.</w:t>
      </w:r>
    </w:p>
    <w:p w14:paraId="001000BC" w14:textId="001000BD">
      <w:pPr>
        <w:pStyle w:val="Heading1"/>
        <w:spacing w:before="240" w:after="160"/>
      </w:pPr>
      <w:r>
        <w:rPr>
          <w:b/>
          <w:sz w:val="36"/>
        </w:rPr>
        <w:t xml:space="preserve">8. Hidden Trends and Seasonality Patterns</w:t>
      </w:r>
    </w:p>
    <w:p w14:paraId="001000BE" w14:textId="001000BF">
      <w:pPr>
        <w:pStyle w:val="Normal"/>
        <w:spacing w:after="120"/>
      </w:pPr>
      <w:r>
        <w:rPr>
          <w:sz w:val="22"/>
        </w:rPr>
        <w:t xml:space="preserve">Seasonal analysis revealed statistically significant monthly and quarterly patterns in market returns. These patterns recur year after year and can be used to time entries and exits.</w:t>
      </w:r>
    </w:p>
    <w:p w14:paraId="001000C0" w14:textId="001000C1">
      <w:pPr>
        <w:pStyle w:val="Normal"/>
        <w:numPr>
          <w:ilvl w:val="0"/>
          <w:numId w:val="4"/>
        </w:numPr>
        <w:spacing w:after="60"/>
      </w:pPr>
      <w:r>
        <w:rPr>
          <w:sz w:val="22"/>
        </w:rPr>
        <w:t xml:space="preserve">January Effect: Historically one of the strongest months for equity indices, driven by new-year institutional rebalancing.</w:t>
      </w:r>
    </w:p>
    <w:p w14:paraId="001000C2" w14:textId="001000C3">
      <w:pPr>
        <w:pStyle w:val="Normal"/>
        <w:numPr>
          <w:ilvl w:val="0"/>
          <w:numId w:val="4"/>
        </w:numPr>
        <w:spacing w:after="60"/>
      </w:pPr>
      <w:r>
        <w:rPr>
          <w:sz w:val="22"/>
        </w:rPr>
        <w:t xml:space="preserve">Sell in May: April and May show weaker-than-average returns across most indices, supporting the seasonal rotation strategy.</w:t>
      </w:r>
    </w:p>
    <w:p w14:paraId="001000C4" w14:textId="001000C5">
      <w:pPr>
        <w:pStyle w:val="Normal"/>
        <w:numPr>
          <w:ilvl w:val="0"/>
          <w:numId w:val="4"/>
        </w:numPr>
        <w:spacing w:after="60"/>
      </w:pPr>
      <w:r>
        <w:rPr>
          <w:sz w:val="22"/>
        </w:rPr>
        <w:t xml:space="preserve">Q4 Strength: October through December (Q4) shows the strongest average quarterly returns for US indices.</w:t>
      </w:r>
    </w:p>
    <w:p w14:paraId="001000C6" w14:textId="001000C7">
      <w:pPr>
        <w:pStyle w:val="Normal"/>
        <w:numPr>
          <w:ilvl w:val="0"/>
          <w:numId w:val="4"/>
        </w:numPr>
        <w:spacing w:after="160"/>
      </w:pPr>
      <w:r>
        <w:rPr>
          <w:sz w:val="22"/>
        </w:rPr>
        <w:t xml:space="preserve">Volatility spikes: 2008, 2020, and 2022 show dramatically elevated volatility - all crisis years.</w:t>
      </w:r>
    </w:p>
    <w:p w14:paraId="001000C8" w14:textId="001000C9">
      <w:pPr>
        <w:spacing w:line="240" w:lineRule="auto"/>
      </w:pPr>
      <w:r>
        <w:drawing>
          <wp:inline distT="0" distB="0" distL="0" distR="0">
            <wp:extent cx="5760000" cy="2722909"/>
            <wp:effectExtent l="0" t="0" r="0" b="0"/>
            <wp:docPr id="11" name="06_heatmap.png" descr=""/>
            <wp:cNvGraphicFramePr>
              <a:graphicFrameLocks noChangeAspect="1"/>
            </wp:cNvGraphicFramePr>
            <a:graphic>
              <a:graphicData uri="http://schemas.openxmlformats.org/drawingml/2006/picture">
                <pic:pic>
                  <pic:nvPicPr>
                    <pic:cNvPr id="11" name="06_heatmap.png"/>
                    <pic:cNvPicPr/>
                  </pic:nvPicPr>
                  <pic:blipFill>
                    <a:blip r:embed="R9897dc399fab4329" cstate="print"/>
                    <a:stretch>
                      <a:fillRect/>
                    </a:stretch>
                  </pic:blipFill>
                  <pic:spPr>
                    <a:xfrm>
                      <a:off x="0" y="0"/>
                      <a:ext cx="5760000" cy="2722909"/>
                    </a:xfrm>
                    <a:prstGeom prst="rect">
                      <a:avLst/>
                    </a:prstGeom>
                  </pic:spPr>
                </pic:pic>
              </a:graphicData>
            </a:graphic>
          </wp:inline>
        </w:drawing>
      </w:r>
    </w:p>
    <w:p w14:paraId="001000CA" w14:textId="001000CB">
      <w:pPr>
        <w:pStyle w:val="Normal"/>
        <w:spacing w:after="160"/>
        <w:jc w:val="center"/>
      </w:pPr>
      <w:r>
        <w:rPr>
          <w:color w:val="666666"/>
          <w:sz w:val="20"/>
        </w:rPr>
        <w:t xml:space="preserve">Figure 7: Monthly Return Heatmap for S&amp;P 500 (green = strong month, red = weak month)</w:t>
      </w:r>
    </w:p>
    <w:p w14:paraId="001000CC" w14:textId="001000CD">
      <w:pPr>
        <w:spacing w:line="240" w:lineRule="auto"/>
      </w:pPr>
      <w:r>
        <w:drawing>
          <wp:inline distT="0" distB="0" distL="0" distR="0">
            <wp:extent cx="5760000" cy="2188800"/>
            <wp:effectExtent l="0" t="0" r="0" b="0"/>
            <wp:docPr id="12" name="07_volatility.png" descr=""/>
            <wp:cNvGraphicFramePr>
              <a:graphicFrameLocks noChangeAspect="1"/>
            </wp:cNvGraphicFramePr>
            <a:graphic>
              <a:graphicData uri="http://schemas.openxmlformats.org/drawingml/2006/picture">
                <pic:pic>
                  <pic:nvPicPr>
                    <pic:cNvPr id="12" name="07_volatility.png"/>
                    <pic:cNvPicPr/>
                  </pic:nvPicPr>
                  <pic:blipFill>
                    <a:blip r:embed="Rb011f7d602c84eea" cstate="print"/>
                    <a:stretch>
                      <a:fillRect/>
                    </a:stretch>
                  </pic:blipFill>
                  <pic:spPr>
                    <a:xfrm>
                      <a:off x="0" y="0"/>
                      <a:ext cx="5760000" cy="2188800"/>
                    </a:xfrm>
                    <a:prstGeom prst="rect">
                      <a:avLst/>
                    </a:prstGeom>
                  </pic:spPr>
                </pic:pic>
              </a:graphicData>
            </a:graphic>
          </wp:inline>
        </w:drawing>
      </w:r>
    </w:p>
    <w:p w14:paraId="001000CE" w14:textId="001000CF">
      <w:pPr>
        <w:pStyle w:val="Normal"/>
        <w:spacing w:after="240"/>
        <w:jc w:val="center"/>
      </w:pPr>
      <w:r>
        <w:rPr>
          <w:color w:val="666666"/>
          <w:sz w:val="20"/>
        </w:rPr>
        <w:t xml:space="preserve">Figure 8: Annual Realised Volatility (%) - S&amp;P 500, NASDAQ, and Gold</w:t>
      </w:r>
    </w:p>
    <w:p w14:paraId="001000D0" w14:textId="001000D1">
      <w:pPr>
        <w:pStyle w:val="Heading1"/>
        <w:spacing w:before="240" w:after="160"/>
      </w:pPr>
      <w:r>
        <w:rPr>
          <w:b/>
          <w:sz w:val="36"/>
        </w:rPr>
        <w:t xml:space="preserve">9. Machine Learning Price Forecast</w:t>
      </w:r>
    </w:p>
    <w:p w14:paraId="001000D2" w14:textId="001000D3">
      <w:pPr>
        <w:pStyle w:val="Normal"/>
        <w:spacing w:after="120"/>
      </w:pPr>
      <w:r>
        <w:rPr>
          <w:sz w:val="22"/>
        </w:rPr>
        <w:t xml:space="preserve">A Random Forest Regressor was trained on the S&amp;P 500 to predict the next day's closing price. The model was trained on 80% of historical data and evaluated on the remaining 20%.</w:t>
      </w:r>
    </w:p>
    <w:p w14:paraId="001000D4" w14:textId="001000D5">
      <w:pPr>
        <w:pStyle w:val="Normal"/>
        <w:spacing w:after="120"/>
      </w:pPr>
      <w:r>
        <w:rPr>
          <w:sz w:val="22"/>
        </w:rPr>
        <w:t xml:space="preserve">Feature Engineering: 13 features were engineered from raw price data including current close, 10/30/90-day moving averages, 10-day volatility, 10/30-day momentum, 5 lagged prices (1 to 10 days back), and month of year.</w:t>
      </w:r>
    </w:p>
    <w:p w14:paraId="001000D6" w14:textId="001000D7">
      <w:pPr>
        <w:pStyle w:val="Normal"/>
        <w:spacing w:after="80"/>
      </w:pPr>
      <w:r>
        <w:rPr>
          <w:b/>
          <w:sz w:val="22"/>
        </w:rPr>
        <w:t xml:space="preserve">Model Performance Summary (S&amp;P 500):</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8" w14:textId="001000D9">
            <w:r>
              <w:t xml:space="preserve">Metric</w:t>
            </w:r>
          </w:p>
        </w:tc>
        <w:tc>
          <w:p w14:paraId="001000DA" w14:textId="001000DB">
            <w:r>
              <w:t xml:space="preserve">Value</w:t>
            </w:r>
          </w:p>
        </w:tc>
      </w:tr>
      <w:tr>
        <w:trPr/>
        <w:tc>
          <w:p w14:paraId="001000DC" w14:textId="001000DD">
            <w:r>
              <w:t xml:space="preserve">MAPE (Mean Absolute % Error)</w:t>
            </w:r>
          </w:p>
        </w:tc>
        <w:tc>
          <w:p w14:paraId="001000DE" w14:textId="001000DF">
            <w:r>
              <w:t xml:space="preserve">~17% (price level across 25-year test span)</w:t>
            </w:r>
          </w:p>
        </w:tc>
      </w:tr>
      <w:tr>
        <w:trPr/>
        <w:tc>
          <w:p w14:paraId="001000E0" w14:textId="001000E1">
            <w:r>
              <w:t xml:space="preserve">Direction Accuracy</w:t>
            </w:r>
          </w:p>
        </w:tc>
        <w:tc>
          <w:p w14:paraId="001000E2" w14:textId="001000E3">
            <w:r>
              <w:t xml:space="preserve">~53-55% (better than coin flip)</w:t>
            </w:r>
          </w:p>
        </w:tc>
      </w:tr>
      <w:tr>
        <w:trPr/>
        <w:tc>
          <w:p w14:paraId="001000E4" w14:textId="001000E5">
            <w:r>
              <w:t xml:space="preserve">Most Important Feature</w:t>
            </w:r>
          </w:p>
        </w:tc>
        <w:tc>
          <w:p w14:paraId="001000E6" w14:textId="001000E7">
            <w:r>
              <w:t xml:space="preserve">Yesterday's close price (lag1)</w:t>
            </w:r>
          </w:p>
        </w:tc>
      </w:tr>
      <w:tr>
        <w:trPr/>
        <w:tc>
          <w:p w14:paraId="001000E8" w14:textId="001000E9">
            <w:r>
              <w:t xml:space="preserve">2nd Most Important Feature</w:t>
            </w:r>
          </w:p>
        </w:tc>
        <w:tc>
          <w:p w14:paraId="001000EA" w14:textId="001000EB">
            <w:r>
              <w:t xml:space="preserve">Current close price</w:t>
            </w:r>
          </w:p>
        </w:tc>
      </w:tr>
    </w:tbl>
    <w:p w14:paraId="001000EC" w14:textId="001000ED">
      <w:pPr>
        <w:pStyle w:val="Normal"/>
        <w:spacing w:after="160"/>
        <w:jc w:val="center"/>
      </w:pPr>
      <w:r>
        <w:rPr>
          <w:color w:val="666666"/>
          <w:sz w:val="20"/>
        </w:rPr>
        <w:t xml:space="preserve">Table 4: ML Model Performance Metrics</w:t>
      </w:r>
    </w:p>
    <w:p w14:paraId="001000EE" w14:textId="001000EF">
      <w:pPr>
        <w:spacing w:line="240" w:lineRule="auto"/>
      </w:pPr>
      <w:r>
        <w:drawing>
          <wp:inline distT="0" distB="0" distL="0" distR="0">
            <wp:extent cx="5760000" cy="2304000"/>
            <wp:effectExtent l="0" t="0" r="0" b="0"/>
            <wp:docPr id="13" name="08_actual_vs_pred.png" descr=""/>
            <wp:cNvGraphicFramePr>
              <a:graphicFrameLocks noChangeAspect="1"/>
            </wp:cNvGraphicFramePr>
            <a:graphic>
              <a:graphicData uri="http://schemas.openxmlformats.org/drawingml/2006/picture">
                <pic:pic>
                  <pic:nvPicPr>
                    <pic:cNvPr id="13" name="08_actual_vs_pred.png"/>
                    <pic:cNvPicPr/>
                  </pic:nvPicPr>
                  <pic:blipFill>
                    <a:blip r:embed="Rbad3a91461bf425a" cstate="print"/>
                    <a:stretch>
                      <a:fillRect/>
                    </a:stretch>
                  </pic:blipFill>
                  <pic:spPr>
                    <a:xfrm>
                      <a:off x="0" y="0"/>
                      <a:ext cx="5760000" cy="2304000"/>
                    </a:xfrm>
                    <a:prstGeom prst="rect">
                      <a:avLst/>
                    </a:prstGeom>
                  </pic:spPr>
                </pic:pic>
              </a:graphicData>
            </a:graphic>
          </wp:inline>
        </w:drawing>
      </w:r>
    </w:p>
    <w:p w14:paraId="001000F0" w14:textId="001000F1">
      <w:pPr>
        <w:pStyle w:val="Normal"/>
        <w:spacing w:after="160"/>
        <w:jc w:val="center"/>
      </w:pPr>
      <w:r>
        <w:rPr>
          <w:color w:val="666666"/>
          <w:sz w:val="20"/>
        </w:rPr>
        <w:t xml:space="preserve">Figure 9: Actual vs ML Predicted Price - S&amp;P 500 Test Set (last 500 days)</w:t>
      </w:r>
    </w:p>
    <w:p w14:paraId="001000F2" w14:textId="001000F3">
      <w:pPr>
        <w:spacing w:line="240" w:lineRule="auto"/>
      </w:pPr>
      <w:r>
        <w:drawing>
          <wp:inline distT="0" distB="0" distL="0" distR="0">
            <wp:extent cx="5760000" cy="2419200"/>
            <wp:effectExtent l="0" t="0" r="0" b="0"/>
            <wp:docPr id="14" name="09_forecast.png" descr=""/>
            <wp:cNvGraphicFramePr>
              <a:graphicFrameLocks noChangeAspect="1"/>
            </wp:cNvGraphicFramePr>
            <a:graphic>
              <a:graphicData uri="http://schemas.openxmlformats.org/drawingml/2006/picture">
                <pic:pic>
                  <pic:nvPicPr>
                    <pic:cNvPr id="14" name="09_forecast.png"/>
                    <pic:cNvPicPr/>
                  </pic:nvPicPr>
                  <pic:blipFill>
                    <a:blip r:embed="Rfeec89e34d8b4868" cstate="print"/>
                    <a:stretch>
                      <a:fillRect/>
                    </a:stretch>
                  </pic:blipFill>
                  <pic:spPr>
                    <a:xfrm>
                      <a:off x="0" y="0"/>
                      <a:ext cx="5760000" cy="2419200"/>
                    </a:xfrm>
                    <a:prstGeom prst="rect">
                      <a:avLst/>
                    </a:prstGeom>
                  </pic:spPr>
                </pic:pic>
              </a:graphicData>
            </a:graphic>
          </wp:inline>
        </w:drawing>
      </w:r>
    </w:p>
    <w:p w14:paraId="001000F4" w14:textId="001000F5">
      <w:pPr>
        <w:pStyle w:val="Normal"/>
        <w:spacing w:after="160"/>
        <w:jc w:val="center"/>
      </w:pPr>
      <w:r>
        <w:rPr>
          <w:color w:val="666666"/>
          <w:sz w:val="20"/>
        </w:rPr>
        <w:t xml:space="preserve">Figure 10: 90-Day Forward Forecast with 95% Confidence Band</w:t>
      </w:r>
    </w:p>
    <w:p w14:paraId="001000F6" w14:textId="001000F7">
      <w:pPr>
        <w:spacing w:line="240" w:lineRule="auto"/>
      </w:pPr>
      <w:r>
        <w:drawing>
          <wp:inline distT="0" distB="0" distL="0" distR="0">
            <wp:extent cx="5400000" cy="2052000"/>
            <wp:effectExtent l="0" t="0" r="0" b="0"/>
            <wp:docPr id="15" name="10_feature_importance.png" descr=""/>
            <wp:cNvGraphicFramePr>
              <a:graphicFrameLocks noChangeAspect="1"/>
            </wp:cNvGraphicFramePr>
            <a:graphic>
              <a:graphicData uri="http://schemas.openxmlformats.org/drawingml/2006/picture">
                <pic:pic>
                  <pic:nvPicPr>
                    <pic:cNvPr id="15" name="10_feature_importance.png"/>
                    <pic:cNvPicPr/>
                  </pic:nvPicPr>
                  <pic:blipFill>
                    <a:blip r:embed="R3bc226aae5eb4176" cstate="print"/>
                    <a:stretch>
                      <a:fillRect/>
                    </a:stretch>
                  </pic:blipFill>
                  <pic:spPr>
                    <a:xfrm>
                      <a:off x="0" y="0"/>
                      <a:ext cx="5400000" cy="2052000"/>
                    </a:xfrm>
                    <a:prstGeom prst="rect">
                      <a:avLst/>
                    </a:prstGeom>
                  </pic:spPr>
                </pic:pic>
              </a:graphicData>
            </a:graphic>
          </wp:inline>
        </w:drawing>
      </w:r>
    </w:p>
    <w:p w14:paraId="001000F8" w14:textId="001000F9">
      <w:pPr>
        <w:pStyle w:val="Normal"/>
        <w:spacing w:after="240"/>
        <w:jc w:val="center"/>
      </w:pPr>
      <w:r>
        <w:rPr>
          <w:color w:val="666666"/>
          <w:sz w:val="20"/>
        </w:rPr>
        <w:t xml:space="preserve">Figure 11: Feature Importance - What the ML Model Relies On Most</w:t>
      </w:r>
    </w:p>
    <w:p w14:paraId="001000FA" w14:textId="001000FB">
      <w:pPr>
        <w:pStyle w:val="Heading1"/>
        <w:spacing w:before="240" w:after="160"/>
      </w:pPr>
      <w:r>
        <w:rPr>
          <w:b/>
          <w:sz w:val="36"/>
        </w:rPr>
        <w:t xml:space="preserve">10. Business Insights and Recommendations</w:t>
      </w:r>
    </w:p>
    <w:p w14:paraId="001000FC" w14:textId="001000FD">
      <w:pPr>
        <w:pStyle w:val="Normal"/>
        <w:spacing w:after="160"/>
      </w:pPr>
      <w:r>
        <w:rPr>
          <w:sz w:val="22"/>
        </w:rPr>
        <w:t xml:space="preserve">Based on 25+ years of global market data, the following actionable insights were derived:</w:t>
      </w:r>
    </w:p>
    <w:p w14:paraId="001000FE" w14:textId="001000FF">
      <w:pPr>
        <w:pStyle w:val="Normal"/>
        <w:numPr>
          <w:ilvl w:val="0"/>
          <w:numId w:val="5"/>
        </w:numPr>
        <w:spacing w:after="120"/>
      </w:pPr>
      <w:r>
        <w:rPr>
          <w:sz w:val="22"/>
        </w:rPr>
        <w:t xml:space="preserve">1. Long-Run Equity Bias: Every major equity index recovered to new all-time highs after every crash. Staying invested through downturns and buying on dips in index funds delivers the highest risk-adjusted returns over 10+ year horizons.</w:t>
      </w:r>
    </w:p>
    <w:p w14:paraId="00100100" w14:textId="00100101">
      <w:pPr>
        <w:pStyle w:val="Normal"/>
        <w:numPr>
          <w:ilvl w:val="0"/>
          <w:numId w:val="5"/>
        </w:numPr>
        <w:spacing w:after="120"/>
      </w:pPr>
      <w:r>
        <w:rPr>
          <w:sz w:val="22"/>
        </w:rPr>
        <w:t xml:space="preserve">2. Gold as a Crash Hedge: Gold preserves value during equity bear markets. A 10-15% gold allocation meaningfully reduces portfolio drawdowns during crises without sacrificing long-run growth.</w:t>
      </w:r>
    </w:p>
    <w:p w14:paraId="00100102" w14:textId="00100103">
      <w:pPr>
        <w:pStyle w:val="Normal"/>
        <w:numPr>
          <w:ilvl w:val="0"/>
          <w:numId w:val="5"/>
        </w:numPr>
        <w:spacing w:after="120"/>
      </w:pPr>
      <w:r>
        <w:rPr>
          <w:sz w:val="22"/>
        </w:rPr>
        <w:t xml:space="preserve">3. Crypto - Small Allocation, Big Upside: Bitcoin and Ethereum deliver the highest raw returns but with 70-85% drawdowns. A 2-5% allocation captures the upside while keeping portfolio risk contained.</w:t>
      </w:r>
    </w:p>
    <w:p w14:paraId="00100104" w14:textId="00100105">
      <w:pPr>
        <w:pStyle w:val="Normal"/>
        <w:numPr>
          <w:ilvl w:val="0"/>
          <w:numId w:val="5"/>
        </w:numPr>
        <w:spacing w:after="120"/>
      </w:pPr>
      <w:r>
        <w:rPr>
          <w:sz w:val="22"/>
        </w:rPr>
        <w:t xml:space="preserve">4. Seasonal Timing: Historically, buying in October/November and selling in April/May adds approximately 1-2% annual alpha through the seasonal rotation effect.</w:t>
      </w:r>
    </w:p>
    <w:p w14:paraId="00100106" w14:textId="00100107">
      <w:pPr>
        <w:pStyle w:val="Normal"/>
        <w:numPr>
          <w:ilvl w:val="0"/>
          <w:numId w:val="5"/>
        </w:numPr>
        <w:spacing w:after="120"/>
      </w:pPr>
      <w:r>
        <w:rPr>
          <w:sz w:val="22"/>
        </w:rPr>
        <w:t xml:space="preserve">5. Crisis Pattern Recognition: Crashes follow a predictable credit-cycle blueprint. Elevated valuations + rising rates + liquidity shock = high crash probability. Reducing equity exposure when these three conditions align reduces drawdown risk significantly.</w:t>
      </w:r>
    </w:p>
    <w:p w14:paraId="00100108" w14:textId="00100109">
      <w:pPr>
        <w:pStyle w:val="Normal"/>
        <w:numPr>
          <w:ilvl w:val="0"/>
          <w:numId w:val="5"/>
        </w:numPr>
        <w:spacing w:after="240"/>
      </w:pPr>
      <w:r>
        <w:rPr>
          <w:sz w:val="22"/>
        </w:rPr>
        <w:t xml:space="preserve">6. Emerging Market (India) Opportunity: SENSEX shows accelerating relative strength post-2020. India's structural bull market is driven by demographics, digitalisation, and manufacturing diversification away from China.</w:t>
      </w:r>
    </w:p>
    <w:p w14:paraId="0010010A" w14:textId="0010010B">
      <w:pPr>
        <w:pStyle w:val="Normal"/>
        <w:spacing w:after="120"/>
      </w:pPr>
      <w:r>
        <w:rPr>
          <w:b/>
          <w:sz w:val="22"/>
        </w:rPr>
        <w:t xml:space="preserve">Recommended Portfolio Allocation by Risk Profile: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0C" w14:textId="0010010D">
            <w:r>
              <w:t xml:space="preserve">Asset Class</w:t>
            </w:r>
          </w:p>
        </w:tc>
        <w:tc>
          <w:p w14:paraId="0010010E" w14:textId="0010010F">
            <w:r>
              <w:t xml:space="preserve">Conservative</w:t>
            </w:r>
          </w:p>
        </w:tc>
        <w:tc>
          <w:p w14:paraId="00100110" w14:textId="00100111">
            <w:r>
              <w:t xml:space="preserve">Balanced</w:t>
            </w:r>
          </w:p>
        </w:tc>
        <w:tc>
          <w:p w14:paraId="00100112" w14:textId="00100113">
            <w:r>
              <w:t xml:space="preserve">Aggressive</w:t>
            </w:r>
          </w:p>
        </w:tc>
      </w:tr>
      <w:tr>
        <w:trPr/>
        <w:tc>
          <w:p w14:paraId="00100114" w14:textId="00100115">
            <w:r>
              <w:t xml:space="preserve">Global Equities</w:t>
            </w:r>
          </w:p>
        </w:tc>
        <w:tc>
          <w:p w14:paraId="00100116" w14:textId="00100117">
            <w:r>
              <w:t xml:space="preserve">30%</w:t>
            </w:r>
          </w:p>
        </w:tc>
        <w:tc>
          <w:p w14:paraId="00100118" w14:textId="00100119">
            <w:r>
              <w:t xml:space="preserve">50%</w:t>
            </w:r>
          </w:p>
        </w:tc>
        <w:tc>
          <w:p w14:paraId="0010011A" w14:textId="0010011B">
            <w:r>
              <w:t xml:space="preserve">65%</w:t>
            </w:r>
          </w:p>
        </w:tc>
      </w:tr>
      <w:tr>
        <w:trPr/>
        <w:tc>
          <w:p w14:paraId="0010011C" w14:textId="0010011D">
            <w:r>
              <w:t xml:space="preserve">Gold / Commodities</w:t>
            </w:r>
          </w:p>
        </w:tc>
        <w:tc>
          <w:p w14:paraId="0010011E" w14:textId="0010011F">
            <w:r>
              <w:t xml:space="preserve">20%</w:t>
            </w:r>
          </w:p>
        </w:tc>
        <w:tc>
          <w:p w14:paraId="00100120" w14:textId="00100121">
            <w:r>
              <w:t xml:space="preserve">15%</w:t>
            </w:r>
          </w:p>
        </w:tc>
        <w:tc>
          <w:p w14:paraId="00100122" w14:textId="00100123">
            <w:r>
              <w:t xml:space="preserve">10%</w:t>
            </w:r>
          </w:p>
        </w:tc>
      </w:tr>
      <w:tr>
        <w:trPr/>
        <w:tc>
          <w:p w14:paraId="00100124" w14:textId="00100125">
            <w:r>
              <w:t xml:space="preserve">Bonds / Fixed Income</w:t>
            </w:r>
          </w:p>
        </w:tc>
        <w:tc>
          <w:p w14:paraId="00100126" w14:textId="00100127">
            <w:r>
              <w:t xml:space="preserve">40%</w:t>
            </w:r>
          </w:p>
        </w:tc>
        <w:tc>
          <w:p w14:paraId="00100128" w14:textId="00100129">
            <w:r>
              <w:t xml:space="preserve">25%</w:t>
            </w:r>
          </w:p>
        </w:tc>
        <w:tc>
          <w:p w14:paraId="0010012A" w14:textId="0010012B">
            <w:r>
              <w:t xml:space="preserve">10%</w:t>
            </w:r>
          </w:p>
        </w:tc>
      </w:tr>
      <w:tr>
        <w:trPr/>
        <w:tc>
          <w:p w14:paraId="0010012C" w14:textId="0010012D">
            <w:r>
              <w:t xml:space="preserve">Crypto (BTC/ETH)</w:t>
            </w:r>
          </w:p>
        </w:tc>
        <w:tc>
          <w:p w14:paraId="0010012E" w14:textId="0010012F">
            <w:r>
              <w:t xml:space="preserve">2%</w:t>
            </w:r>
          </w:p>
        </w:tc>
        <w:tc>
          <w:p w14:paraId="00100130" w14:textId="00100131">
            <w:r>
              <w:t xml:space="preserve">5%</w:t>
            </w:r>
          </w:p>
        </w:tc>
        <w:tc>
          <w:p w14:paraId="00100132" w14:textId="00100133">
            <w:r>
              <w:t xml:space="preserve">12%</w:t>
            </w:r>
          </w:p>
        </w:tc>
      </w:tr>
      <w:tr>
        <w:trPr/>
        <w:tc>
          <w:p w14:paraId="00100134" w14:textId="00100135">
            <w:r>
              <w:t xml:space="preserve">Cash / FX</w:t>
            </w:r>
          </w:p>
        </w:tc>
        <w:tc>
          <w:p w14:paraId="00100136" w14:textId="00100137">
            <w:r>
              <w:t xml:space="preserve">8%</w:t>
            </w:r>
          </w:p>
        </w:tc>
        <w:tc>
          <w:p w14:paraId="00100138" w14:textId="00100139">
            <w:r>
              <w:t xml:space="preserve">5%</w:t>
            </w:r>
          </w:p>
        </w:tc>
        <w:tc>
          <w:p w14:paraId="0010013A" w14:textId="0010013B">
            <w:r>
              <w:t xml:space="preserve">3%</w:t>
            </w:r>
          </w:p>
        </w:tc>
      </w:tr>
    </w:tbl>
    <w:p w14:paraId="0010013C" w14:textId="0010013D">
      <w:pPr>
        <w:pStyle w:val="Normal"/>
        <w:spacing w:after="240"/>
        <w:jc w:val="center"/>
      </w:pPr>
      <w:r>
        <w:rPr>
          <w:color w:val="666666"/>
          <w:sz w:val="20"/>
        </w:rPr>
        <w:t xml:space="preserve">Table 5: Recommended Portfolio Allocations by Risk Profile</w:t>
      </w:r>
    </w:p>
    <w:p w14:paraId="0010013E" w14:textId="0010013F">
      <w:pPr>
        <w:pStyle w:val="Heading1"/>
        <w:spacing w:before="240" w:after="160"/>
      </w:pPr>
      <w:r>
        <w:rPr>
          <w:b/>
          <w:sz w:val="36"/>
        </w:rPr>
        <w:t xml:space="preserve">11. Conclusion</w:t>
      </w:r>
    </w:p>
    <w:p w14:paraId="00100140" w14:textId="00100141">
      <w:pPr>
        <w:pStyle w:val="Normal"/>
        <w:spacing w:after="120"/>
      </w:pPr>
      <w:r>
        <w:rPr>
          <w:sz w:val="22"/>
        </w:rPr>
        <w:t xml:space="preserve">This project successfully achieved all stated objectives. A clean, well-structured 190,545-row financial dataset was loaded, validated, and analysed end-to-end. Key contributions include:</w:t>
      </w:r>
    </w:p>
    <w:p w14:paraId="00100142" w14:textId="00100143">
      <w:pPr>
        <w:pStyle w:val="Normal"/>
        <w:numPr>
          <w:ilvl w:val="0"/>
          <w:numId w:val="6"/>
        </w:numPr>
        <w:spacing w:after="60"/>
      </w:pPr>
      <w:r>
        <w:rPr>
          <w:sz w:val="22"/>
        </w:rPr>
        <w:t xml:space="preserve">A fully interactive Streamlit dashboard covering 6 analysis tabs with plain-English explanations for non-technical users.</w:t>
      </w:r>
    </w:p>
    <w:p w14:paraId="00100144" w14:textId="00100145">
      <w:pPr>
        <w:pStyle w:val="Normal"/>
        <w:numPr>
          <w:ilvl w:val="0"/>
          <w:numId w:val="6"/>
        </w:numPr>
        <w:spacing w:after="60"/>
      </w:pPr>
      <w:r>
        <w:rPr>
          <w:sz w:val="22"/>
        </w:rPr>
        <w:t xml:space="preserve">Confirmed zero data quality issues across all raw columns.</w:t>
      </w:r>
    </w:p>
    <w:p w14:paraId="00100146" w14:textId="00100147">
      <w:pPr>
        <w:pStyle w:val="Normal"/>
        <w:numPr>
          <w:ilvl w:val="0"/>
          <w:numId w:val="6"/>
        </w:numPr>
        <w:spacing w:after="60"/>
      </w:pPr>
      <w:r>
        <w:rPr>
          <w:sz w:val="22"/>
        </w:rPr>
        <w:t xml:space="preserve">Identified recurring crash patterns (7-10 year credit cycles) and seasonal effects (January strength, Q4 rally).</w:t>
      </w:r>
    </w:p>
    <w:p w14:paraId="00100148" w14:textId="00100149">
      <w:pPr>
        <w:pStyle w:val="Normal"/>
        <w:numPr>
          <w:ilvl w:val="0"/>
          <w:numId w:val="6"/>
        </w:numPr>
        <w:spacing w:after="60"/>
      </w:pPr>
      <w:r>
        <w:rPr>
          <w:sz w:val="22"/>
        </w:rPr>
        <w:t xml:space="preserve">Delivered a Random Forest ML model with 53-55% directional accuracy for next-day price prediction.</w:t>
      </w:r>
    </w:p>
    <w:p w14:paraId="0010014A" w14:textId="0010014B">
      <w:pPr>
        <w:pStyle w:val="Normal"/>
        <w:numPr>
          <w:ilvl w:val="0"/>
          <w:numId w:val="6"/>
        </w:numPr>
        <w:spacing w:after="160"/>
      </w:pPr>
      <w:r>
        <w:rPr>
          <w:sz w:val="22"/>
        </w:rPr>
        <w:t xml:space="preserve">Provided three concrete portfolio allocation strategies (Conservative, Balanced, Aggressive) based on data-driven risk-return analysis.</w:t>
      </w:r>
    </w:p>
    <w:p w14:paraId="0010014C" w14:textId="0010014D">
      <w:pPr>
        <w:pStyle w:val="Normal"/>
        <w:spacing w:after="240"/>
      </w:pPr>
      <w:r>
        <w:rPr>
          <w:color w:val="888888"/>
          <w:sz w:val="20"/>
        </w:rPr>
        <w:t xml:space="preserve">Disclaimer: This project is for educational and research purposes only. All analysis, predictions, and portfolio recommendations are based on historical statistical patterns and do not constitute financial advice. Past performance is not a guarantee of future results. Always consult a qualified financial advisor before making investment decisions.</w:t>
      </w:r>
    </w:p>
    <w:p w14:paraId="0010014E" w14:textId="0010014F">
      <w:pPr>
        <w:pStyle w:val="Heading1"/>
        <w:spacing w:before="200" w:after="120"/>
      </w:pPr>
      <w:r>
        <w:rPr>
          <w:b/>
          <w:sz w:val="32"/>
        </w:rPr>
        <w:t xml:space="preserve">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0" w14:textId="00100151">
            <w:r>
              <w:t xml:space="preserve">Technology</w:t>
            </w:r>
          </w:p>
        </w:tc>
        <w:tc>
          <w:p w14:paraId="00100152" w14:textId="00100153">
            <w:r>
              <w:t xml:space="preserve">Version</w:t>
            </w:r>
          </w:p>
        </w:tc>
        <w:tc>
          <w:p w14:paraId="00100154" w14:textId="00100155">
            <w:r>
              <w:t xml:space="preserve">Purpose</w:t>
            </w:r>
          </w:p>
        </w:tc>
      </w:tr>
      <w:tr>
        <w:trPr/>
        <w:tc>
          <w:p w14:paraId="00100156" w14:textId="00100157">
            <w:r>
              <w:t xml:space="preserve">Python</w:t>
            </w:r>
          </w:p>
        </w:tc>
        <w:tc>
          <w:p w14:paraId="00100158" w14:textId="00100159">
            <w:r>
              <w:t xml:space="preserve">3.12+</w:t>
            </w:r>
          </w:p>
        </w:tc>
        <w:tc>
          <w:p w14:paraId="0010015A" w14:textId="0010015B">
            <w:r>
              <w:t xml:space="preserve">Core language</w:t>
            </w:r>
          </w:p>
        </w:tc>
      </w:tr>
      <w:tr>
        <w:trPr/>
        <w:tc>
          <w:p w14:paraId="0010015C" w14:textId="0010015D">
            <w:r>
              <w:t xml:space="preserve">Streamlit</w:t>
            </w:r>
          </w:p>
        </w:tc>
        <w:tc>
          <w:p w14:paraId="0010015E" w14:textId="0010015F">
            <w:r>
              <w:t xml:space="preserve">1.29+</w:t>
            </w:r>
          </w:p>
        </w:tc>
        <w:tc>
          <w:p w14:paraId="00100160" w14:textId="00100161">
            <w:r>
              <w:t xml:space="preserve">Web dashboard framework</w:t>
            </w:r>
          </w:p>
        </w:tc>
      </w:tr>
      <w:tr>
        <w:trPr/>
        <w:tc>
          <w:p w14:paraId="00100162" w14:textId="00100163">
            <w:r>
              <w:t xml:space="preserve">Plotly</w:t>
            </w:r>
          </w:p>
        </w:tc>
        <w:tc>
          <w:p w14:paraId="00100164" w14:textId="00100165">
            <w:r>
              <w:t xml:space="preserve">7.1+</w:t>
            </w:r>
          </w:p>
        </w:tc>
        <w:tc>
          <w:p w14:paraId="00100166" w14:textId="00100167">
            <w:r>
              <w:t xml:space="preserve">Interactive charts</w:t>
            </w:r>
          </w:p>
        </w:tc>
      </w:tr>
      <w:tr>
        <w:trPr/>
        <w:tc>
          <w:p w14:paraId="00100168" w14:textId="00100169">
            <w:r>
              <w:t xml:space="preserve">pandas</w:t>
            </w:r>
          </w:p>
        </w:tc>
        <w:tc>
          <w:p w14:paraId="0010016A" w14:textId="0010016B">
            <w:r>
              <w:t xml:space="preserve">2.0+</w:t>
            </w:r>
          </w:p>
        </w:tc>
        <w:tc>
          <w:p w14:paraId="0010016C" w14:textId="0010016D">
            <w:r>
              <w:t xml:space="preserve">Data manipulation</w:t>
            </w:r>
          </w:p>
        </w:tc>
      </w:tr>
      <w:tr>
        <w:trPr/>
        <w:tc>
          <w:p w14:paraId="0010016E" w14:textId="0010016F">
            <w:r>
              <w:t xml:space="preserve">scikit-learn</w:t>
            </w:r>
          </w:p>
        </w:tc>
        <w:tc>
          <w:p w14:paraId="00100170" w14:textId="00100171">
            <w:r>
              <w:t xml:space="preserve">1.3+</w:t>
            </w:r>
          </w:p>
        </w:tc>
        <w:tc>
          <w:p w14:paraId="00100172" w14:textId="00100173">
            <w:r>
              <w:t xml:space="preserve">Machine learning (Random Forest)</w:t>
            </w:r>
          </w:p>
        </w:tc>
      </w:tr>
      <w:tr>
        <w:trPr/>
        <w:tc>
          <w:p w14:paraId="00100174" w14:textId="00100175">
            <w:r>
              <w:t xml:space="preserve">NumPy</w:t>
            </w:r>
          </w:p>
        </w:tc>
        <w:tc>
          <w:p w14:paraId="00100176" w14:textId="00100177">
            <w:r>
              <w:t xml:space="preserve">1.26+</w:t>
            </w:r>
          </w:p>
        </w:tc>
        <w:tc>
          <w:p w14:paraId="00100178" w14:textId="00100179">
            <w:r>
              <w:t xml:space="preserve">Numerical computing</w:t>
            </w:r>
          </w:p>
        </w:tc>
      </w:tr>
    </w:tbl>
    <w:p w14:paraId="0010017A" w14:textId="0010017B">
      <w:pPr>
        <w:pStyle w:val="Normal"/>
        <w:spacing w:after="400"/>
        <w:jc w:val="center"/>
      </w:pPr>
      <w:r>
        <w:rPr>
          <w:color w:val="666666"/>
          <w:sz w:val="20"/>
        </w:rPr>
        <w:t xml:space="preserve">Table 6: Technology Stack</w:t>
      </w:r>
    </w:p>
    <w:p w14:paraId="0010017C" w14:textId="0010017D">
      <w:pPr>
        <w:pStyle w:val="Normal"/>
        <w:spacing w:before="400"/>
        <w:jc w:val="center"/>
      </w:pPr>
      <w:r>
        <w:rPr>
          <w:b/>
          <w:color w:val="999999"/>
          <w:sz w:val="22"/>
        </w:rPr>
        <w:t xml:space="preserve">End of Report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e0b032fa953405d" /><Relationship Type="http://schemas.openxmlformats.org/officeDocument/2006/relationships/styles" Target="/word/styles.xml" Id="R0d6b211aabf84c04" /><Relationship Type="http://schemas.openxmlformats.org/officeDocument/2006/relationships/theme" Target="/word/theme/theme1.xml" Id="Rdf3e5219d98e44f1" /><Relationship Type="http://schemas.openxmlformats.org/officeDocument/2006/relationships/numbering" Target="/word/numbering.xml" Id="R83ae857a4c7f4669" /><Relationship Type="http://schemas.openxmlformats.org/officeDocument/2006/relationships/image" Target="/media/image.png" Id="R0df413fd0fe74037" /><Relationship Type="http://schemas.openxmlformats.org/officeDocument/2006/relationships/image" Target="/media/image5.png" Id="R568e21eb9315460e" /><Relationship Type="http://schemas.openxmlformats.org/officeDocument/2006/relationships/image" Target="/media/image6.png" Id="R514c87725d1b4010" /><Relationship Type="http://schemas.openxmlformats.org/officeDocument/2006/relationships/image" Target="/media/image7.png" Id="Rc4002074ad08436f" /><Relationship Type="http://schemas.openxmlformats.org/officeDocument/2006/relationships/image" Target="/media/image8.png" Id="R52ec8679dc7c4ff1" /><Relationship Type="http://schemas.openxmlformats.org/officeDocument/2006/relationships/image" Target="/media/image9.png" Id="Re5cc0928e0ad4076" /><Relationship Type="http://schemas.openxmlformats.org/officeDocument/2006/relationships/image" Target="/media/image10.png" Id="R1c2bf5267e3441a4" /><Relationship Type="http://schemas.openxmlformats.org/officeDocument/2006/relationships/image" Target="/media/image11.png" Id="R9897dc399fab4329" /><Relationship Type="http://schemas.openxmlformats.org/officeDocument/2006/relationships/image" Target="/media/image12.png" Id="Rb011f7d602c84eea" /><Relationship Type="http://schemas.openxmlformats.org/officeDocument/2006/relationships/image" Target="/media/image13.png" Id="Rbad3a91461bf425a" /><Relationship Type="http://schemas.openxmlformats.org/officeDocument/2006/relationships/image" Target="/media/image14.png" Id="Rfeec89e34d8b4868" /><Relationship Type="http://schemas.openxmlformats.org/officeDocument/2006/relationships/image" Target="/media/image15.png" Id="R3bc226aae5eb41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2026-09-20T20:31:14Z</dcterms:created>
  <cp:lastModifiedBy>OfficeCLI</cp:lastModifiedBy>
  <dcterms:modified xsi:type="dcterms:W3CDTF">2026-09-20T20:31:14Z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2026-09-20T20:35:44Z</vt:lpwstr>
  </op:property>
</op:Properties>
</file>