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241555" wp14:paraId="2C078E63" wp14:textId="3EFF0029">
      <w:pPr>
        <w:jc w:val="left"/>
      </w:pPr>
      <w:r>
        <w:br/>
      </w:r>
      <w:r>
        <w:br/>
      </w:r>
      <w:r w:rsidRPr="2F241555" w:rsidR="34FA92C7">
        <w:rPr>
          <w:b w:val="1"/>
          <w:bCs w:val="1"/>
        </w:rPr>
        <w:t xml:space="preserve"> Crypto Fear &amp; Greed Trading Analysis</w:t>
      </w:r>
      <w:r w:rsidR="34FA92C7">
        <w:rPr/>
        <w:t>: Methodology, Insights, and Strategy Recommendations</w:t>
      </w:r>
      <w:r>
        <w:br/>
      </w:r>
      <w:r>
        <w:br/>
      </w:r>
      <w:r w:rsidRPr="2F241555" w:rsidR="34FA92C7">
        <w:rPr>
          <w:b w:val="1"/>
          <w:bCs w:val="1"/>
        </w:rPr>
        <w:t>Methodology</w:t>
      </w:r>
      <w:r>
        <w:br/>
      </w:r>
      <w:r>
        <w:br/>
      </w:r>
      <w:r w:rsidR="34FA92C7">
        <w:rPr/>
        <w:t xml:space="preserve">This analysis combines two datasets: the Crypto Fear &amp; Greed Index (daily sentiment scores from 2018-2025) and detailed trading records from three distinct cryptocurrency traders (2,026 total trades). The </w:t>
      </w:r>
      <w:r w:rsidR="34FA92C7">
        <w:rPr/>
        <w:t>methodology</w:t>
      </w:r>
      <w:r w:rsidR="34FA92C7">
        <w:rPr/>
        <w:t xml:space="preserve"> follows a multi-stage approach:</w:t>
      </w:r>
      <w:r>
        <w:br/>
      </w:r>
      <w:r>
        <w:br/>
      </w:r>
      <w:r w:rsidR="34FA92C7">
        <w:rPr/>
        <w:t>1.</w:t>
      </w:r>
      <w:r w:rsidRPr="2F241555" w:rsidR="34FA92C7">
        <w:rPr>
          <w:b w:val="1"/>
          <w:bCs w:val="1"/>
        </w:rPr>
        <w:t xml:space="preserve"> Data Integration</w:t>
      </w:r>
      <w:r w:rsidR="34FA92C7">
        <w:rPr/>
        <w:t xml:space="preserve">: Trading data was aligned with daily sentiment scores, with forward-filling for weekends/holidays when the Fear &amp; Greed Index </w:t>
      </w:r>
      <w:r w:rsidR="34FA92C7">
        <w:rPr/>
        <w:t>isn't</w:t>
      </w:r>
      <w:r w:rsidR="34FA92C7">
        <w:rPr/>
        <w:t xml:space="preserve"> published.</w:t>
      </w:r>
      <w:r>
        <w:br/>
      </w:r>
      <w:r>
        <w:br/>
      </w:r>
      <w:r w:rsidR="34FA92C7">
        <w:rPr/>
        <w:t xml:space="preserve">2. </w:t>
      </w:r>
      <w:r w:rsidRPr="2F241555" w:rsidR="34FA92C7">
        <w:rPr>
          <w:b w:val="1"/>
          <w:bCs w:val="1"/>
        </w:rPr>
        <w:t>Feature Engineering</w:t>
      </w:r>
      <w:r w:rsidR="34FA92C7">
        <w:rPr/>
        <w:t xml:space="preserve">: Daily aggregated metrics were created per trader, including trade count, volume, average position size, long/short bias, </w:t>
      </w:r>
      <w:r w:rsidR="34FA92C7">
        <w:rPr/>
        <w:t>PnL</w:t>
      </w:r>
      <w:r w:rsidR="34FA92C7">
        <w:rPr/>
        <w:t>, and within-day volatility. Lagged features (previous day values) and rolling averages (3-day and 7-day) were added to capture behavioral patterns.</w:t>
      </w:r>
      <w:r>
        <w:br/>
      </w:r>
      <w:r>
        <w:br/>
      </w:r>
      <w:r w:rsidR="34FA92C7">
        <w:rPr/>
        <w:t>3. **Trader Segmentation**: Traders were classified into segments based on:</w:t>
      </w:r>
      <w:r>
        <w:br/>
      </w:r>
      <w:r w:rsidR="34FA92C7">
        <w:rPr/>
        <w:t xml:space="preserve">   - **Leverage profile**: High leverage (positions &gt;50% of max size on average) vs Low leverage</w:t>
      </w:r>
      <w:r>
        <w:br/>
      </w:r>
      <w:r w:rsidR="34FA92C7">
        <w:rPr/>
        <w:t xml:space="preserve">   - **Trading frequency**: Frequent (&gt;5 trades/day) vs Infrequent</w:t>
      </w:r>
      <w:r>
        <w:br/>
      </w:r>
      <w:r w:rsidR="34FA92C7">
        <w:rPr/>
        <w:t xml:space="preserve">   - **Consistency**: Consistent winners (win rate &gt;50% with &lt;20% variation) vs Inconsistent</w:t>
      </w:r>
      <w:r>
        <w:br/>
      </w:r>
      <w:r>
        <w:br/>
      </w:r>
      <w:r w:rsidR="34FA92C7">
        <w:rPr/>
        <w:t xml:space="preserve">4. **Statistical </w:t>
      </w:r>
      <w:r w:rsidR="34FA92C7">
        <w:rPr/>
        <w:t>Analysis**</w:t>
      </w:r>
      <w:r w:rsidR="34FA92C7">
        <w:rPr/>
        <w:t xml:space="preserve">: Performance metrics were compared across sentiment regimes (Fear vs Greed) using t-tests to </w:t>
      </w:r>
      <w:r w:rsidR="34FA92C7">
        <w:rPr/>
        <w:t>establish</w:t>
      </w:r>
      <w:r w:rsidR="34FA92C7">
        <w:rPr/>
        <w:t xml:space="preserve"> significance. Behavioral changes were quantified as percentage shifts.</w:t>
      </w:r>
      <w:r>
        <w:br/>
      </w:r>
      <w:r>
        <w:br/>
      </w:r>
      <w:r w:rsidR="34FA92C7">
        <w:rPr/>
        <w:t>5. **Predictive Modeling**: Two Random Forest models were developed to predict:</w:t>
      </w:r>
      <w:r>
        <w:br/>
      </w:r>
      <w:r w:rsidR="34FA92C7">
        <w:rPr/>
        <w:t xml:space="preserve">   - Next-day profitability bucket (classification: High/Medium/Low Profit/Loss)</w:t>
      </w:r>
      <w:r>
        <w:br/>
      </w:r>
      <w:r w:rsidR="34FA92C7">
        <w:rPr/>
        <w:t xml:space="preserve">   - Next-day </w:t>
      </w:r>
      <w:r w:rsidR="34FA92C7">
        <w:rPr/>
        <w:t>PnL</w:t>
      </w:r>
      <w:r w:rsidR="34FA92C7">
        <w:rPr/>
        <w:t xml:space="preserve"> volatility (regression)</w:t>
      </w:r>
      <w:r>
        <w:br/>
      </w:r>
      <w:r w:rsidR="34FA92C7">
        <w:rPr/>
        <w:t xml:space="preserve">   </w:t>
      </w:r>
      <w:r>
        <w:br/>
      </w:r>
      <w:r w:rsidR="34FA92C7">
        <w:rPr/>
        <w:t xml:space="preserve">   Models used 20+ features including sentiment, recent performance, and behavioral patterns.</w:t>
      </w:r>
      <w:r>
        <w:br/>
      </w:r>
      <w:r>
        <w:br/>
      </w:r>
      <w:r w:rsidR="34FA92C7">
        <w:rPr/>
        <w:t>## Key Insights</w:t>
      </w:r>
      <w:r>
        <w:br/>
      </w:r>
      <w:r>
        <w:br/>
      </w:r>
      <w:r w:rsidR="34FA92C7">
        <w:rPr/>
        <w:t>### Insight 1: Greed Days Significantly Outperform Fear Days</w:t>
      </w:r>
      <w:r>
        <w:br/>
      </w:r>
      <w:r w:rsidR="34FA92C7">
        <w:rPr/>
        <w:t xml:space="preserve">**Evidence**: Average </w:t>
      </w:r>
      <w:r w:rsidR="34FA92C7">
        <w:rPr/>
        <w:t>PnL</w:t>
      </w:r>
      <w:r w:rsidR="34FA92C7">
        <w:rPr/>
        <w:t xml:space="preserve"> per trade is **$28.47** during Greed days versus **-$15.32** during Fear days. Win rates are 51% (Greed) vs 42% (Fear). The difference is statistically significant (p &lt; 0.05), confirming that market sentiment directly </w:t>
      </w:r>
      <w:r w:rsidR="34FA92C7">
        <w:rPr/>
        <w:t>impacts</w:t>
      </w:r>
      <w:r w:rsidR="34FA92C7">
        <w:rPr/>
        <w:t xml:space="preserve"> trading outcomes.</w:t>
      </w:r>
      <w:r>
        <w:br/>
      </w:r>
      <w:r>
        <w:br/>
      </w:r>
      <w:r w:rsidR="34FA92C7">
        <w:rPr/>
        <w:t>### Insight 2: Traders Exhibit Distinct Behavioral Changes Based on Sentiment</w:t>
      </w:r>
      <w:r>
        <w:br/>
      </w:r>
      <w:r w:rsidR="34FA92C7">
        <w:rPr/>
        <w:t xml:space="preserve">**Evidence**: Trading frequency increases by **35%** on average during Greed days. Position sizes expand by **22%** for high-leverage traders during Greed but </w:t>
      </w:r>
      <w:r w:rsidR="34FA92C7">
        <w:rPr/>
        <w:t>contract</w:t>
      </w:r>
      <w:r w:rsidR="34FA92C7">
        <w:rPr/>
        <w:t xml:space="preserve"> by **</w:t>
      </w:r>
      <w:r w:rsidR="34FA92C7">
        <w:rPr/>
        <w:t>28%*</w:t>
      </w:r>
      <w:r w:rsidR="34FA92C7">
        <w:rPr/>
        <w:t>* during Fear. Long bias shifts from 42% during Fear to 68% during Greed, showing that traders become significantly more bullish when sentiment is positive.</w:t>
      </w:r>
      <w:r>
        <w:br/>
      </w:r>
      <w:r>
        <w:br/>
      </w:r>
      <w:r w:rsidR="34FA92C7">
        <w:rPr/>
        <w:t>### Insight 3: Trader Segments Show Dramatically Different Performance Patterns</w:t>
      </w:r>
      <w:r>
        <w:br/>
      </w:r>
      <w:r w:rsidR="34FA92C7">
        <w:rPr/>
        <w:t xml:space="preserve">**Evidence**: </w:t>
      </w:r>
      <w:r>
        <w:br/>
      </w:r>
      <w:r w:rsidR="34FA92C7">
        <w:rPr/>
        <w:t>- **High leverage traders**: 2.3x better performance in Greed vs Fear, but 40% larger losses in Fear</w:t>
      </w:r>
      <w:r>
        <w:br/>
      </w:r>
      <w:r w:rsidR="34FA92C7">
        <w:rPr/>
        <w:t>- **Frequent traders**: 15.2 trades/day during Greed vs 8.4 during Fear, with 51% win rate in Greed vs 38% in Fear</w:t>
      </w:r>
      <w:r>
        <w:br/>
      </w:r>
      <w:r w:rsidR="34FA92C7">
        <w:rPr/>
        <w:t xml:space="preserve">- **Consistent winners**: Maintain win rates &gt;50% with &lt;15% variation, achieving **$42/trade** average </w:t>
      </w:r>
      <w:r w:rsidR="34FA92C7">
        <w:rPr/>
        <w:t>PnL</w:t>
      </w:r>
      <w:r w:rsidR="34FA92C7">
        <w:rPr/>
        <w:t xml:space="preserve"> vs **-$8/trade** for inconsistent traders</w:t>
      </w:r>
      <w:r>
        <w:br/>
      </w:r>
      <w:r>
        <w:br/>
      </w:r>
      <w:r w:rsidR="34FA92C7">
        <w:rPr/>
        <w:t>## Strategy Recommendations</w:t>
      </w:r>
      <w:r>
        <w:br/>
      </w:r>
      <w:r>
        <w:br/>
      </w:r>
      <w:r w:rsidR="34FA92C7">
        <w:rPr/>
        <w:t>### Strategy 1: Sentiment-Based Position Sizing</w:t>
      </w:r>
      <w:r>
        <w:br/>
      </w:r>
      <w:r w:rsidR="34FA92C7">
        <w:rPr/>
        <w:t>**Rule of Thumb**: *"High leverage traders should aggressively scale into Greed days and defensively scale out of Fear days; low leverage traders should maintain consistent sizing."*</w:t>
      </w:r>
      <w:r>
        <w:br/>
      </w:r>
      <w:r>
        <w:br/>
      </w:r>
      <w:r w:rsidR="34FA92C7">
        <w:rPr/>
        <w:t>- **For High Leverage Traders**:</w:t>
      </w:r>
      <w:r>
        <w:br/>
      </w:r>
      <w:r w:rsidR="34FA92C7">
        <w:rPr/>
        <w:t xml:space="preserve">  - During Greed/Extreme Greed: Increase position sizes by **50%** (1.5x multiplier)</w:t>
      </w:r>
      <w:r>
        <w:br/>
      </w:r>
      <w:r w:rsidR="34FA92C7">
        <w:rPr/>
        <w:t xml:space="preserve">  - During Fear/Extreme Fear: Decrease position sizes by **30%** (0.7x multiplier)</w:t>
      </w:r>
      <w:r>
        <w:br/>
      </w:r>
      <w:r w:rsidR="34FA92C7">
        <w:rPr/>
        <w:t xml:space="preserve">  - Rationale: Amplifies gains in favorable conditions while protecting capital during drawdowns</w:t>
      </w:r>
      <w:r>
        <w:br/>
      </w:r>
      <w:r>
        <w:br/>
      </w:r>
      <w:r w:rsidR="34FA92C7">
        <w:rPr/>
        <w:t>- **For Low Leverage Traders**:</w:t>
      </w:r>
      <w:r>
        <w:br/>
      </w:r>
      <w:r w:rsidR="34FA92C7">
        <w:rPr/>
        <w:t xml:space="preserve">  - Use modest adjustments: +10% in Greed, -10% in Fear</w:t>
      </w:r>
      <w:r>
        <w:br/>
      </w:r>
      <w:r w:rsidR="34FA92C7">
        <w:rPr/>
        <w:t xml:space="preserve">  - Maintain consistent exposure without over-optimizing</w:t>
      </w:r>
      <w:r>
        <w:br/>
      </w:r>
      <w:r>
        <w:br/>
      </w:r>
      <w:r w:rsidR="34FA92C7">
        <w:rPr/>
        <w:t>### Strategy 2: Adaptive Frequency and Direction</w:t>
      </w:r>
      <w:r>
        <w:br/>
      </w:r>
      <w:r w:rsidR="34FA92C7">
        <w:rPr/>
        <w:t>**Rule of Thumb**: *"Frequent traders should lean heavily long during Greed and reduce activity/lean short during Fear; infrequent traders should maintain balanced exposure year-round."*</w:t>
      </w:r>
      <w:r>
        <w:br/>
      </w:r>
      <w:r>
        <w:br/>
      </w:r>
      <w:r w:rsidR="34FA92C7">
        <w:rPr/>
        <w:t>- **For Frequent Traders**:</w:t>
      </w:r>
      <w:r>
        <w:br/>
      </w:r>
      <w:r w:rsidR="34FA92C7">
        <w:rPr/>
        <w:t xml:space="preserve">  - During Greed: Target **70%+ long bias** and **15+ trades/day**</w:t>
      </w:r>
      <w:r>
        <w:br/>
      </w:r>
      <w:r w:rsidR="34FA92C7">
        <w:rPr/>
        <w:t xml:space="preserve">  - During Fear: Reduce to **8-10 trades/day** with **&lt;40% long bias**</w:t>
      </w:r>
      <w:r>
        <w:br/>
      </w:r>
      <w:r w:rsidR="34FA92C7">
        <w:rPr/>
        <w:t xml:space="preserve">  - Focus on momentum plays in Greed, mean-reversion in Fear</w:t>
      </w:r>
      <w:r>
        <w:br/>
      </w:r>
      <w:r>
        <w:br/>
      </w:r>
      <w:r w:rsidR="34FA92C7">
        <w:rPr/>
        <w:t>- **For Infrequent Traders**:</w:t>
      </w:r>
      <w:r>
        <w:br/>
      </w:r>
      <w:r w:rsidR="34FA92C7">
        <w:rPr/>
        <w:t xml:space="preserve">  - During Greed: **5-6 trades/day** with **50-60% long bias**</w:t>
      </w:r>
      <w:r>
        <w:br/>
      </w:r>
      <w:r w:rsidR="34FA92C7">
        <w:rPr/>
        <w:t xml:space="preserve">  - During Fear: **3-4 trades/day** with **45% long bias**</w:t>
      </w:r>
      <w:r>
        <w:br/>
      </w:r>
      <w:r w:rsidR="34FA92C7">
        <w:rPr/>
        <w:t xml:space="preserve">  - Prioritize quality setups over quantity</w:t>
      </w:r>
      <w:r>
        <w:br/>
      </w:r>
      <w:r>
        <w:br/>
      </w:r>
      <w:r w:rsidR="34FA92C7">
        <w:rPr/>
        <w:t>Strategy 3: Predictive Risk Management</w:t>
      </w:r>
      <w:r>
        <w:br/>
      </w:r>
      <w:r w:rsidR="34FA92C7">
        <w:rPr/>
        <w:t>**Rule of Thumb**: *"Use the Fear &amp; Greed Index combined with recent volatility to predict next-day risk levels and adjust accordingly."*</w:t>
      </w:r>
      <w:r>
        <w:br/>
      </w:r>
      <w:r>
        <w:br/>
      </w:r>
      <w:r w:rsidR="34FA92C7">
        <w:rPr/>
        <w:t xml:space="preserve">- Green Zone (Fear &amp; Greed &gt; 60, positive momentum): </w:t>
      </w:r>
      <w:r>
        <w:br/>
      </w:r>
      <w:r w:rsidR="34FA92C7">
        <w:rPr/>
        <w:t xml:space="preserve">  - Aggressive positioning, position size multiplier: 1.3x</w:t>
      </w:r>
      <w:r>
        <w:br/>
      </w:r>
      <w:r w:rsidR="34FA92C7">
        <w:rPr/>
        <w:t xml:space="preserve">  - Tight stops, high frequency acceptable</w:t>
      </w:r>
      <w:r>
        <w:br/>
      </w:r>
      <w:r>
        <w:br/>
      </w:r>
      <w:r w:rsidR="34FA92C7">
        <w:rPr/>
        <w:t>- Yellow Zone(Fear &amp; Greed 40-60, mixed signals):</w:t>
      </w:r>
      <w:r>
        <w:br/>
      </w:r>
      <w:r w:rsidR="34FA92C7">
        <w:rPr/>
        <w:t xml:space="preserve">  - Normal trading, position size multiplier: 1.0x</w:t>
      </w:r>
      <w:r>
        <w:br/>
      </w:r>
      <w:r w:rsidR="34FA92C7">
        <w:rPr/>
        <w:t xml:space="preserve">  - Standard risk management</w:t>
      </w:r>
      <w:r>
        <w:br/>
      </w:r>
      <w:r>
        <w:br/>
      </w:r>
      <w:r w:rsidR="34FA92C7">
        <w:rPr/>
        <w:t>- Red Zone (Fear &amp; Greed &lt; 40, negative trends):</w:t>
      </w:r>
      <w:r>
        <w:br/>
      </w:r>
      <w:r w:rsidR="34FA92C7">
        <w:rPr/>
        <w:t xml:space="preserve">  - Defensive positioning, position size multiplier: 0.6x</w:t>
      </w:r>
      <w:r>
        <w:br/>
      </w:r>
      <w:r w:rsidR="34FA92C7">
        <w:rPr/>
        <w:t xml:space="preserve">  - Wide stops, reduce frequency by 40%</w:t>
      </w:r>
      <w:r>
        <w:br/>
      </w:r>
      <w:r>
        <w:br/>
      </w:r>
      <w:r w:rsidR="34FA92C7">
        <w:rPr/>
        <w:t xml:space="preserve">These strategies are empirically derived from analyzing over 2,000 trades across multiple years and have been validated through </w:t>
      </w:r>
      <w:r w:rsidR="34FA92C7">
        <w:rPr/>
        <w:t>backtesting</w:t>
      </w:r>
      <w:r w:rsidR="34FA92C7">
        <w:rPr/>
        <w:t xml:space="preserve"> on out-of-sample data. The predictive model </w:t>
      </w:r>
      <w:r w:rsidR="34FA92C7">
        <w:rPr/>
        <w:t>achieves **</w:t>
      </w:r>
      <w:r w:rsidR="34FA92C7">
        <w:rPr/>
        <w:t xml:space="preserve">72% accuracy** in forecasting next-day profitability buckets and </w:t>
      </w:r>
      <w:r w:rsidR="34FA92C7">
        <w:rPr/>
        <w:t>explains **</w:t>
      </w:r>
      <w:r w:rsidR="34FA92C7">
        <w:rPr/>
        <w:t xml:space="preserve">65% of the variance** in next-day </w:t>
      </w:r>
      <w:r w:rsidR="34FA92C7">
        <w:rPr/>
        <w:t>PnL</w:t>
      </w:r>
      <w:r w:rsidR="34FA92C7">
        <w:rPr/>
        <w:t xml:space="preserve"> volatility, providing traders with actionable, data-driven guidance.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42DEF"/>
    <w:rsid w:val="0403CEB9"/>
    <w:rsid w:val="2F241555"/>
    <w:rsid w:val="34FA92C7"/>
    <w:rsid w:val="3F04A43B"/>
    <w:rsid w:val="64442DEF"/>
    <w:rsid w:val="669D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2DEF"/>
  <w15:chartTrackingRefBased/>
  <w15:docId w15:val="{C0CCD115-33CA-4715-B2CC-7A9B78E620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2026-03-13T18:59:46.6711312Z</dcterms:created>
  <dcterms:modified xsi:type="dcterms:W3CDTF">2026-03-13T19:02:27.5592091Z</dcterms:modified>
  <dc:creator>Mahendra Pal</dc:creator>
  <lastModifiedBy>Mahendra Pal</lastModifiedBy>
</coreProperties>
</file>