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QCM sécurité - Conduite d’engins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q21rras2d2ug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Avant d’utiliser un engin de manutention, vous devez 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– Monter directement dans l’engin</w:t>
        <w:br w:type="textWrapping"/>
        <w:t xml:space="preserve"> B – Vérifier l’état de l’engin</w:t>
        <w:br w:type="textWrapping"/>
        <w:t xml:space="preserve"> C – Aller plus vite</w:t>
        <w:br w:type="textWrapping"/>
        <w:t xml:space="preserve"> D – Charger immédiatement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{reponse_stagiaire_Q1}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{correction_formateur_Q1}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{note_Q1}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eqfolt8l0d53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Le port des équipements de protection individuelle (EPI) est 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– Facultatif</w:t>
        <w:br w:type="textWrapping"/>
        <w:t xml:space="preserve"> B – Obligatoire</w:t>
        <w:br w:type="textWrapping"/>
        <w:t xml:space="preserve"> C – Inutile</w:t>
        <w:br w:type="textWrapping"/>
        <w:t xml:space="preserve"> D – Interdit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{reponse_stagiaire_Q2}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{correction_formateur_Q2}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{note_Q2}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Lexend ExtraBold" w:cs="Lexend ExtraBold" w:eastAsia="Lexend ExtraBold" w:hAnsi="Lexend ExtraBold"/>
          <w:sz w:val="40"/>
          <w:szCs w:val="40"/>
        </w:rPr>
      </w:pPr>
      <w:bookmarkStart w:colFirst="0" w:colLast="0" w:name="_4s8cyie3q9nq" w:id="4"/>
      <w:bookmarkEnd w:id="4"/>
      <w:r w:rsidDel="00000000" w:rsidR="00000000" w:rsidRPr="00000000">
        <w:rPr>
          <w:rFonts w:ascii="Lexend ExtraBold" w:cs="Lexend ExtraBold" w:eastAsia="Lexend ExtraBold" w:hAnsi="Lexend ExtraBold"/>
          <w:sz w:val="40"/>
          <w:szCs w:val="40"/>
          <w:rtl w:val="0"/>
        </w:rPr>
        <w:t xml:space="preserve">Question 3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 cas de charge instable, vous devez 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– Continuer à rouler</w:t>
        <w:br w:type="textWrapping"/>
        <w:t xml:space="preserve"> B – Accélérer</w:t>
        <w:br w:type="textWrapping"/>
        <w:t xml:space="preserve"> C – Stabiliser la charge</w:t>
        <w:br w:type="textWrapping"/>
        <w:t xml:space="preserve"> D – Ignorer le problème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{reponse_stagiaire_Q3}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{correction_formateur_Q3}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{note_Q3}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ei48r16hxpen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4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circulation dans un entrepôt doit 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– Être libre sans règles</w:t>
        <w:br w:type="textWrapping"/>
        <w:t xml:space="preserve"> B – Respecter un plan de circulation</w:t>
        <w:br w:type="textWrapping"/>
        <w:t xml:space="preserve"> C – Être rapide uniquement</w:t>
        <w:br w:type="textWrapping"/>
        <w:t xml:space="preserve"> D – Être désorganisée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{reponse_stagiaire_Q4}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{correction_formateur_Q4}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{note_Q4}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b71o39k8w5h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 cas d’accident, vous devez 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 – Partir</w:t>
        <w:br w:type="textWrapping"/>
        <w:t xml:space="preserve"> B – Ne rien dire</w:t>
        <w:br w:type="textWrapping"/>
        <w:t xml:space="preserve"> C – Prévenir immédiatement</w:t>
        <w:br w:type="textWrapping"/>
        <w:t xml:space="preserve"> D – Continuer à travailler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{reponse_stagiaire_Q5}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{correction_formateur_Q5}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{note_Q5}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40"/>
          <w:szCs w:val="40"/>
        </w:rPr>
      </w:pPr>
      <w:bookmarkStart w:colFirst="0" w:colLast="0" w:name="_9iuiqa2v9e3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40"/>
          <w:szCs w:val="40"/>
          <w:rtl w:val="0"/>
        </w:rPr>
        <w:t xml:space="preserve">RÉSULTAT FINAL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{{nom du formateur}}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Score total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{{score_total}} / 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finale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{{note_finale}} /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mslkk3rr2i4u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Appréciation formateur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Appréciation formateur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{appreciation_formateur}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ExtraBold">
    <w:embedBold w:fontKey="{00000000-0000-0000-0000-000000000000}" r:id="rId1" w:subsetted="0"/>
  </w:font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unit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Lexend">
    <w:embedRegular w:fontKey="{00000000-0000-0000-0000-000000000000}" r:id="rId10" w:subsetted="0"/>
    <w:embedBold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0"/>
    <w:bookmarkEnd w:id="10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35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9"/>
    <w:bookmarkEnd w:id="9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ExtraBold-bold.ttf"/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11" Type="http://schemas.openxmlformats.org/officeDocument/2006/relationships/font" Target="fonts/Lexend-bold.ttf"/><Relationship Id="rId10" Type="http://schemas.openxmlformats.org/officeDocument/2006/relationships/font" Target="fonts/Lexend-regular.ttf"/><Relationship Id="rId9" Type="http://schemas.openxmlformats.org/officeDocument/2006/relationships/font" Target="fonts/Nunito-boldItalic.ttf"/><Relationship Id="rId5" Type="http://schemas.openxmlformats.org/officeDocument/2006/relationships/font" Target="fonts/Roboto-boldItalic.ttf"/><Relationship Id="rId6" Type="http://schemas.openxmlformats.org/officeDocument/2006/relationships/font" Target="fonts/Nunito-regular.ttf"/><Relationship Id="rId7" Type="http://schemas.openxmlformats.org/officeDocument/2006/relationships/font" Target="fonts/Nunito-bold.ttf"/><Relationship Id="rId8" Type="http://schemas.openxmlformats.org/officeDocument/2006/relationships/font" Target="fonts/Nunit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