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1114.6800231933594" w:right="0" w:firstLine="0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1155cc"/>
          <w:sz w:val="44"/>
          <w:szCs w:val="44"/>
          <w:rtl w:val="0"/>
        </w:rPr>
        <w:t xml:space="preserve">                    Devis N°{{numero}}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155cc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1114.6800231933594" w:right="0" w:firstLine="0"/>
        <w:rPr>
          <w:rFonts w:ascii="Times" w:cs="Times" w:eastAsia="Times" w:hAnsi="Times"/>
          <w:b w:val="1"/>
          <w:bCs w:val="1"/>
          <w:color w:val="1155cc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075.0" w:type="dxa"/>
        <w:jc w:val="left"/>
        <w:tblInd w:w="7564.6800231933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tblGridChange w:id="0">
          <w:tblGrid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38.0902099609375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Dénomination: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{{nomEntreprise}}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2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Adresse:{{adresseEntreprise}}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32.65014648437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Siret: {{siret}}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7.5799560546875" w:firstLine="0"/>
              <w:rPr>
                <w:rFonts w:ascii="Times" w:cs="Times" w:eastAsia="Times" w:hAnsi="Times"/>
                <w:b w:val="1"/>
                <w:bCs w:val="1"/>
                <w:color w:val="1155cc"/>
                <w:sz w:val="44"/>
                <w:szCs w:val="44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Mail: {{mailEntreprise}}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1114.6800231933594" w:right="0" w:firstLine="0"/>
        <w:rPr>
          <w:rFonts w:ascii="Times" w:cs="Times" w:eastAsia="Times" w:hAnsi="Times"/>
          <w:b w:val="1"/>
          <w:bCs w:val="1"/>
          <w:color w:val="1155cc"/>
          <w:sz w:val="44"/>
          <w:szCs w:val="4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304.6800231933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5010"/>
        <w:gridCol w:w="1035"/>
        <w:gridCol w:w="870"/>
        <w:gridCol w:w="1620"/>
        <w:tblGridChange w:id="0">
          <w:tblGrid>
            <w:gridCol w:w="2085"/>
            <w:gridCol w:w="5010"/>
            <w:gridCol w:w="1035"/>
            <w:gridCol w:w="8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28.43002319335938" w:firstLine="0"/>
              <w:rPr>
                <w:rFonts w:ascii="Times" w:cs="Times" w:eastAsia="Times" w:hAnsi="Times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Référence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28.08990478515625" w:firstLine="0"/>
              <w:rPr>
                <w:rFonts w:ascii="Times" w:cs="Times" w:eastAsia="Times" w:hAnsi="Times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Désignation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122.3101806640625" w:firstLine="0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Quantité 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28.909912109375" w:firstLine="0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TVA 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color w:val="ffffff"/>
                <w:sz w:val="17"/>
                <w:szCs w:val="17"/>
                <w:rtl w:val="0"/>
              </w:rPr>
              <w:t xml:space="preserve">Montant 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122.14004516601562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{{numero}}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2290.267333984375" w:line="240" w:lineRule="auto"/>
              <w:ind w:left="120.24993896484375" w:firstLine="0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TVA non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29.88847255706787" w:lineRule="auto"/>
              <w:ind w:left="123.99993896484375" w:right="208.3599853515625" w:firstLine="0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applicable – article 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6.258544921875" w:line="229.88847255706787" w:lineRule="auto"/>
              <w:ind w:left="125.24993896484375" w:right="79.33074951171875" w:hanging="3.99993896484375"/>
              <w:rPr>
                <w:rFonts w:ascii="Times" w:cs="Times" w:eastAsia="Times" w:hAnsi="Times"/>
                <w:b w:val="1"/>
                <w:bCs w:val="1"/>
                <w:color w:val="1155cc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261-4-4° a du Code général des impôts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7.919921875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 de la formation: 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187.806396484375" w:line="264.3717384338379" w:lineRule="auto"/>
              <w:ind w:left="122.919921875" w:right="283.38134765625" w:hanging="0.880126953125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Structuration des modes de fonctionnement opérationnels et sécurisation des points critiques d’exploitation en établissement hôtelier 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845.283203125" w:line="240" w:lineRule="auto"/>
              <w:ind w:left="127.239990234375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Date de formation prévue: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17.1169090270996" w:lineRule="auto"/>
              <w:ind w:left="127.239990234375" w:right="388.221435546875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Du {{date_debut}} au {{date_fin}}</w:t>
              <w:br w:type="textWrapping"/>
              <w:t xml:space="preserve"> inclus Durée : 21 heures 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.58544921875" w:line="240" w:lineRule="auto"/>
              <w:ind w:left="127.919921875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Nom de stagiaires: </w:t>
              <w:br w:type="textWrapping"/>
              <w:t xml:space="preserve">{{nom}} {{prenom}}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80.906982421875" w:line="240" w:lineRule="auto"/>
              <w:ind w:left="127.40997314453125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{{directeur}}/ Directeur 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180.906982421875" w:line="240" w:lineRule="auto"/>
              <w:ind w:left="127.40997314453125" w:firstLine="0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Horaires : 7 heures / jours durant 3 jours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190.28656005859375" w:line="240" w:lineRule="auto"/>
              <w:ind w:left="127.7801513671875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Matin – 9h00 à 17h00 (7h) 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394.07318115234375" w:line="217.1169090270996" w:lineRule="auto"/>
              <w:ind w:left="122.650146484375" w:right="508.4576416015625" w:firstLine="6.28997802734375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Formation intra-entreprise - présentiel en milieu de travail : {{nomEntreprise}}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21.96990966796875" w:firstLine="0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{{adresse}}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185.94573974609375" w:line="240" w:lineRule="auto"/>
              <w:ind w:left="125.7501220703125" w:firstLine="0"/>
              <w:jc w:val="center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Objectifs pédagogiques: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64.3717384338379" w:lineRule="auto"/>
              <w:ind w:left="347.1484375" w:right="308.031005859375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À l’issue de la formation, les apprenants seront capables de :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64.37108039855957" w:lineRule="auto"/>
              <w:ind w:left="156.78131103515625" w:right="97.329101562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Comprendre les enjeux organisationnels et les risques liés aux dysfonctionnements opérationnels en établissement hôtelier.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9.693603515625" w:line="264.36902046203613" w:lineRule="auto"/>
              <w:ind w:left="336.86920166015625" w:right="224.0173339843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Identifier les points critiques d’exploitation impactant la qualité de service et la continuité d’activité. 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9.696044921875" w:line="264.36902046203613" w:lineRule="auto"/>
              <w:ind w:left="221.73248291015625" w:right="108.877563476562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Analyser les pratiques professionnelles existantes afin de repérer les écarts et sources d’erreurs.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9.696044921875" w:line="240" w:lineRule="auto"/>
              <w:ind w:right="651.14990234375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S’approprier les principes de structuration et 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27.967529296875" w:line="264.37445640563965" w:lineRule="auto"/>
              <w:ind w:left="598.7908935546875" w:right="542.78320312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d’harmonisation des mo</w:t>
              <w:br w:type="textWrapping"/>
              <w:t xml:space="preserve">• Formaliser des repères opérationnels communs adaptés à leur activité. 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9.686279296875" w:line="264.37445640563965" w:lineRule="auto"/>
              <w:ind w:left="301.80084228515625" w:right="202.29980468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Mettre en place des modes opératoires homogènes sur les activités clés. 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9.686279296875" w:line="264.37445640563965" w:lineRule="auto"/>
              <w:ind w:left="176.77642822265625" w:right="67.2839355468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Sécuriser les pratiques professionnelles afin de réduire les risques d’erreurs et de dysfonctionnements. </w:t>
            </w:r>
          </w:p>
          <w:p w:rsidR="00000000" w:rsidDel="00000000" w:rsidP="00000000" w:rsidRDefault="00000000" w:rsidRPr="00000000" w14:paraId="00000025">
            <w:pPr>
              <w:widowControl w:val="0"/>
              <w:spacing w:before="9.686279296875" w:line="264.37445640563965" w:lineRule="auto"/>
              <w:ind w:left="321.75201416015625" w:right="209.16198730468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Contribuer à l’amélioration de la fiabilité et de la qualité des services au sein de l’établissement des de 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9.686279296875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fonctionnement. 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681.658935546875" w:line="264.3727397918701" w:lineRule="auto"/>
              <w:ind w:left="125.24993896484375" w:right="276.1688232421875" w:firstLine="45.009765625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TVA non applicable – article 261-4-4° a du Code général des impôts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" w:cs="Times" w:eastAsia="Times" w:hAnsi="Times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38"/>
                <w:szCs w:val="38"/>
                <w:rtl w:val="0"/>
              </w:rPr>
              <w:t xml:space="preserve">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" w:cs="Times" w:eastAsia="Times" w:hAnsi="Times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" w:cs="Times" w:eastAsia="Times" w:hAnsi="Times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38"/>
                <w:szCs w:val="38"/>
                <w:rtl w:val="0"/>
              </w:rPr>
              <w:t xml:space="preserve">2000€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1114.6800231933594" w:right="0" w:firstLine="0"/>
        <w:rPr>
          <w:rFonts w:ascii="Times" w:cs="Times" w:eastAsia="Times" w:hAnsi="Times"/>
          <w:b w:val="1"/>
          <w:bCs w:val="1"/>
          <w:color w:val="1155c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2587890625" w:line="240" w:lineRule="auto"/>
        <w:ind w:left="1118.0400085449219" w:right="0" w:firstLine="0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1824.970703125" w:firstLine="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      Nous restons à votre disposition pour toute information complémentaire: </w:t>
      </w:r>
    </w:p>
    <w:tbl>
      <w:tblPr>
        <w:tblStyle w:val="Table3"/>
        <w:tblW w:w="3080.0" w:type="dxa"/>
        <w:jc w:val="left"/>
        <w:tblInd w:w="59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0"/>
        <w:tblGridChange w:id="0">
          <w:tblGrid>
            <w:gridCol w:w="308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23.90991210937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TOTAL HTT: 2000,,00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23.90991210937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TVA ( 0%) :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23.909912109375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TOTAL TTC: 2000,,00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 ce devis vous convient, veuillez nous le retourner signé. </w:t>
      </w:r>
    </w:p>
    <w:p w:rsidR="00000000" w:rsidDel="00000000" w:rsidP="00000000" w:rsidRDefault="00000000" w:rsidRPr="00000000" w14:paraId="00000035">
      <w:pPr>
        <w:widowControl w:val="0"/>
        <w:spacing w:before="20.48187255859375" w:line="240" w:lineRule="auto"/>
        <w:ind w:right="585"/>
        <w:rPr>
          <w:sz w:val="20"/>
          <w:szCs w:val="20"/>
        </w:rPr>
      </w:pPr>
      <w:r w:rsidDel="00000000" w:rsidR="00000000" w:rsidRPr="00000000">
        <w:rPr>
          <w:sz w:val="17"/>
          <w:szCs w:val="17"/>
          <w:rtl w:val="0"/>
        </w:rPr>
        <w:br w:type="textWrapping"/>
        <w:t xml:space="preserve">Le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{{date_facture}}, </w:t>
      </w:r>
      <w:r w:rsidDel="00000000" w:rsidR="00000000" w:rsidRPr="00000000">
        <w:rPr>
          <w:sz w:val="17"/>
          <w:szCs w:val="17"/>
          <w:rtl w:val="0"/>
        </w:rPr>
        <w:t xml:space="preserve">à </w:t>
      </w:r>
      <w:r w:rsidDel="00000000" w:rsidR="00000000" w:rsidRPr="00000000">
        <w:rPr>
          <w:sz w:val="20"/>
          <w:szCs w:val="20"/>
          <w:rtl w:val="0"/>
        </w:rPr>
        <w:t xml:space="preserve">Brie-Comte-Robert: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123.9099121093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37384033203125" w:line="233.23997497558594" w:lineRule="auto"/>
        <w:ind w:left="1155.2880859375" w:right="64.844970703125" w:firstLine="0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95.5976676940918" w:top="203.26171875" w:left="310" w:right="1361.895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RE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spacing w:before="622.5548553466797" w:line="240" w:lineRule="auto"/>
      <w:ind w:right="3378.642578125"/>
      <w:jc w:val="right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  <w:rtl w:val="0"/>
      </w:rPr>
      <w:t xml:space="preserve">© Format Sphère 2025 – Tous droits réservés </w:t>
    </w:r>
  </w:p>
  <w:p w:rsidR="00000000" w:rsidDel="00000000" w:rsidP="00000000" w:rsidRDefault="00000000" w:rsidRPr="00000000" w14:paraId="00000039">
    <w:pPr>
      <w:widowControl w:val="0"/>
      <w:spacing w:line="240" w:lineRule="auto"/>
      <w:ind w:right="3084.4158935546875"/>
      <w:jc w:val="right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  <w:rtl w:val="0"/>
      </w:rPr>
      <w:t xml:space="preserve">23 Grande Rue Villemeneux – 77170 Brie-Comte-Robert </w:t>
    </w:r>
  </w:p>
  <w:p w:rsidR="00000000" w:rsidDel="00000000" w:rsidP="00000000" w:rsidRDefault="00000000" w:rsidRPr="00000000" w14:paraId="0000003A">
    <w:pPr>
      <w:widowControl w:val="0"/>
      <w:spacing w:line="240" w:lineRule="auto"/>
      <w:ind w:right="2554.356689453125"/>
      <w:jc w:val="right"/>
      <w:rPr>
        <w:color w:val="467886"/>
        <w:sz w:val="12"/>
        <w:szCs w:val="12"/>
        <w:u w:val="single"/>
      </w:rPr>
    </w:pP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�� </w:t>
    </w:r>
    <w:r w:rsidDel="00000000" w:rsidR="00000000" w:rsidRPr="00000000">
      <w:rPr>
        <w:rFonts w:ascii="REM" w:cs="REM" w:eastAsia="REM" w:hAnsi="REM"/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13219d"/>
        <w:sz w:val="12"/>
        <w:szCs w:val="12"/>
        <w:rtl w:val="0"/>
      </w:rPr>
      <w:t xml:space="preserve">06 29 94 75 68 – </w:t>
    </w:r>
    <w:r w:rsidDel="00000000" w:rsidR="00000000" w:rsidRPr="00000000">
      <w:rPr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✉ </w:t>
    </w:r>
    <w:r w:rsidDel="00000000" w:rsidR="00000000" w:rsidRPr="00000000">
      <w:rPr>
        <w:color w:val="467886"/>
        <w:sz w:val="12"/>
        <w:szCs w:val="12"/>
        <w:u w:val="single"/>
        <w:rtl w:val="0"/>
      </w:rPr>
      <w:t xml:space="preserve">contact@formatsphere.fr </w:t>
    </w:r>
    <w:r w:rsidDel="00000000" w:rsidR="00000000" w:rsidRPr="00000000">
      <w:rPr>
        <w:color w:val="13219d"/>
        <w:sz w:val="12"/>
        <w:szCs w:val="12"/>
        <w:rtl w:val="0"/>
      </w:rPr>
      <w:t xml:space="preserve">– </w:t>
    </w:r>
    <w:r w:rsidDel="00000000" w:rsidR="00000000" w:rsidRPr="00000000">
      <w:rPr>
        <w:rFonts w:ascii="REM" w:cs="REM" w:eastAsia="REM" w:hAnsi="REM"/>
        <w:color w:val="13219d"/>
        <w:sz w:val="12"/>
        <w:szCs w:val="12"/>
        <w:rtl w:val="0"/>
      </w:rPr>
      <w:t xml:space="preserve">�� </w:t>
    </w:r>
    <w:r w:rsidDel="00000000" w:rsidR="00000000" w:rsidRPr="00000000">
      <w:rPr>
        <w:rFonts w:ascii="REM" w:cs="REM" w:eastAsia="REM" w:hAnsi="REM"/>
        <w:color w:val="13219d"/>
        <w:sz w:val="12"/>
        <w:szCs w:val="12"/>
      </w:rPr>
      <w:drawing>
        <wp:inline distB="19050" distT="19050" distL="19050" distR="19050">
          <wp:extent cx="101600" cy="1016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" cy="101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467886"/>
        <w:sz w:val="12"/>
        <w:szCs w:val="12"/>
        <w:u w:val="single"/>
        <w:rtl w:val="0"/>
      </w:rPr>
      <w:t xml:space="preserve">www.formatsphere.fr </w:t>
    </w:r>
  </w:p>
  <w:p w:rsidR="00000000" w:rsidDel="00000000" w:rsidP="00000000" w:rsidRDefault="00000000" w:rsidRPr="00000000" w14:paraId="0000003B">
    <w:pPr>
      <w:widowControl w:val="0"/>
      <w:spacing w:before="42.537384033203125" w:line="233.23997497558594" w:lineRule="auto"/>
      <w:ind w:left="1155.2880859375" w:right="64.844970703125" w:firstLine="0"/>
      <w:jc w:val="center"/>
      <w:rPr/>
    </w:pPr>
    <w:r w:rsidDel="00000000" w:rsidR="00000000" w:rsidRPr="00000000">
      <w:rPr>
        <w:color w:val="13219d"/>
        <w:sz w:val="12"/>
        <w:szCs w:val="12"/>
        <w:rtl w:val="0"/>
      </w:rPr>
      <w:t xml:space="preserve">Les informations contenues dans ce document sont fournies à titre indicatif uniquement. Aucune garantie n’est donnée quant à leur exhaustivité, leur exactitude ou leur  applicabilité à un projet particulier. Elles peuvent varier selon les circonstances techniques et pédagogiques, sont fournies sans engagement de responsabilité et peuvent  être modifiées sans préavis. Toute reproduction, modification ou divulgation à des tiers sans autorisation écrite préalable de Format Sphere est strictement interdite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color w:val="13219d"/>
        <w:sz w:val="12"/>
        <w:szCs w:val="12"/>
      </w:rPr>
      <w:drawing>
        <wp:inline distB="19050" distT="19050" distL="19050" distR="19050">
          <wp:extent cx="2617447" cy="711200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7447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widowControl w:val="0"/>
      <w:spacing w:line="240" w:lineRule="auto"/>
      <w:rPr>
        <w:color w:val="13219d"/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M-regular.ttf"/><Relationship Id="rId2" Type="http://schemas.openxmlformats.org/officeDocument/2006/relationships/font" Target="fonts/REM-bold.ttf"/><Relationship Id="rId3" Type="http://schemas.openxmlformats.org/officeDocument/2006/relationships/font" Target="fonts/REM-italic.ttf"/><Relationship Id="rId4" Type="http://schemas.openxmlformats.org/officeDocument/2006/relationships/font" Target="fonts/RE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