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B91D4" w14:textId="77777777" w:rsidR="00A170AD" w:rsidRDefault="00A170AD" w:rsidP="00A170AD">
      <w:pPr>
        <w:pStyle w:val="Titre"/>
      </w:pPr>
      <w:r>
        <w:t>Processus général de formation NT Conseils</w:t>
      </w:r>
    </w:p>
    <w:p w14:paraId="2BC03B63" w14:textId="77777777" w:rsidR="00A170AD" w:rsidRDefault="00A170AD" w:rsidP="00A170AD">
      <w:pPr>
        <w:pStyle w:val="Sous-titre"/>
      </w:pPr>
      <w:r>
        <w:t>Déroulement détaillé des étapes de la prestation</w:t>
      </w:r>
    </w:p>
    <w:p w14:paraId="3F07A202" w14:textId="77777777" w:rsidR="00A170AD" w:rsidRDefault="00A170AD" w:rsidP="00A170AD">
      <w:pPr>
        <w:pStyle w:val="Titre1"/>
      </w:pPr>
      <w:r>
        <w:t>1. Diffusion de l’information</w:t>
      </w:r>
    </w:p>
    <w:p w14:paraId="3C5A0E54" w14:textId="77777777" w:rsidR="00A170AD" w:rsidRDefault="00A170AD" w:rsidP="00A170AD">
      <w:r w:rsidRPr="00A170AD">
        <w:t>Lorsqu'une demande concernant la prestation arrive, ABDULHALIK ANTTOISSE envoie systématiquement le PDF de présentation du bilan de compétences intitulé « Présentation du bilan ». Cette première communication permet au bénéficiaire de prendre connaissance de l’offre proposée.</w:t>
      </w:r>
    </w:p>
    <w:p w14:paraId="348921D9" w14:textId="77777777" w:rsidR="00A170AD" w:rsidRDefault="00A170AD" w:rsidP="00A170AD">
      <w:r w:rsidRPr="00A170AD">
        <w:t>Si aucun retour n’est reçu sous trois jours, ABDULHALIK ANTTOISSE effectue une relance téléphonique afin de s'assurer que le mail a bien été reçu et répondre aux éventuelles questions du bénéficiaire.</w:t>
      </w:r>
    </w:p>
    <w:p w14:paraId="3670355D" w14:textId="77777777" w:rsidR="00A170AD" w:rsidRDefault="00A170AD" w:rsidP="00A170AD">
      <w:pPr>
        <w:pStyle w:val="Titre1"/>
      </w:pPr>
      <w:r>
        <w:t>2. Analyse du besoin</w:t>
      </w:r>
    </w:p>
    <w:p w14:paraId="722F6CCB" w14:textId="77777777" w:rsidR="00A170AD" w:rsidRDefault="00A170AD" w:rsidP="00A170AD">
      <w:r w:rsidRPr="00A170AD">
        <w:t>Lorsque le bénéficiaire manifeste un intérêt pour le bilan de compétences, ABDULHALIK ANTTOISSE procède à une analyse approfondie de son besoin ou de celui de l’entreprise. Ce travail se fait à l’aide du document « Analyse des besoins ».</w:t>
      </w:r>
    </w:p>
    <w:p w14:paraId="40FAFB54" w14:textId="77777777" w:rsidR="00A170AD" w:rsidRDefault="00A170AD" w:rsidP="00A170AD">
      <w:r w:rsidRPr="00A170AD">
        <w:t>Si le bénéficiaire se trouve en situation de handicap, une analyse spécifique est menée afin d’identifier les besoins particuliers et, si nécessaire, définir avec lui les aménagements et adaptations appropriés. Ces échanges s’appuient sur les documents « Accueil des bénéficiaires en situation de handicap – entretien » et « Accueil des bénéficiaires en situation de handicap – bilan ».</w:t>
      </w:r>
    </w:p>
    <w:p w14:paraId="4DA184E4" w14:textId="77777777" w:rsidR="00A170AD" w:rsidRDefault="00A170AD" w:rsidP="00A170AD">
      <w:r w:rsidRPr="00A170AD">
        <w:t>Dans le cas où les adaptations ne sont pas envisageables, ABDULHALIK ANTTOISSE oriente le bénéficiaire vers un organisme compétent, en s’appuyant sur « Partenaires nationaux handicap » et « Contacts et suivi handicap ».</w:t>
      </w:r>
    </w:p>
    <w:p w14:paraId="37FF8860" w14:textId="77777777" w:rsidR="00A170AD" w:rsidRDefault="00A170AD" w:rsidP="00A170AD">
      <w:pPr>
        <w:pStyle w:val="Titre1"/>
      </w:pPr>
      <w:r>
        <w:lastRenderedPageBreak/>
        <w:t>3. Contractualisation de la prestation</w:t>
      </w:r>
    </w:p>
    <w:p w14:paraId="1EB3D731" w14:textId="77777777" w:rsidR="00A170AD" w:rsidRDefault="00A170AD" w:rsidP="00A170AD">
      <w:r w:rsidRPr="00A170AD">
        <w:t>Après réalisation de l’analyse des besoins, ABDULHALIK ANTTOISSE contractualise la prestation à venir avec le bénéficiaire. Cette étape se formalise par la signature de documents tels que le « Contrat de formation », la « Convention de formation » et le « Programme de formation ».</w:t>
      </w:r>
    </w:p>
    <w:p w14:paraId="5379C485" w14:textId="77777777" w:rsidR="00A170AD" w:rsidRDefault="00A170AD" w:rsidP="00A170AD">
      <w:pPr>
        <w:pStyle w:val="Titre1"/>
      </w:pPr>
      <w:r>
        <w:t>4. Information des publics bénéficiaires</w:t>
      </w:r>
    </w:p>
    <w:p w14:paraId="650B177E" w14:textId="77777777" w:rsidR="00A170AD" w:rsidRDefault="00A170AD" w:rsidP="00A170AD">
      <w:r w:rsidRPr="00A170AD">
        <w:t>Une fois le délai de rétractation de dix jours écoulé, ABDULHALIK ANTTOISSE informe les publics bénéficiaires sur les conditions de déroulement de la prestation. Il leur transmet notamment le « Livret d’accueil », les « Informations périphériques à la prestation », le « Mail type début de prestation », le « Règlement intérieur » ainsi que le document relatif au « Droit à l’image ».</w:t>
      </w:r>
    </w:p>
    <w:p w14:paraId="08CFD873" w14:textId="77777777" w:rsidR="00A170AD" w:rsidRDefault="00A170AD" w:rsidP="00A170AD">
      <w:pPr>
        <w:pStyle w:val="Titre1"/>
      </w:pPr>
      <w:r>
        <w:t>5. Mise à disposition des moyens</w:t>
      </w:r>
    </w:p>
    <w:p w14:paraId="5D53EACF" w14:textId="77777777" w:rsidR="00A170AD" w:rsidRDefault="00A170AD" w:rsidP="00A170AD">
      <w:r w:rsidRPr="00A170AD">
        <w:t>Avant le début de la prestation, ABDULHALIK ANTTOISSE veille à la mise à disposition des moyens techniques adaptés et à l’existence d’un environnement approprié pour le bon déroulement de la formation. Il s’assure de tout cela grâce à la « Liste de vérification », le document « Moyens techniques et environnement » et le « Mail type aide à la connexion ».</w:t>
      </w:r>
    </w:p>
    <w:p w14:paraId="4B21CBC5" w14:textId="77777777" w:rsidR="00A170AD" w:rsidRDefault="00A170AD" w:rsidP="00A170AD">
      <w:r w:rsidRPr="00A170AD">
        <w:t>Si la prestation implique des sous-traitants, il contractualise également avec eux via le « Contrat de sous-traitance ».</w:t>
      </w:r>
    </w:p>
    <w:p w14:paraId="4B7B00BE" w14:textId="77777777" w:rsidR="00A170AD" w:rsidRDefault="00A170AD" w:rsidP="00A170AD">
      <w:pPr>
        <w:pStyle w:val="Titre1"/>
      </w:pPr>
      <w:r>
        <w:t>6. Réalisation du test de positionnement</w:t>
      </w:r>
    </w:p>
    <w:p w14:paraId="333525D7" w14:textId="77777777" w:rsidR="00A170AD" w:rsidRDefault="00A170AD" w:rsidP="00A170AD">
      <w:r w:rsidRPr="00A170AD">
        <w:t>Lors de la première heure de la prestation, ABDULHALIK ANTTOISSE réalise un test de positionnement. Ce test permet d’évaluer le niveau initial du bénéficiaire, en s’appuyant sur le document « Test de positionnement ».</w:t>
      </w:r>
    </w:p>
    <w:p w14:paraId="42B11BD0" w14:textId="77777777" w:rsidR="00A170AD" w:rsidRDefault="00A170AD" w:rsidP="00A170AD">
      <w:pPr>
        <w:pStyle w:val="Titre1"/>
      </w:pPr>
      <w:r>
        <w:lastRenderedPageBreak/>
        <w:t>7. Réalisation de la formation</w:t>
      </w:r>
    </w:p>
    <w:p w14:paraId="364DF0C9" w14:textId="77777777" w:rsidR="00A170AD" w:rsidRDefault="00A170AD" w:rsidP="00A170AD">
      <w:r w:rsidRPr="00A170AD">
        <w:t>La prestation se déroule selon un séquençage précis, documenté dans « Séquençage de la prestation ». Pendant la formation, ABDULHALIK ANTTOISSE assure le suivi de l’accompagnement mis en place si besoin, en utilisant des outils tels que la « Fiche pédagogique » et le « Suivi de l’adaptation à l’accompagnement et à l’apprentissage ».</w:t>
      </w:r>
    </w:p>
    <w:p w14:paraId="7EFFC43C" w14:textId="77777777" w:rsidR="00A170AD" w:rsidRDefault="00A170AD" w:rsidP="00A170AD">
      <w:r w:rsidRPr="00A170AD">
        <w:t>En cas d’abandon, il contacte le bénéficiaire pour en comprendre les raisons et assure le suivi grâce au « Guide d’entretien des abandons ». Si des difficultés ou réclamations surviennent, il les traite directement et assure leur suivi à l’aide du « Tableau des dysfonctionnements ».</w:t>
      </w:r>
    </w:p>
    <w:p w14:paraId="27595855" w14:textId="77777777" w:rsidR="00A170AD" w:rsidRDefault="00A170AD" w:rsidP="00A170AD">
      <w:pPr>
        <w:pStyle w:val="Titre1"/>
      </w:pPr>
      <w:r>
        <w:t>8. Réalisation de l’évaluation finale</w:t>
      </w:r>
    </w:p>
    <w:p w14:paraId="398F12DB" w14:textId="77777777" w:rsidR="00A170AD" w:rsidRDefault="00A170AD" w:rsidP="00A170AD">
      <w:r w:rsidRPr="00A170AD">
        <w:t>Lors de la dernière heure de la prestation, ABDULHALIK ANTTOISSE procède à l’évaluation finale et corrige les réponses en les argumentant, en s’appuyant sur le document « Évaluation finale ».</w:t>
      </w:r>
    </w:p>
    <w:p w14:paraId="05BA3411" w14:textId="77777777" w:rsidR="00A170AD" w:rsidRDefault="00A170AD" w:rsidP="00A170AD">
      <w:pPr>
        <w:pStyle w:val="Titre1"/>
      </w:pPr>
      <w:r>
        <w:t>9. Mise à disposition du bénéficiaire des ressources pédagogiques</w:t>
      </w:r>
    </w:p>
    <w:p w14:paraId="39C4D14E" w14:textId="77777777" w:rsidR="00A170AD" w:rsidRDefault="00A170AD" w:rsidP="00A170AD">
      <w:r w:rsidRPr="00A170AD">
        <w:t>À la fin de la prestation, les apprenants reçoivent une fiche récapitulative et les ressources pédagogiques nécessaires, conformément au document « Ressources pédagogiques ».</w:t>
      </w:r>
    </w:p>
    <w:p w14:paraId="16CE0330" w14:textId="77777777" w:rsidR="00A170AD" w:rsidRDefault="00A170AD" w:rsidP="00A170AD">
      <w:pPr>
        <w:pStyle w:val="Titre1"/>
      </w:pPr>
      <w:r>
        <w:t>10. Évaluation de la satisfaction des parties prenantes</w:t>
      </w:r>
    </w:p>
    <w:p w14:paraId="24523AD9" w14:textId="77777777" w:rsidR="00A170AD" w:rsidRDefault="00A170AD" w:rsidP="00A170AD">
      <w:r w:rsidRPr="00A170AD">
        <w:t>Après la prestation, ABDULHALIK ANTTOISSE envoie un questionnaire de satisfaction à l’ensemble des parties prenantes : apprenants, entreprises, financeurs et équipes pédagogiques. Les questionnaires utilisés sont « Questionnaire satisfaction apprenant », « Questionnaire satisfaction entreprise », « Questionnaire satisfaction financeur » et « Questionnaire satisfaction équipe pédagogique ».</w:t>
      </w:r>
    </w:p>
    <w:p w14:paraId="40355DB6" w14:textId="77777777" w:rsidR="00A170AD" w:rsidRDefault="00A170AD" w:rsidP="00A170AD">
      <w:r w:rsidRPr="00A170AD">
        <w:t>Il profite de cet envoi pour joindre le « Certificat de réalisation ». Si aucun retour n’est reçu après sept jours, il effectue une relance.</w:t>
      </w:r>
    </w:p>
    <w:p w14:paraId="0FD06955" w14:textId="77777777" w:rsidR="00A170AD" w:rsidRDefault="00A170AD" w:rsidP="00A170AD">
      <w:pPr>
        <w:pStyle w:val="Titre1"/>
      </w:pPr>
      <w:r>
        <w:lastRenderedPageBreak/>
        <w:t>11. Analyse de la satisfaction des parties prenantes</w:t>
      </w:r>
    </w:p>
    <w:p w14:paraId="22427C7D" w14:textId="77777777" w:rsidR="00A170AD" w:rsidRDefault="00A170AD" w:rsidP="00A170AD">
      <w:r w:rsidRPr="00A170AD">
        <w:t>Dès réception des questionnaires de satisfaction, ABDULHALIK ANTTOISSE analyse les réponses en équipe, en se référant aux documents « Mesures d’amélioration apprenant », « Mesures d’amélioration entreprise », « Mesures d’amélioration financeur », « Mesures d’amélioration équipe pédagogique » et « Template réunion ».</w:t>
      </w:r>
    </w:p>
    <w:p w14:paraId="1E5C9E50" w14:textId="1054DA2C" w:rsidR="006569E9" w:rsidRPr="00A170AD" w:rsidRDefault="00A170AD" w:rsidP="00A170AD">
      <w:r w:rsidRPr="00A170AD">
        <w:t>Si cela s’avère nécessaire, il met en œuvre de nouvelles mesures pour assurer l’amélioration continue des formations et de l’organisme, en utilisant le « Tableau d’amélioration continue ».</w:t>
      </w:r>
    </w:p>
    <w:sectPr w:rsidR="006569E9" w:rsidRPr="00A170AD" w:rsidSect="00662736">
      <w:headerReference w:type="default" r:id="rId7"/>
      <w:footerReference w:type="default" r:id="rId8"/>
      <w:pgSz w:w="16838" w:h="11906" w:orient="landscape"/>
      <w:pgMar w:top="1417" w:right="1417" w:bottom="1417" w:left="1417" w:header="227" w:footer="283"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3CE9D" w14:textId="77777777" w:rsidR="00E13498" w:rsidRDefault="00E13498">
      <w:pPr>
        <w:spacing w:after="0" w:line="240" w:lineRule="auto"/>
      </w:pPr>
      <w:r>
        <w:separator/>
      </w:r>
    </w:p>
  </w:endnote>
  <w:endnote w:type="continuationSeparator" w:id="0">
    <w:p w14:paraId="741D742B" w14:textId="77777777" w:rsidR="00E13498" w:rsidRDefault="00E13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23295" w14:textId="009C0317" w:rsidR="006569E9" w:rsidRDefault="00000000">
    <w:pPr>
      <w:pBdr>
        <w:top w:val="nil"/>
        <w:left w:val="nil"/>
        <w:bottom w:val="nil"/>
        <w:right w:val="nil"/>
        <w:between w:val="nil"/>
      </w:pBdr>
      <w:tabs>
        <w:tab w:val="center" w:pos="4536"/>
        <w:tab w:val="right" w:pos="9072"/>
      </w:tabs>
      <w:spacing w:after="0" w:line="240" w:lineRule="auto"/>
      <w:jc w:val="right"/>
      <w:rPr>
        <w:rFonts w:ascii="Century Gothic" w:eastAsia="Century Gothic" w:hAnsi="Century Gothic" w:cs="Century Gothic"/>
        <w:color w:val="BFBFBF"/>
        <w:sz w:val="16"/>
        <w:szCs w:val="16"/>
      </w:rPr>
    </w:pPr>
    <w:r>
      <w:rPr>
        <w:rFonts w:ascii="Century Gothic" w:eastAsia="Century Gothic" w:hAnsi="Century Gothic" w:cs="Century Gothic"/>
        <w:color w:val="BFBFBF"/>
        <w:sz w:val="16"/>
        <w:szCs w:val="16"/>
      </w:rPr>
      <w:t>Document actualisé 0</w:t>
    </w:r>
    <w:r w:rsidR="001C0724">
      <w:rPr>
        <w:rFonts w:ascii="Century Gothic" w:eastAsia="Century Gothic" w:hAnsi="Century Gothic" w:cs="Century Gothic"/>
        <w:color w:val="BFBFBF"/>
        <w:sz w:val="16"/>
        <w:szCs w:val="16"/>
      </w:rPr>
      <w:t>1</w:t>
    </w:r>
    <w:r>
      <w:rPr>
        <w:rFonts w:ascii="Century Gothic" w:eastAsia="Century Gothic" w:hAnsi="Century Gothic" w:cs="Century Gothic"/>
        <w:color w:val="BFBFBF"/>
        <w:sz w:val="16"/>
        <w:szCs w:val="16"/>
      </w:rPr>
      <w:t>/0</w:t>
    </w:r>
    <w:r w:rsidR="00662736">
      <w:rPr>
        <w:rFonts w:ascii="Century Gothic" w:eastAsia="Century Gothic" w:hAnsi="Century Gothic" w:cs="Century Gothic"/>
        <w:color w:val="BFBFBF"/>
        <w:sz w:val="16"/>
        <w:szCs w:val="16"/>
      </w:rPr>
      <w:t>1</w:t>
    </w:r>
    <w:r>
      <w:rPr>
        <w:rFonts w:ascii="Century Gothic" w:eastAsia="Century Gothic" w:hAnsi="Century Gothic" w:cs="Century Gothic"/>
        <w:color w:val="BFBFBF"/>
        <w:sz w:val="16"/>
        <w:szCs w:val="16"/>
      </w:rPr>
      <w:t>/202</w:t>
    </w:r>
    <w:r w:rsidR="00662736">
      <w:rPr>
        <w:rFonts w:ascii="Century Gothic" w:eastAsia="Century Gothic" w:hAnsi="Century Gothic" w:cs="Century Gothic"/>
        <w:color w:val="BFBFBF"/>
        <w:sz w:val="16"/>
        <w:szCs w:val="16"/>
      </w:rPr>
      <w:t>6</w:t>
    </w:r>
  </w:p>
  <w:p w14:paraId="67EB484E" w14:textId="77777777" w:rsidR="006569E9" w:rsidRPr="008905B5" w:rsidRDefault="00000000">
    <w:pPr>
      <w:pBdr>
        <w:top w:val="nil"/>
        <w:left w:val="nil"/>
        <w:bottom w:val="nil"/>
        <w:right w:val="nil"/>
        <w:between w:val="nil"/>
      </w:pBdr>
      <w:tabs>
        <w:tab w:val="center" w:pos="4536"/>
        <w:tab w:val="right" w:pos="9072"/>
        <w:tab w:val="left" w:pos="5693"/>
      </w:tabs>
      <w:spacing w:after="0" w:line="240" w:lineRule="auto"/>
      <w:rPr>
        <w:rFonts w:ascii="Century Gothic" w:eastAsia="Century Gothic" w:hAnsi="Century Gothic" w:cs="Century Gothic"/>
        <w:color w:val="000000" w:themeColor="text1"/>
        <w:sz w:val="16"/>
        <w:szCs w:val="16"/>
      </w:rPr>
    </w:pPr>
    <w:r>
      <w:rPr>
        <w:rFonts w:ascii="Century Gothic" w:eastAsia="Century Gothic" w:hAnsi="Century Gothic" w:cs="Century Gothic"/>
        <w:color w:val="BFBFBF"/>
        <w:sz w:val="16"/>
        <w:szCs w:val="16"/>
      </w:rPr>
      <w:tab/>
    </w:r>
    <w:r w:rsidRPr="008905B5">
      <w:rPr>
        <w:rFonts w:ascii="Century Gothic" w:eastAsia="Century Gothic" w:hAnsi="Century Gothic" w:cs="Century Gothic"/>
        <w:color w:val="000000" w:themeColor="text1"/>
        <w:sz w:val="16"/>
        <w:szCs w:val="16"/>
      </w:rPr>
      <w:tab/>
    </w:r>
  </w:p>
  <w:p w14:paraId="050AE1AB" w14:textId="7A5A951F" w:rsidR="00812708" w:rsidRPr="008905B5" w:rsidRDefault="00662736" w:rsidP="00812708">
    <w:pPr>
      <w:pBdr>
        <w:top w:val="nil"/>
        <w:left w:val="nil"/>
        <w:bottom w:val="nil"/>
        <w:right w:val="nil"/>
        <w:between w:val="nil"/>
      </w:pBdr>
      <w:tabs>
        <w:tab w:val="center" w:pos="4536"/>
        <w:tab w:val="right" w:pos="9072"/>
      </w:tabs>
      <w:spacing w:after="0" w:line="240" w:lineRule="auto"/>
      <w:jc w:val="center"/>
      <w:rPr>
        <w:color w:val="000000" w:themeColor="text1"/>
        <w:sz w:val="16"/>
        <w:szCs w:val="16"/>
      </w:rPr>
    </w:pPr>
    <w:r>
      <w:rPr>
        <w:color w:val="000000" w:themeColor="text1"/>
        <w:sz w:val="16"/>
        <w:szCs w:val="16"/>
      </w:rPr>
      <w:t xml:space="preserve">    NT </w:t>
    </w:r>
    <w:r w:rsidR="00E34370">
      <w:rPr>
        <w:color w:val="000000" w:themeColor="text1"/>
        <w:sz w:val="16"/>
        <w:szCs w:val="16"/>
      </w:rPr>
      <w:t xml:space="preserve">CONSEILS </w:t>
    </w:r>
  </w:p>
  <w:p w14:paraId="5788AF3E" w14:textId="318DA3C4" w:rsidR="00F702CB" w:rsidRDefault="00E34370" w:rsidP="00812708">
    <w:pPr>
      <w:pBdr>
        <w:top w:val="nil"/>
        <w:left w:val="nil"/>
        <w:bottom w:val="nil"/>
        <w:right w:val="nil"/>
        <w:between w:val="nil"/>
      </w:pBdr>
      <w:tabs>
        <w:tab w:val="center" w:pos="4536"/>
        <w:tab w:val="right" w:pos="9072"/>
      </w:tabs>
      <w:spacing w:after="0" w:line="240" w:lineRule="auto"/>
      <w:jc w:val="center"/>
      <w:rPr>
        <w:color w:val="000000" w:themeColor="text1"/>
        <w:sz w:val="16"/>
        <w:szCs w:val="16"/>
      </w:rPr>
    </w:pPr>
    <w:r>
      <w:rPr>
        <w:color w:val="000000" w:themeColor="text1"/>
        <w:sz w:val="16"/>
        <w:szCs w:val="16"/>
      </w:rPr>
      <w:t>5</w:t>
    </w:r>
    <w:r w:rsidR="00662736">
      <w:rPr>
        <w:color w:val="000000" w:themeColor="text1"/>
        <w:sz w:val="16"/>
        <w:szCs w:val="16"/>
      </w:rPr>
      <w:t xml:space="preserve"> rue Pleyel 93200 Saint-Denis</w:t>
    </w:r>
  </w:p>
  <w:p w14:paraId="7DE69DE7" w14:textId="28336D61" w:rsidR="001C0724" w:rsidRPr="008905B5" w:rsidRDefault="00662736" w:rsidP="00812708">
    <w:pPr>
      <w:pBdr>
        <w:top w:val="nil"/>
        <w:left w:val="nil"/>
        <w:bottom w:val="nil"/>
        <w:right w:val="nil"/>
        <w:between w:val="nil"/>
      </w:pBdr>
      <w:tabs>
        <w:tab w:val="center" w:pos="4536"/>
        <w:tab w:val="right" w:pos="9072"/>
      </w:tabs>
      <w:spacing w:after="0" w:line="240" w:lineRule="auto"/>
      <w:jc w:val="center"/>
      <w:rPr>
        <w:color w:val="000000" w:themeColor="text1"/>
        <w:sz w:val="16"/>
        <w:szCs w:val="16"/>
      </w:rPr>
    </w:pPr>
    <w:hyperlink r:id="rId1" w:history="1">
      <w:r w:rsidRPr="00226F9C">
        <w:rPr>
          <w:rStyle w:val="Lienhypertexte"/>
          <w:sz w:val="16"/>
          <w:szCs w:val="16"/>
        </w:rPr>
        <w:t>contact.ntconseil@gmail.com</w:t>
      </w:r>
    </w:hyperlink>
  </w:p>
  <w:p w14:paraId="2486A63A" w14:textId="158ADC21" w:rsidR="001C0724" w:rsidRPr="008905B5" w:rsidRDefault="001C0724" w:rsidP="00812708">
    <w:pPr>
      <w:pBdr>
        <w:top w:val="nil"/>
        <w:left w:val="nil"/>
        <w:bottom w:val="nil"/>
        <w:right w:val="nil"/>
        <w:between w:val="nil"/>
      </w:pBdr>
      <w:tabs>
        <w:tab w:val="center" w:pos="4536"/>
        <w:tab w:val="right" w:pos="9072"/>
      </w:tabs>
      <w:spacing w:after="0" w:line="240" w:lineRule="auto"/>
      <w:jc w:val="center"/>
      <w:rPr>
        <w:color w:val="000000" w:themeColor="text1"/>
        <w:sz w:val="16"/>
        <w:szCs w:val="16"/>
      </w:rPr>
    </w:pPr>
    <w:r w:rsidRPr="008905B5">
      <w:rPr>
        <w:color w:val="000000" w:themeColor="text1"/>
        <w:sz w:val="16"/>
        <w:szCs w:val="16"/>
      </w:rPr>
      <w:t xml:space="preserve">SIRET : </w:t>
    </w:r>
    <w:r w:rsidR="00662736" w:rsidRPr="00662736">
      <w:rPr>
        <w:color w:val="000000" w:themeColor="text1"/>
        <w:sz w:val="16"/>
        <w:szCs w:val="16"/>
      </w:rPr>
      <w:t>902</w:t>
    </w:r>
    <w:r w:rsidR="00662736">
      <w:rPr>
        <w:color w:val="000000" w:themeColor="text1"/>
        <w:sz w:val="16"/>
        <w:szCs w:val="16"/>
      </w:rPr>
      <w:t xml:space="preserve"> </w:t>
    </w:r>
    <w:r w:rsidR="00662736" w:rsidRPr="00662736">
      <w:rPr>
        <w:color w:val="000000" w:themeColor="text1"/>
        <w:sz w:val="16"/>
        <w:szCs w:val="16"/>
      </w:rPr>
      <w:t>274</w:t>
    </w:r>
    <w:r w:rsidR="00662736">
      <w:rPr>
        <w:color w:val="000000" w:themeColor="text1"/>
        <w:sz w:val="16"/>
        <w:szCs w:val="16"/>
      </w:rPr>
      <w:t xml:space="preserve"> </w:t>
    </w:r>
    <w:r w:rsidR="00662736" w:rsidRPr="00662736">
      <w:rPr>
        <w:color w:val="000000" w:themeColor="text1"/>
        <w:sz w:val="16"/>
        <w:szCs w:val="16"/>
      </w:rPr>
      <w:t>448</w:t>
    </w:r>
    <w:r w:rsidR="00662736">
      <w:rPr>
        <w:color w:val="000000" w:themeColor="text1"/>
        <w:sz w:val="16"/>
        <w:szCs w:val="16"/>
      </w:rPr>
      <w:t xml:space="preserve"> </w:t>
    </w:r>
    <w:r w:rsidR="00E34370">
      <w:rPr>
        <w:color w:val="000000" w:themeColor="text1"/>
        <w:sz w:val="16"/>
        <w:szCs w:val="16"/>
      </w:rPr>
      <w:t>000</w:t>
    </w:r>
    <w:r w:rsidR="00662736">
      <w:rPr>
        <w:color w:val="000000" w:themeColor="text1"/>
        <w:sz w:val="16"/>
        <w:szCs w:val="16"/>
      </w:rPr>
      <w:t xml:space="preserve"> 31</w:t>
    </w:r>
  </w:p>
  <w:p w14:paraId="66AC6794" w14:textId="77777777" w:rsidR="001C0724" w:rsidRDefault="001C0724" w:rsidP="00812708">
    <w:pPr>
      <w:pBdr>
        <w:top w:val="nil"/>
        <w:left w:val="nil"/>
        <w:bottom w:val="nil"/>
        <w:right w:val="nil"/>
        <w:between w:val="nil"/>
      </w:pBdr>
      <w:tabs>
        <w:tab w:val="center" w:pos="4536"/>
        <w:tab w:val="right" w:pos="9072"/>
      </w:tabs>
      <w:spacing w:after="0" w:line="240" w:lineRule="auto"/>
      <w:jc w:val="center"/>
      <w:rPr>
        <w:rFonts w:ascii="Century Gothic" w:eastAsia="Century Gothic" w:hAnsi="Century Gothic" w:cs="Century Gothic"/>
        <w:color w:val="BFBFBF"/>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5C572" w14:textId="77777777" w:rsidR="00E13498" w:rsidRDefault="00E13498">
      <w:pPr>
        <w:spacing w:after="0" w:line="240" w:lineRule="auto"/>
      </w:pPr>
      <w:r>
        <w:separator/>
      </w:r>
    </w:p>
  </w:footnote>
  <w:footnote w:type="continuationSeparator" w:id="0">
    <w:p w14:paraId="6C85D251" w14:textId="77777777" w:rsidR="00E13498" w:rsidRDefault="00E13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8579C" w14:textId="5A7D3383" w:rsidR="006569E9" w:rsidRDefault="006569E9">
    <w:pPr>
      <w:pBdr>
        <w:top w:val="nil"/>
        <w:left w:val="nil"/>
        <w:bottom w:val="nil"/>
        <w:right w:val="nil"/>
        <w:between w:val="nil"/>
      </w:pBdr>
      <w:tabs>
        <w:tab w:val="center" w:pos="4536"/>
        <w:tab w:val="right" w:pos="9072"/>
      </w:tabs>
      <w:spacing w:after="0" w:line="240" w:lineRule="auto"/>
      <w:jc w:val="center"/>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9E9"/>
    <w:rsid w:val="00130688"/>
    <w:rsid w:val="001B30C5"/>
    <w:rsid w:val="001C0724"/>
    <w:rsid w:val="002E4A7A"/>
    <w:rsid w:val="003D0919"/>
    <w:rsid w:val="004001CA"/>
    <w:rsid w:val="004614FD"/>
    <w:rsid w:val="00534A52"/>
    <w:rsid w:val="005A0E2E"/>
    <w:rsid w:val="006569E9"/>
    <w:rsid w:val="00662736"/>
    <w:rsid w:val="0067097D"/>
    <w:rsid w:val="00784A62"/>
    <w:rsid w:val="00812708"/>
    <w:rsid w:val="00835F15"/>
    <w:rsid w:val="008905B5"/>
    <w:rsid w:val="008B29A8"/>
    <w:rsid w:val="00A170AD"/>
    <w:rsid w:val="00B61EED"/>
    <w:rsid w:val="00C86049"/>
    <w:rsid w:val="00D64CE1"/>
    <w:rsid w:val="00E13498"/>
    <w:rsid w:val="00E34370"/>
    <w:rsid w:val="00EF12FF"/>
    <w:rsid w:val="00F702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C5E9AF"/>
  <w15:docId w15:val="{AC2C89B0-573E-8149-9DFA-E1975663F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Century Gothic" w:eastAsia="Century Gothic" w:hAnsi="Century Gothic" w:cs="Century Gothic"/>
      <w:sz w:val="20"/>
      <w:szCs w:val="20"/>
    </w:rPr>
    <w:tblPr>
      <w:tblStyleRowBandSize w:val="1"/>
      <w:tblStyleColBandSize w:val="1"/>
      <w:tblCellMar>
        <w:left w:w="108" w:type="dxa"/>
        <w:right w:w="108" w:type="dxa"/>
      </w:tblCellMar>
    </w:tblPr>
  </w:style>
  <w:style w:type="table" w:customStyle="1" w:styleId="a0">
    <w:basedOn w:val="TableNormal"/>
    <w:pPr>
      <w:spacing w:after="0" w:line="240" w:lineRule="auto"/>
    </w:pPr>
    <w:rPr>
      <w:rFonts w:ascii="Century Gothic" w:eastAsia="Century Gothic" w:hAnsi="Century Gothic" w:cs="Century Gothic"/>
      <w:sz w:val="20"/>
      <w:szCs w:val="20"/>
    </w:rPr>
    <w:tblPr>
      <w:tblStyleRowBandSize w:val="1"/>
      <w:tblStyleColBandSize w:val="1"/>
      <w:tblCellMar>
        <w:left w:w="108" w:type="dxa"/>
        <w:right w:w="108" w:type="dxa"/>
      </w:tblCellMar>
    </w:tblPr>
  </w:style>
  <w:style w:type="table" w:customStyle="1" w:styleId="a1">
    <w:basedOn w:val="TableNormal"/>
    <w:pPr>
      <w:spacing w:after="0" w:line="240" w:lineRule="auto"/>
    </w:pPr>
    <w:rPr>
      <w:rFonts w:ascii="Century Gothic" w:eastAsia="Century Gothic" w:hAnsi="Century Gothic" w:cs="Century Gothic"/>
      <w:sz w:val="20"/>
      <w:szCs w:val="20"/>
    </w:rPr>
    <w:tblPr>
      <w:tblStyleRowBandSize w:val="1"/>
      <w:tblStyleColBandSize w:val="1"/>
      <w:tblCellMar>
        <w:left w:w="108" w:type="dxa"/>
        <w:right w:w="108" w:type="dxa"/>
      </w:tblCellMar>
    </w:tblPr>
  </w:style>
  <w:style w:type="table" w:customStyle="1" w:styleId="a2">
    <w:basedOn w:val="TableNormal"/>
    <w:pPr>
      <w:spacing w:after="0" w:line="240" w:lineRule="auto"/>
    </w:pPr>
    <w:rPr>
      <w:rFonts w:ascii="Century Gothic" w:eastAsia="Century Gothic" w:hAnsi="Century Gothic" w:cs="Century Gothic"/>
      <w:sz w:val="20"/>
      <w:szCs w:val="20"/>
    </w:rPr>
    <w:tblPr>
      <w:tblStyleRowBandSize w:val="1"/>
      <w:tblStyleColBandSize w:val="1"/>
      <w:tblCellMar>
        <w:left w:w="108" w:type="dxa"/>
        <w:right w:w="108" w:type="dxa"/>
      </w:tblCellMar>
    </w:tblPr>
  </w:style>
  <w:style w:type="paragraph" w:styleId="En-tte">
    <w:name w:val="header"/>
    <w:basedOn w:val="Normal"/>
    <w:link w:val="En-tteCar"/>
    <w:uiPriority w:val="99"/>
    <w:unhideWhenUsed/>
    <w:rsid w:val="008B29A8"/>
    <w:pPr>
      <w:tabs>
        <w:tab w:val="center" w:pos="4536"/>
        <w:tab w:val="right" w:pos="9072"/>
      </w:tabs>
      <w:spacing w:after="0" w:line="240" w:lineRule="auto"/>
    </w:pPr>
  </w:style>
  <w:style w:type="character" w:customStyle="1" w:styleId="En-tteCar">
    <w:name w:val="En-tête Car"/>
    <w:basedOn w:val="Policepardfaut"/>
    <w:link w:val="En-tte"/>
    <w:uiPriority w:val="99"/>
    <w:rsid w:val="008B29A8"/>
  </w:style>
  <w:style w:type="paragraph" w:styleId="Pieddepage">
    <w:name w:val="footer"/>
    <w:basedOn w:val="Normal"/>
    <w:link w:val="PieddepageCar"/>
    <w:uiPriority w:val="99"/>
    <w:unhideWhenUsed/>
    <w:rsid w:val="008B29A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B29A8"/>
  </w:style>
  <w:style w:type="character" w:styleId="Lienhypertexte">
    <w:name w:val="Hyperlink"/>
    <w:basedOn w:val="Policepardfaut"/>
    <w:uiPriority w:val="99"/>
    <w:unhideWhenUsed/>
    <w:rsid w:val="00812708"/>
    <w:rPr>
      <w:color w:val="0000FF" w:themeColor="hyperlink"/>
      <w:u w:val="single"/>
    </w:rPr>
  </w:style>
  <w:style w:type="character" w:styleId="Mentionnonrsolue">
    <w:name w:val="Unresolved Mention"/>
    <w:basedOn w:val="Policepardfaut"/>
    <w:uiPriority w:val="99"/>
    <w:semiHidden/>
    <w:unhideWhenUsed/>
    <w:rsid w:val="001C07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ontact.ntconseil@gmail.com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jX8BmTILnw6QLwPV/B67vpv/kg==">CgMxLjA4AHIhMVA1Nl9jRWtyak9McS1uaWQxYU5MMmtyMXRXX2Zncmkt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750</Words>
  <Characters>4504</Characters>
  <Application>Microsoft Office Word</Application>
  <DocSecurity>0</DocSecurity>
  <Lines>300</Lines>
  <Paragraphs>107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FORMA RESTO</dc:creator>
  <cp:lastModifiedBy>FARAH MHADJOU</cp:lastModifiedBy>
  <cp:revision>2</cp:revision>
  <dcterms:created xsi:type="dcterms:W3CDTF">2026-02-08T17:34:00Z</dcterms:created>
  <dcterms:modified xsi:type="dcterms:W3CDTF">2026-02-08T17:34:00Z</dcterms:modified>
</cp:coreProperties>
</file>