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BC65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Executive Summary – Expense Tracker Analysis</w:t>
      </w:r>
    </w:p>
    <w:p w14:paraId="03974ED4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1. Project Overview</w:t>
      </w:r>
    </w:p>
    <w:p w14:paraId="5EB7D037" w14:textId="77777777" w:rsidR="0077425F" w:rsidRPr="0077425F" w:rsidRDefault="0077425F" w:rsidP="0077425F">
      <w:r w:rsidRPr="0077425F">
        <w:t xml:space="preserve">The </w:t>
      </w:r>
      <w:r w:rsidRPr="0077425F">
        <w:rPr>
          <w:b/>
          <w:bCs/>
        </w:rPr>
        <w:t>Expense Tracker Analysis</w:t>
      </w:r>
      <w:r w:rsidRPr="0077425F">
        <w:t xml:space="preserve"> project was developed in Microsoft Excel to analyze monthly personal spending patterns and identify key areas of expenditure. The objective of the project was to transform raw transaction-level expense data into meaningful insights using </w:t>
      </w:r>
      <w:r w:rsidRPr="0077425F">
        <w:rPr>
          <w:b/>
          <w:bCs/>
        </w:rPr>
        <w:t>Excel formulas, PivotTables, charts, slicers, and dashboard visualizations</w:t>
      </w:r>
      <w:r w:rsidRPr="0077425F">
        <w:t>.</w:t>
      </w:r>
    </w:p>
    <w:p w14:paraId="4CBBA678" w14:textId="77777777" w:rsidR="0077425F" w:rsidRPr="0077425F" w:rsidRDefault="0077425F" w:rsidP="0077425F">
      <w:r w:rsidRPr="0077425F">
        <w:t>The dashboard provides a consolidated view of total expenses, average transaction value, category-wise spending, weekly spending trends, payment-method usage, and transaction-level patterns.</w:t>
      </w:r>
    </w:p>
    <w:p w14:paraId="55EE374A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2. Overall Financial Summary</w:t>
      </w:r>
    </w:p>
    <w:p w14:paraId="2ECBE8BA" w14:textId="77777777" w:rsidR="0077425F" w:rsidRPr="0077425F" w:rsidRDefault="0077425F" w:rsidP="0077425F">
      <w:r w:rsidRPr="0077425F">
        <w:t xml:space="preserve">The analysis shows that the </w:t>
      </w:r>
      <w:r w:rsidRPr="0077425F">
        <w:rPr>
          <w:b/>
          <w:bCs/>
        </w:rPr>
        <w:t>total monthly expenditure was ₹42,998</w:t>
      </w:r>
      <w:r w:rsidRPr="0077425F">
        <w:t xml:space="preserve">, with an </w:t>
      </w:r>
      <w:r w:rsidRPr="0077425F">
        <w:rPr>
          <w:b/>
          <w:bCs/>
        </w:rPr>
        <w:t>average expense of ₹1,433.27 per transaction</w:t>
      </w:r>
      <w:r w:rsidRPr="0077425F">
        <w:t>.</w:t>
      </w:r>
    </w:p>
    <w:p w14:paraId="5FABEF0D" w14:textId="77777777" w:rsidR="0077425F" w:rsidRPr="0077425F" w:rsidRDefault="0077425F" w:rsidP="0077425F">
      <w:r w:rsidRPr="0077425F">
        <w:t xml:space="preserve">The dashboard indicates that </w:t>
      </w:r>
      <w:r w:rsidRPr="0077425F">
        <w:rPr>
          <w:b/>
          <w:bCs/>
        </w:rPr>
        <w:t>Food was the highest-spending category</w:t>
      </w:r>
      <w:r w:rsidRPr="0077425F">
        <w:t xml:space="preserve">, with total spending of </w:t>
      </w:r>
      <w:r w:rsidRPr="0077425F">
        <w:rPr>
          <w:b/>
          <w:bCs/>
        </w:rPr>
        <w:t>₹14,000</w:t>
      </w:r>
      <w:r w:rsidRPr="0077425F">
        <w:t xml:space="preserve">. Food therefore accounted for approximately </w:t>
      </w:r>
      <w:r w:rsidRPr="0077425F">
        <w:rPr>
          <w:b/>
          <w:bCs/>
        </w:rPr>
        <w:t>32.6% of the total monthly expenditure</w:t>
      </w:r>
      <w:r w:rsidRPr="0077425F">
        <w:t>.</w:t>
      </w:r>
    </w:p>
    <w:p w14:paraId="61FEAA80" w14:textId="77777777" w:rsidR="0077425F" w:rsidRPr="0077425F" w:rsidRDefault="0077425F" w:rsidP="0077425F">
      <w:r w:rsidRPr="0077425F">
        <w:rPr>
          <w:b/>
          <w:bCs/>
        </w:rPr>
        <w:t>Shopping</w:t>
      </w:r>
      <w:r w:rsidRPr="0077425F">
        <w:t xml:space="preserve"> was the second-highest spending category, with </w:t>
      </w:r>
      <w:r w:rsidRPr="0077425F">
        <w:rPr>
          <w:b/>
          <w:bCs/>
        </w:rPr>
        <w:t>₹10,600</w:t>
      </w:r>
      <w:r w:rsidRPr="0077425F">
        <w:t xml:space="preserve">, representing approximately </w:t>
      </w:r>
      <w:r w:rsidRPr="0077425F">
        <w:rPr>
          <w:b/>
          <w:bCs/>
        </w:rPr>
        <w:t>24.7% of total spending</w:t>
      </w:r>
      <w:r w:rsidRPr="0077425F">
        <w:t>.</w:t>
      </w:r>
    </w:p>
    <w:p w14:paraId="01DFD61B" w14:textId="77777777" w:rsidR="0077425F" w:rsidRPr="0077425F" w:rsidRDefault="0077425F" w:rsidP="0077425F">
      <w:r w:rsidRPr="0077425F">
        <w:t>The category-wise spending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661"/>
        <w:gridCol w:w="1121"/>
      </w:tblGrid>
      <w:tr w:rsidR="0077425F" w:rsidRPr="0077425F" w14:paraId="64E7D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588FA" w14:textId="77777777" w:rsidR="0077425F" w:rsidRPr="0077425F" w:rsidRDefault="0077425F" w:rsidP="0077425F">
            <w:pPr>
              <w:rPr>
                <w:b/>
                <w:bCs/>
              </w:rPr>
            </w:pPr>
            <w:r w:rsidRPr="0077425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049705" w14:textId="77777777" w:rsidR="0077425F" w:rsidRPr="0077425F" w:rsidRDefault="0077425F" w:rsidP="0077425F">
            <w:pPr>
              <w:rPr>
                <w:b/>
                <w:bCs/>
              </w:rPr>
            </w:pPr>
            <w:r w:rsidRPr="0077425F">
              <w:rPr>
                <w:b/>
                <w:bCs/>
              </w:rPr>
              <w:t>Total Spending</w:t>
            </w:r>
          </w:p>
        </w:tc>
        <w:tc>
          <w:tcPr>
            <w:tcW w:w="0" w:type="auto"/>
            <w:vAlign w:val="center"/>
            <w:hideMark/>
          </w:tcPr>
          <w:p w14:paraId="15226E23" w14:textId="77777777" w:rsidR="0077425F" w:rsidRPr="0077425F" w:rsidRDefault="0077425F" w:rsidP="0077425F">
            <w:pPr>
              <w:rPr>
                <w:b/>
                <w:bCs/>
              </w:rPr>
            </w:pPr>
            <w:r w:rsidRPr="0077425F">
              <w:rPr>
                <w:b/>
                <w:bCs/>
              </w:rPr>
              <w:t>% of Total</w:t>
            </w:r>
          </w:p>
        </w:tc>
      </w:tr>
      <w:tr w:rsidR="0077425F" w:rsidRPr="0077425F" w14:paraId="2D98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3FB3" w14:textId="77777777" w:rsidR="0077425F" w:rsidRPr="0077425F" w:rsidRDefault="0077425F" w:rsidP="0077425F">
            <w:r w:rsidRPr="0077425F">
              <w:t>Food</w:t>
            </w:r>
          </w:p>
        </w:tc>
        <w:tc>
          <w:tcPr>
            <w:tcW w:w="0" w:type="auto"/>
            <w:vAlign w:val="center"/>
            <w:hideMark/>
          </w:tcPr>
          <w:p w14:paraId="15A38860" w14:textId="77777777" w:rsidR="0077425F" w:rsidRPr="0077425F" w:rsidRDefault="0077425F" w:rsidP="0077425F">
            <w:r w:rsidRPr="0077425F">
              <w:t>₹14,000</w:t>
            </w:r>
          </w:p>
        </w:tc>
        <w:tc>
          <w:tcPr>
            <w:tcW w:w="0" w:type="auto"/>
            <w:vAlign w:val="center"/>
            <w:hideMark/>
          </w:tcPr>
          <w:p w14:paraId="3DB39641" w14:textId="77777777" w:rsidR="0077425F" w:rsidRPr="0077425F" w:rsidRDefault="0077425F" w:rsidP="0077425F">
            <w:r w:rsidRPr="0077425F">
              <w:t>32.6%</w:t>
            </w:r>
          </w:p>
        </w:tc>
      </w:tr>
      <w:tr w:rsidR="0077425F" w:rsidRPr="0077425F" w14:paraId="3FEB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26A9" w14:textId="77777777" w:rsidR="0077425F" w:rsidRPr="0077425F" w:rsidRDefault="0077425F" w:rsidP="0077425F">
            <w:r w:rsidRPr="0077425F">
              <w:t>Shopping</w:t>
            </w:r>
          </w:p>
        </w:tc>
        <w:tc>
          <w:tcPr>
            <w:tcW w:w="0" w:type="auto"/>
            <w:vAlign w:val="center"/>
            <w:hideMark/>
          </w:tcPr>
          <w:p w14:paraId="3DAAF40A" w14:textId="77777777" w:rsidR="0077425F" w:rsidRPr="0077425F" w:rsidRDefault="0077425F" w:rsidP="0077425F">
            <w:r w:rsidRPr="0077425F">
              <w:t>₹10,600</w:t>
            </w:r>
          </w:p>
        </w:tc>
        <w:tc>
          <w:tcPr>
            <w:tcW w:w="0" w:type="auto"/>
            <w:vAlign w:val="center"/>
            <w:hideMark/>
          </w:tcPr>
          <w:p w14:paraId="62610AE2" w14:textId="77777777" w:rsidR="0077425F" w:rsidRPr="0077425F" w:rsidRDefault="0077425F" w:rsidP="0077425F">
            <w:r w:rsidRPr="0077425F">
              <w:t>24.7%</w:t>
            </w:r>
          </w:p>
        </w:tc>
      </w:tr>
      <w:tr w:rsidR="0077425F" w:rsidRPr="0077425F" w14:paraId="4C0A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F04E" w14:textId="77777777" w:rsidR="0077425F" w:rsidRPr="0077425F" w:rsidRDefault="0077425F" w:rsidP="0077425F">
            <w:r w:rsidRPr="0077425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D2FCB42" w14:textId="77777777" w:rsidR="0077425F" w:rsidRPr="0077425F" w:rsidRDefault="0077425F" w:rsidP="0077425F">
            <w:r w:rsidRPr="0077425F">
              <w:t>₹5,250</w:t>
            </w:r>
          </w:p>
        </w:tc>
        <w:tc>
          <w:tcPr>
            <w:tcW w:w="0" w:type="auto"/>
            <w:vAlign w:val="center"/>
            <w:hideMark/>
          </w:tcPr>
          <w:p w14:paraId="5D958488" w14:textId="77777777" w:rsidR="0077425F" w:rsidRPr="0077425F" w:rsidRDefault="0077425F" w:rsidP="0077425F">
            <w:r w:rsidRPr="0077425F">
              <w:t>12.2%</w:t>
            </w:r>
          </w:p>
        </w:tc>
      </w:tr>
      <w:tr w:rsidR="0077425F" w:rsidRPr="0077425F" w14:paraId="5DDE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3474" w14:textId="77777777" w:rsidR="0077425F" w:rsidRPr="0077425F" w:rsidRDefault="0077425F" w:rsidP="0077425F">
            <w:r w:rsidRPr="0077425F">
              <w:t>Utilities</w:t>
            </w:r>
          </w:p>
        </w:tc>
        <w:tc>
          <w:tcPr>
            <w:tcW w:w="0" w:type="auto"/>
            <w:vAlign w:val="center"/>
            <w:hideMark/>
          </w:tcPr>
          <w:p w14:paraId="50200C59" w14:textId="77777777" w:rsidR="0077425F" w:rsidRPr="0077425F" w:rsidRDefault="0077425F" w:rsidP="0077425F">
            <w:r w:rsidRPr="0077425F">
              <w:t>₹5,249</w:t>
            </w:r>
          </w:p>
        </w:tc>
        <w:tc>
          <w:tcPr>
            <w:tcW w:w="0" w:type="auto"/>
            <w:vAlign w:val="center"/>
            <w:hideMark/>
          </w:tcPr>
          <w:p w14:paraId="788693BC" w14:textId="77777777" w:rsidR="0077425F" w:rsidRPr="0077425F" w:rsidRDefault="0077425F" w:rsidP="0077425F">
            <w:r w:rsidRPr="0077425F">
              <w:t>12.2%</w:t>
            </w:r>
          </w:p>
        </w:tc>
      </w:tr>
      <w:tr w:rsidR="0077425F" w:rsidRPr="0077425F" w14:paraId="4668B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DE74" w14:textId="77777777" w:rsidR="0077425F" w:rsidRPr="0077425F" w:rsidRDefault="0077425F" w:rsidP="0077425F">
            <w:r w:rsidRPr="0077425F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33B2DCD0" w14:textId="77777777" w:rsidR="0077425F" w:rsidRPr="0077425F" w:rsidRDefault="0077425F" w:rsidP="0077425F">
            <w:r w:rsidRPr="0077425F">
              <w:t>₹3,499</w:t>
            </w:r>
          </w:p>
        </w:tc>
        <w:tc>
          <w:tcPr>
            <w:tcW w:w="0" w:type="auto"/>
            <w:vAlign w:val="center"/>
            <w:hideMark/>
          </w:tcPr>
          <w:p w14:paraId="6FCDD4C7" w14:textId="77777777" w:rsidR="0077425F" w:rsidRPr="0077425F" w:rsidRDefault="0077425F" w:rsidP="0077425F">
            <w:r w:rsidRPr="0077425F">
              <w:t>8.1%</w:t>
            </w:r>
          </w:p>
        </w:tc>
      </w:tr>
      <w:tr w:rsidR="0077425F" w:rsidRPr="0077425F" w14:paraId="4EB6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1F83" w14:textId="77777777" w:rsidR="0077425F" w:rsidRPr="0077425F" w:rsidRDefault="0077425F" w:rsidP="0077425F">
            <w:r w:rsidRPr="0077425F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9D0BD28" w14:textId="77777777" w:rsidR="0077425F" w:rsidRPr="0077425F" w:rsidRDefault="0077425F" w:rsidP="0077425F">
            <w:r w:rsidRPr="0077425F">
              <w:t>₹2,300</w:t>
            </w:r>
          </w:p>
        </w:tc>
        <w:tc>
          <w:tcPr>
            <w:tcW w:w="0" w:type="auto"/>
            <w:vAlign w:val="center"/>
            <w:hideMark/>
          </w:tcPr>
          <w:p w14:paraId="67F575D4" w14:textId="77777777" w:rsidR="0077425F" w:rsidRPr="0077425F" w:rsidRDefault="0077425F" w:rsidP="0077425F">
            <w:r w:rsidRPr="0077425F">
              <w:t>5.3%</w:t>
            </w:r>
          </w:p>
        </w:tc>
      </w:tr>
      <w:tr w:rsidR="0077425F" w:rsidRPr="0077425F" w14:paraId="66B4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904D" w14:textId="77777777" w:rsidR="0077425F" w:rsidRPr="0077425F" w:rsidRDefault="0077425F" w:rsidP="0077425F">
            <w:r w:rsidRPr="0077425F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46FBB3B" w14:textId="77777777" w:rsidR="0077425F" w:rsidRPr="0077425F" w:rsidRDefault="0077425F" w:rsidP="0077425F">
            <w:r w:rsidRPr="0077425F">
              <w:t>₹2,100</w:t>
            </w:r>
          </w:p>
        </w:tc>
        <w:tc>
          <w:tcPr>
            <w:tcW w:w="0" w:type="auto"/>
            <w:vAlign w:val="center"/>
            <w:hideMark/>
          </w:tcPr>
          <w:p w14:paraId="0D6E976F" w14:textId="77777777" w:rsidR="0077425F" w:rsidRPr="0077425F" w:rsidRDefault="0077425F" w:rsidP="0077425F">
            <w:r w:rsidRPr="0077425F">
              <w:t>4.9%</w:t>
            </w:r>
          </w:p>
        </w:tc>
      </w:tr>
      <w:tr w:rsidR="0077425F" w:rsidRPr="0077425F" w14:paraId="60EA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42BD" w14:textId="77777777" w:rsidR="0077425F" w:rsidRPr="0077425F" w:rsidRDefault="0077425F" w:rsidP="0077425F">
            <w:r w:rsidRPr="0077425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12150A" w14:textId="77777777" w:rsidR="0077425F" w:rsidRPr="0077425F" w:rsidRDefault="0077425F" w:rsidP="0077425F">
            <w:r w:rsidRPr="0077425F">
              <w:rPr>
                <w:b/>
                <w:bCs/>
              </w:rPr>
              <w:t>₹42,998</w:t>
            </w:r>
          </w:p>
        </w:tc>
        <w:tc>
          <w:tcPr>
            <w:tcW w:w="0" w:type="auto"/>
            <w:vAlign w:val="center"/>
            <w:hideMark/>
          </w:tcPr>
          <w:p w14:paraId="47BE0C4E" w14:textId="77777777" w:rsidR="0077425F" w:rsidRPr="0077425F" w:rsidRDefault="0077425F" w:rsidP="0077425F">
            <w:r w:rsidRPr="0077425F">
              <w:rPr>
                <w:b/>
                <w:bCs/>
              </w:rPr>
              <w:t>100%</w:t>
            </w:r>
          </w:p>
        </w:tc>
      </w:tr>
    </w:tbl>
    <w:p w14:paraId="2EA6FCDB" w14:textId="77777777" w:rsidR="0077425F" w:rsidRPr="0077425F" w:rsidRDefault="0077425F" w:rsidP="0077425F">
      <w:r w:rsidRPr="0077425F">
        <w:t>Monthly spending by category</w:t>
      </w:r>
    </w:p>
    <w:p w14:paraId="573F3839" w14:textId="77777777" w:rsidR="0077425F" w:rsidRPr="0077425F" w:rsidRDefault="0077425F" w:rsidP="0077425F">
      <w:r w:rsidRPr="0077425F">
        <w:lastRenderedPageBreak/>
        <w:t>Total expense distribution across categories from the Expense Tracker Analysis.</w:t>
      </w:r>
    </w:p>
    <w:p w14:paraId="2F5CB44E" w14:textId="77777777" w:rsidR="0077425F" w:rsidRPr="0077425F" w:rsidRDefault="0077425F" w:rsidP="0077425F">
      <w:r w:rsidRPr="0077425F">
        <w:t>₹0₹4K₹8K₹12K₹16K</w:t>
      </w:r>
    </w:p>
    <w:p w14:paraId="127DE6C3" w14:textId="77777777" w:rsidR="0077425F" w:rsidRPr="0077425F" w:rsidRDefault="0077425F" w:rsidP="0077425F">
      <w:r w:rsidRPr="0077425F">
        <w:t>Food</w:t>
      </w:r>
    </w:p>
    <w:p w14:paraId="030A72D4" w14:textId="77777777" w:rsidR="0077425F" w:rsidRPr="0077425F" w:rsidRDefault="0077425F" w:rsidP="0077425F">
      <w:r w:rsidRPr="0077425F">
        <w:t>Shopping</w:t>
      </w:r>
    </w:p>
    <w:p w14:paraId="42E3D408" w14:textId="77777777" w:rsidR="0077425F" w:rsidRPr="0077425F" w:rsidRDefault="0077425F" w:rsidP="0077425F">
      <w:r w:rsidRPr="0077425F">
        <w:t>Transport</w:t>
      </w:r>
    </w:p>
    <w:p w14:paraId="394A0669" w14:textId="77777777" w:rsidR="0077425F" w:rsidRPr="0077425F" w:rsidRDefault="0077425F" w:rsidP="0077425F">
      <w:r w:rsidRPr="0077425F">
        <w:t>Utilities</w:t>
      </w:r>
    </w:p>
    <w:p w14:paraId="67E4A9E8" w14:textId="77777777" w:rsidR="0077425F" w:rsidRPr="0077425F" w:rsidRDefault="0077425F" w:rsidP="0077425F">
      <w:r w:rsidRPr="0077425F">
        <w:t>Entertainment</w:t>
      </w:r>
    </w:p>
    <w:p w14:paraId="4A571939" w14:textId="77777777" w:rsidR="0077425F" w:rsidRPr="0077425F" w:rsidRDefault="0077425F" w:rsidP="0077425F">
      <w:r w:rsidRPr="0077425F">
        <w:t>Education</w:t>
      </w:r>
    </w:p>
    <w:p w14:paraId="0A6F87C9" w14:textId="77777777" w:rsidR="0077425F" w:rsidRPr="0077425F" w:rsidRDefault="0077425F" w:rsidP="0077425F">
      <w:r w:rsidRPr="0077425F">
        <w:t>Healthcare</w:t>
      </w:r>
    </w:p>
    <w:p w14:paraId="73B8E8F5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3. Key Spending Insights</w:t>
      </w:r>
    </w:p>
    <w:p w14:paraId="17CDEF06" w14:textId="77777777" w:rsidR="0077425F" w:rsidRPr="0077425F" w:rsidRDefault="0077425F" w:rsidP="0077425F">
      <w:r w:rsidRPr="0077425F">
        <w:rPr>
          <w:b/>
          <w:bCs/>
        </w:rPr>
        <w:t>Food</w:t>
      </w:r>
      <w:r w:rsidRPr="0077425F">
        <w:t xml:space="preserve"> was the largest contributor to overall expenditure at ₹14,000. This indicates that food-related expenses were the primary area of monthly spending.</w:t>
      </w:r>
    </w:p>
    <w:p w14:paraId="525781EF" w14:textId="77777777" w:rsidR="0077425F" w:rsidRPr="0077425F" w:rsidRDefault="0077425F" w:rsidP="0077425F">
      <w:r w:rsidRPr="0077425F">
        <w:rPr>
          <w:b/>
          <w:bCs/>
        </w:rPr>
        <w:t>Shopping</w:t>
      </w:r>
      <w:r w:rsidRPr="0077425F">
        <w:t xml:space="preserve"> accounted for ₹10,600, making it the second-largest expense category. Together, Food and Shopping represented approximately </w:t>
      </w:r>
      <w:r w:rsidRPr="0077425F">
        <w:rPr>
          <w:b/>
          <w:bCs/>
        </w:rPr>
        <w:t>57.2% of total spending</w:t>
      </w:r>
      <w:r w:rsidRPr="0077425F">
        <w:t>, showing that more than half of the monthly expenditure was concentrated in these two categories.</w:t>
      </w:r>
    </w:p>
    <w:p w14:paraId="022095FB" w14:textId="77777777" w:rsidR="0077425F" w:rsidRPr="0077425F" w:rsidRDefault="0077425F" w:rsidP="0077425F">
      <w:r w:rsidRPr="0077425F">
        <w:t xml:space="preserve">Transport and Utilities were almost identical, at </w:t>
      </w:r>
      <w:r w:rsidRPr="0077425F">
        <w:rPr>
          <w:b/>
          <w:bCs/>
        </w:rPr>
        <w:t>₹5,250 and ₹5,249 respectively</w:t>
      </w:r>
      <w:r w:rsidRPr="0077425F">
        <w:t>, each contributing around 12.2% of total spending.</w:t>
      </w:r>
    </w:p>
    <w:p w14:paraId="37265DBB" w14:textId="77777777" w:rsidR="0077425F" w:rsidRPr="0077425F" w:rsidRDefault="0077425F" w:rsidP="0077425F">
      <w:r w:rsidRPr="0077425F">
        <w:t>Entertainment, Education, and Healthcare represented comparatively smaller portions of the overall expenditure.</w:t>
      </w:r>
    </w:p>
    <w:p w14:paraId="55E69478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4. Transaction Analysis</w:t>
      </w:r>
    </w:p>
    <w:p w14:paraId="09DA9FA8" w14:textId="77777777" w:rsidR="0077425F" w:rsidRPr="0077425F" w:rsidRDefault="0077425F" w:rsidP="0077425F">
      <w:r w:rsidRPr="0077425F">
        <w:t xml:space="preserve">The dashboard shows an average transaction value of </w:t>
      </w:r>
      <w:r w:rsidRPr="0077425F">
        <w:rPr>
          <w:b/>
          <w:bCs/>
        </w:rPr>
        <w:t>₹1,433.27</w:t>
      </w:r>
      <w:r w:rsidRPr="0077425F">
        <w:t xml:space="preserve">. The </w:t>
      </w:r>
      <w:r w:rsidRPr="0077425F">
        <w:rPr>
          <w:b/>
          <w:bCs/>
        </w:rPr>
        <w:t>Payment Method Count</w:t>
      </w:r>
      <w:r w:rsidRPr="0077425F">
        <w:t xml:space="preserve"> visualization indicates:</w:t>
      </w:r>
    </w:p>
    <w:p w14:paraId="232B9E44" w14:textId="77777777" w:rsidR="0077425F" w:rsidRPr="0077425F" w:rsidRDefault="0077425F" w:rsidP="0077425F">
      <w:pPr>
        <w:numPr>
          <w:ilvl w:val="0"/>
          <w:numId w:val="1"/>
        </w:numPr>
      </w:pPr>
      <w:r w:rsidRPr="0077425F">
        <w:rPr>
          <w:b/>
          <w:bCs/>
        </w:rPr>
        <w:t>UPI:</w:t>
      </w:r>
      <w:r w:rsidRPr="0077425F">
        <w:t xml:space="preserve"> 15 transactions </w:t>
      </w:r>
    </w:p>
    <w:p w14:paraId="5B634CF3" w14:textId="77777777" w:rsidR="0077425F" w:rsidRPr="0077425F" w:rsidRDefault="0077425F" w:rsidP="0077425F">
      <w:pPr>
        <w:numPr>
          <w:ilvl w:val="0"/>
          <w:numId w:val="1"/>
        </w:numPr>
      </w:pPr>
      <w:r w:rsidRPr="0077425F">
        <w:rPr>
          <w:b/>
          <w:bCs/>
        </w:rPr>
        <w:t>Card:</w:t>
      </w:r>
      <w:r w:rsidRPr="0077425F">
        <w:t xml:space="preserve"> 8 transactions </w:t>
      </w:r>
    </w:p>
    <w:p w14:paraId="0B8BF39A" w14:textId="77777777" w:rsidR="0077425F" w:rsidRPr="0077425F" w:rsidRDefault="0077425F" w:rsidP="0077425F">
      <w:pPr>
        <w:numPr>
          <w:ilvl w:val="0"/>
          <w:numId w:val="1"/>
        </w:numPr>
      </w:pPr>
      <w:r w:rsidRPr="0077425F">
        <w:rPr>
          <w:b/>
          <w:bCs/>
        </w:rPr>
        <w:t>Cash:</w:t>
      </w:r>
      <w:r w:rsidRPr="0077425F">
        <w:t xml:space="preserve"> 7 transactions </w:t>
      </w:r>
    </w:p>
    <w:p w14:paraId="130D0EF3" w14:textId="77777777" w:rsidR="0077425F" w:rsidRPr="0077425F" w:rsidRDefault="0077425F" w:rsidP="0077425F">
      <w:r w:rsidRPr="0077425F">
        <w:t xml:space="preserve">Therefore, </w:t>
      </w:r>
      <w:r w:rsidRPr="0077425F">
        <w:rPr>
          <w:b/>
          <w:bCs/>
        </w:rPr>
        <w:t>UPI was the most frequently used payment method</w:t>
      </w:r>
      <w:r w:rsidRPr="0077425F">
        <w:t xml:space="preserve">, accounting for </w:t>
      </w:r>
      <w:r w:rsidRPr="0077425F">
        <w:rPr>
          <w:b/>
          <w:bCs/>
        </w:rPr>
        <w:t>50% of the transactions</w:t>
      </w:r>
      <w:r w:rsidRPr="0077425F">
        <w:t>.</w:t>
      </w:r>
    </w:p>
    <w:p w14:paraId="770335FF" w14:textId="77777777" w:rsidR="0077425F" w:rsidRPr="0077425F" w:rsidRDefault="0077425F" w:rsidP="0077425F">
      <w:r w:rsidRPr="0077425F">
        <w:lastRenderedPageBreak/>
        <w:t>This suggests that digital payment through UPI was the dominant payment method in the analyzed dataset.</w:t>
      </w:r>
    </w:p>
    <w:p w14:paraId="513B80E8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5. Weekly Spending Trend</w:t>
      </w:r>
    </w:p>
    <w:p w14:paraId="72CD1520" w14:textId="77777777" w:rsidR="0077425F" w:rsidRPr="0077425F" w:rsidRDefault="0077425F" w:rsidP="0077425F">
      <w:r w:rsidRPr="0077425F">
        <w:t xml:space="preserve">The </w:t>
      </w:r>
      <w:r w:rsidRPr="0077425F">
        <w:rPr>
          <w:b/>
          <w:bCs/>
        </w:rPr>
        <w:t>Expenses per Week</w:t>
      </w:r>
      <w:r w:rsidRPr="0077425F">
        <w:t xml:space="preserve"> chart shows that spending was highest during the earlier part of the analyzed period and generally declined over the following weeks.</w:t>
      </w:r>
    </w:p>
    <w:p w14:paraId="40B06C74" w14:textId="77777777" w:rsidR="0077425F" w:rsidRPr="0077425F" w:rsidRDefault="0077425F" w:rsidP="0077425F">
      <w:r w:rsidRPr="0077425F">
        <w:t>The trend indicates that spending was relatively high in the first two weeks, followed by a noticeable reduction in the subsequent weeks. This suggests that expenditure was not evenly distributed throughout the month and that spending patterns changed over time.</w:t>
      </w:r>
    </w:p>
    <w:p w14:paraId="4B3D737C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6. Highest Individual Expense</w:t>
      </w:r>
    </w:p>
    <w:p w14:paraId="0F84319E" w14:textId="77777777" w:rsidR="0077425F" w:rsidRPr="0077425F" w:rsidRDefault="0077425F" w:rsidP="0077425F">
      <w:r w:rsidRPr="0077425F">
        <w:t xml:space="preserve">The </w:t>
      </w:r>
      <w:r w:rsidRPr="0077425F">
        <w:rPr>
          <w:b/>
          <w:bCs/>
        </w:rPr>
        <w:t>Max Amount by Category</w:t>
      </w:r>
      <w:r w:rsidRPr="0077425F">
        <w:t xml:space="preserve"> visualization indicates that the highest individual transaction appears to be in the </w:t>
      </w:r>
      <w:r w:rsidRPr="0077425F">
        <w:rPr>
          <w:b/>
          <w:bCs/>
        </w:rPr>
        <w:t>Shopping category</w:t>
      </w:r>
      <w:r w:rsidRPr="0077425F">
        <w:t xml:space="preserve">, at approximately </w:t>
      </w:r>
      <w:r w:rsidRPr="0077425F">
        <w:rPr>
          <w:b/>
          <w:bCs/>
        </w:rPr>
        <w:t>₹4,500</w:t>
      </w:r>
      <w:r w:rsidRPr="0077425F">
        <w:t>.</w:t>
      </w:r>
    </w:p>
    <w:p w14:paraId="5D703E82" w14:textId="77777777" w:rsidR="0077425F" w:rsidRPr="0077425F" w:rsidRDefault="0077425F" w:rsidP="0077425F">
      <w:r w:rsidRPr="0077425F">
        <w:t>This is useful for identifying unusually large transactions that may require additional review when monitoring personal expenses.</w:t>
      </w:r>
    </w:p>
    <w:p w14:paraId="361ADF56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7. Business/Financial Insights</w:t>
      </w:r>
    </w:p>
    <w:p w14:paraId="3FF6C57A" w14:textId="77777777" w:rsidR="0077425F" w:rsidRPr="0077425F" w:rsidRDefault="0077425F" w:rsidP="0077425F">
      <w:r w:rsidRPr="0077425F">
        <w:t>The analysis provides several useful insights for expense management:</w:t>
      </w:r>
    </w:p>
    <w:p w14:paraId="7902ADFC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Food is the </w:t>
      </w:r>
      <w:r w:rsidRPr="0077425F">
        <w:rPr>
          <w:b/>
          <w:bCs/>
        </w:rPr>
        <w:t>largest spending category</w:t>
      </w:r>
      <w:r w:rsidRPr="0077425F">
        <w:t xml:space="preserve"> and may be the primary area for potential budget optimization. </w:t>
      </w:r>
    </w:p>
    <w:p w14:paraId="76D9A67D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Shopping is the </w:t>
      </w:r>
      <w:r w:rsidRPr="0077425F">
        <w:rPr>
          <w:b/>
          <w:bCs/>
        </w:rPr>
        <w:t>second-largest category</w:t>
      </w:r>
      <w:r w:rsidRPr="0077425F">
        <w:t xml:space="preserve"> and contributes almost one-quarter of total spending. </w:t>
      </w:r>
    </w:p>
    <w:p w14:paraId="16D4F2B0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Food and Shopping together account for more than </w:t>
      </w:r>
      <w:r w:rsidRPr="0077425F">
        <w:rPr>
          <w:b/>
          <w:bCs/>
        </w:rPr>
        <w:t>57% of total expenses</w:t>
      </w:r>
      <w:r w:rsidRPr="0077425F">
        <w:t xml:space="preserve">, indicating significant concentration in these categories. </w:t>
      </w:r>
    </w:p>
    <w:p w14:paraId="026F055C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UPI is the most frequently used payment method, with </w:t>
      </w:r>
      <w:r w:rsidRPr="0077425F">
        <w:rPr>
          <w:b/>
          <w:bCs/>
        </w:rPr>
        <w:t>15 transactions</w:t>
      </w:r>
      <w:r w:rsidRPr="0077425F">
        <w:t xml:space="preserve">. </w:t>
      </w:r>
    </w:p>
    <w:p w14:paraId="782D4F78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The average transaction value is </w:t>
      </w:r>
      <w:r w:rsidRPr="0077425F">
        <w:rPr>
          <w:b/>
          <w:bCs/>
        </w:rPr>
        <w:t>₹1,433.27</w:t>
      </w:r>
      <w:r w:rsidRPr="0077425F">
        <w:t xml:space="preserve">, providing a useful benchmark for comparing individual expenses. </w:t>
      </w:r>
    </w:p>
    <w:p w14:paraId="7D4E9F82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Weekly spending shows a </w:t>
      </w:r>
      <w:r w:rsidRPr="0077425F">
        <w:rPr>
          <w:b/>
          <w:bCs/>
        </w:rPr>
        <w:t>declining trend</w:t>
      </w:r>
      <w:r w:rsidRPr="0077425F">
        <w:t xml:space="preserve">, suggesting that spending was higher earlier in the period. </w:t>
      </w:r>
    </w:p>
    <w:p w14:paraId="4C4A4B2B" w14:textId="77777777" w:rsidR="0077425F" w:rsidRPr="0077425F" w:rsidRDefault="0077425F" w:rsidP="0077425F">
      <w:pPr>
        <w:numPr>
          <w:ilvl w:val="0"/>
          <w:numId w:val="2"/>
        </w:numPr>
      </w:pPr>
      <w:r w:rsidRPr="0077425F">
        <w:t xml:space="preserve">Transport and Utilities have almost identical total expenditure, indicating similar levels of monthly spending. </w:t>
      </w:r>
    </w:p>
    <w:p w14:paraId="59327DB9" w14:textId="77777777" w:rsidR="0077425F" w:rsidRPr="0077425F" w:rsidRDefault="0077425F" w:rsidP="0077425F">
      <w:pPr>
        <w:rPr>
          <w:b/>
          <w:bCs/>
        </w:rPr>
      </w:pPr>
      <w:r w:rsidRPr="0077425F">
        <w:rPr>
          <w:b/>
          <w:bCs/>
        </w:rPr>
        <w:t>8. Conclusion</w:t>
      </w:r>
    </w:p>
    <w:p w14:paraId="010DF887" w14:textId="77777777" w:rsidR="0077425F" w:rsidRPr="0077425F" w:rsidRDefault="0077425F" w:rsidP="0077425F">
      <w:r w:rsidRPr="0077425F">
        <w:lastRenderedPageBreak/>
        <w:t xml:space="preserve">Overall, the </w:t>
      </w:r>
      <w:r w:rsidRPr="0077425F">
        <w:rPr>
          <w:b/>
          <w:bCs/>
        </w:rPr>
        <w:t>Expense Tracker Analysis dashboard</w:t>
      </w:r>
      <w:r w:rsidRPr="0077425F">
        <w:t xml:space="preserve"> provides a clear and interactive view of monthly spending behavior. By using Excel features such as </w:t>
      </w:r>
      <w:r w:rsidRPr="0077425F">
        <w:rPr>
          <w:b/>
          <w:bCs/>
        </w:rPr>
        <w:t>PivotTables, calculated fields, SUM/SUMIF, AVERAGE, MAX, percentage calculations, charts, slicers, and filters</w:t>
      </w:r>
      <w:r w:rsidRPr="0077425F">
        <w:t>, the project converts raw expense data into actionable insights.</w:t>
      </w:r>
    </w:p>
    <w:p w14:paraId="1004101D" w14:textId="77777777" w:rsidR="0077425F" w:rsidRPr="0077425F" w:rsidRDefault="0077425F" w:rsidP="0077425F">
      <w:r w:rsidRPr="0077425F">
        <w:t xml:space="preserve">The analysis highlights </w:t>
      </w:r>
      <w:r w:rsidRPr="0077425F">
        <w:rPr>
          <w:b/>
          <w:bCs/>
        </w:rPr>
        <w:t>Food and Shopping as the major spending areas</w:t>
      </w:r>
      <w:r w:rsidRPr="0077425F">
        <w:t>, while UPI is the most commonly used payment method. The weekly trend also provides a useful view of how spending changes throughout the month.</w:t>
      </w:r>
    </w:p>
    <w:p w14:paraId="06EADD71" w14:textId="77777777" w:rsidR="0077425F" w:rsidRPr="0077425F" w:rsidRDefault="0077425F" w:rsidP="0077425F">
      <w:r w:rsidRPr="0077425F">
        <w:t xml:space="preserve">From a data-analysis perspective, this project demonstrates practical skills in </w:t>
      </w:r>
      <w:r w:rsidRPr="0077425F">
        <w:rPr>
          <w:b/>
          <w:bCs/>
        </w:rPr>
        <w:t>data cleaning, data aggregation, exploratory analysis, KPI creation, visualization, and dashboard development using Microsoft Excel</w:t>
      </w:r>
      <w:r w:rsidRPr="0077425F">
        <w:t>.</w:t>
      </w:r>
    </w:p>
    <w:p w14:paraId="01CD0798" w14:textId="77777777" w:rsidR="00CF7558" w:rsidRDefault="00CF7558"/>
    <w:sectPr w:rsidR="00CF7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0756"/>
    <w:multiLevelType w:val="multilevel"/>
    <w:tmpl w:val="636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862FF"/>
    <w:multiLevelType w:val="multilevel"/>
    <w:tmpl w:val="342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960604">
    <w:abstractNumId w:val="1"/>
  </w:num>
  <w:num w:numId="2" w16cid:durableId="92040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5F"/>
    <w:rsid w:val="00002D66"/>
    <w:rsid w:val="005663DA"/>
    <w:rsid w:val="0077425F"/>
    <w:rsid w:val="00CF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DEBC"/>
  <w15:chartTrackingRefBased/>
  <w15:docId w15:val="{D42453A7-6AB0-4E23-8498-0A93D6F9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 R</dc:creator>
  <cp:keywords/>
  <dc:description/>
  <cp:lastModifiedBy>Maheswari R</cp:lastModifiedBy>
  <cp:revision>1</cp:revision>
  <dcterms:created xsi:type="dcterms:W3CDTF">2026-10-05T10:44:00Z</dcterms:created>
  <dcterms:modified xsi:type="dcterms:W3CDTF">2026-10-05T10:47:00Z</dcterms:modified>
</cp:coreProperties>
</file>