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6458" w14:textId="77777777" w:rsidR="00430176" w:rsidRDefault="00000000">
      <w:pPr>
        <w:pStyle w:val="Heading1"/>
        <w:spacing w:after="200"/>
      </w:pPr>
      <w:r>
        <w:rPr>
          <w:b/>
          <w:bCs/>
          <w:color w:val="1F3864"/>
        </w:rPr>
        <w:t>Project Design Phase</w:t>
      </w:r>
    </w:p>
    <w:p w14:paraId="08016382" w14:textId="77777777" w:rsidR="00430176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Proposed Solution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430176" w14:paraId="0FC298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853160B" w14:textId="77777777" w:rsidR="00430176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66817717" w14:textId="77777777" w:rsidR="00430176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430176" w14:paraId="4AE16D3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7501DBD" w14:textId="77777777" w:rsidR="00430176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1791AE89" w14:textId="17AC034D" w:rsidR="00430176" w:rsidRDefault="00EF79DB">
            <w:r w:rsidRPr="00EF79DB">
              <w:t>SWTID-2026-4644</w:t>
            </w:r>
          </w:p>
        </w:tc>
      </w:tr>
      <w:tr w:rsidR="00430176" w14:paraId="05E1BE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527168B" w14:textId="77777777" w:rsidR="00430176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0798A43F" w14:textId="2875038F" w:rsidR="00430176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430176" w14:paraId="3B34BF0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064AE35" w14:textId="77777777" w:rsidR="00430176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717BF361" w14:textId="77777777" w:rsidR="00430176" w:rsidRDefault="00000000">
            <w:r>
              <w:rPr>
                <w:sz w:val="22"/>
                <w:szCs w:val="22"/>
              </w:rPr>
              <w:t>3. Project Design Phase</w:t>
            </w:r>
          </w:p>
        </w:tc>
      </w:tr>
    </w:tbl>
    <w:p w14:paraId="71926ECC" w14:textId="77777777" w:rsidR="00430176" w:rsidRDefault="00000000">
      <w:pPr>
        <w:pStyle w:val="Heading2"/>
        <w:spacing w:before="300" w:after="150"/>
      </w:pPr>
      <w:r>
        <w:rPr>
          <w:b/>
          <w:bCs/>
          <w:color w:val="1F3864"/>
        </w:rPr>
        <w:t>Proposed Solution Summary</w:t>
      </w:r>
    </w:p>
    <w:p w14:paraId="19B18BD6" w14:textId="77777777" w:rsidR="00430176" w:rsidRDefault="00000000">
      <w:pPr>
        <w:spacing w:after="150"/>
      </w:pPr>
      <w:r>
        <w:rPr>
          <w:sz w:val="22"/>
          <w:szCs w:val="22"/>
        </w:rPr>
        <w:t>The table below summarizes the Smart Lender solution as proposed for development, grounded in the codebase, dataset, and notebooks reviewed for this documentation.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"/>
        <w:gridCol w:w="2244"/>
        <w:gridCol w:w="6545"/>
      </w:tblGrid>
      <w:tr w:rsidR="00430176" w14:paraId="783CF2C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4B4E50CE" w14:textId="77777777" w:rsidR="00430176" w:rsidRDefault="00000000">
            <w:r>
              <w:rPr>
                <w:b/>
                <w:bCs/>
              </w:rPr>
              <w:t>1</w:t>
            </w:r>
          </w:p>
        </w:tc>
        <w:tc>
          <w:tcPr>
            <w:tcW w:w="1200" w:type="pct"/>
            <w:shd w:val="clear" w:color="auto" w:fill="EAF2F8"/>
          </w:tcPr>
          <w:p w14:paraId="167ED44B" w14:textId="77777777" w:rsidR="00430176" w:rsidRDefault="00000000">
            <w:r>
              <w:rPr>
                <w:b/>
                <w:bCs/>
              </w:rPr>
              <w:t>Problem Statement</w:t>
            </w:r>
          </w:p>
        </w:tc>
        <w:tc>
          <w:tcPr>
            <w:tcW w:w="3500" w:type="pct"/>
          </w:tcPr>
          <w:p w14:paraId="1AA2F27A" w14:textId="77777777" w:rsidR="00430176" w:rsidRDefault="00000000">
            <w:pPr>
              <w:spacing w:after="60"/>
            </w:pPr>
            <w:r>
              <w:t>Manual, judgment-based loan eligibility assessment is slow, inconsistent across reviewers, and difficult to scale — leading to delayed decisions for applicants and increased risk exposure for lenders.</w:t>
            </w:r>
          </w:p>
        </w:tc>
      </w:tr>
      <w:tr w:rsidR="00430176" w14:paraId="538E09F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5539DE68" w14:textId="77777777" w:rsidR="00430176" w:rsidRDefault="00000000">
            <w:r>
              <w:rPr>
                <w:b/>
                <w:bCs/>
              </w:rPr>
              <w:t>2</w:t>
            </w:r>
          </w:p>
        </w:tc>
        <w:tc>
          <w:tcPr>
            <w:tcW w:w="1200" w:type="pct"/>
            <w:shd w:val="clear" w:color="auto" w:fill="EAF2F8"/>
          </w:tcPr>
          <w:p w14:paraId="28162535" w14:textId="77777777" w:rsidR="00430176" w:rsidRDefault="00000000">
            <w:r>
              <w:rPr>
                <w:b/>
                <w:bCs/>
              </w:rPr>
              <w:t>Idea / Solution Description</w:t>
            </w:r>
          </w:p>
        </w:tc>
        <w:tc>
          <w:tcPr>
            <w:tcW w:w="3500" w:type="pct"/>
          </w:tcPr>
          <w:p w14:paraId="749E2B88" w14:textId="77777777" w:rsidR="00430176" w:rsidRDefault="00000000">
            <w:pPr>
              <w:spacing w:after="60"/>
            </w:pPr>
            <w:r>
              <w:t>Smart Lender is a machine-learning-powered web application. An applicant fills in a single web form; the Flask backend encodes and scales these inputs and passes them to a trained classification model, which returns an instant Approved/Rejected prediction rendered back to the applicant.</w:t>
            </w:r>
          </w:p>
          <w:p w14:paraId="72F8F2F8" w14:textId="77777777" w:rsidR="00430176" w:rsidRDefault="00000000">
            <w:pPr>
              <w:spacing w:after="60"/>
            </w:pPr>
            <w:r>
              <w:t xml:space="preserve">The model was selected by training and comparing four classifiers — Decision Tree, Random Forest, K-Nearest </w:t>
            </w:r>
            <w:proofErr w:type="spellStart"/>
            <w:r>
              <w:t>Neighbors</w:t>
            </w:r>
            <w:proofErr w:type="spellEnd"/>
            <w:r>
              <w:t>, and Gradient Boosting — on a historical loan-approval dataset (614 records) after cleaning, encoding, and SMOTE class-balancing; the model with the best 5-fold cross-validation accuracy (Random Forest) was persisted and integrated into the application.</w:t>
            </w:r>
          </w:p>
        </w:tc>
      </w:tr>
      <w:tr w:rsidR="00430176" w14:paraId="25F555A5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0B20CB35" w14:textId="77777777" w:rsidR="00430176" w:rsidRDefault="00000000">
            <w:r>
              <w:rPr>
                <w:b/>
                <w:bCs/>
              </w:rPr>
              <w:t>3</w:t>
            </w:r>
          </w:p>
        </w:tc>
        <w:tc>
          <w:tcPr>
            <w:tcW w:w="1200" w:type="pct"/>
            <w:shd w:val="clear" w:color="auto" w:fill="EAF2F8"/>
          </w:tcPr>
          <w:p w14:paraId="04206382" w14:textId="77777777" w:rsidR="00430176" w:rsidRDefault="00000000">
            <w:r>
              <w:rPr>
                <w:b/>
                <w:bCs/>
              </w:rPr>
              <w:t>Novelty / Uniqueness</w:t>
            </w:r>
          </w:p>
        </w:tc>
        <w:tc>
          <w:tcPr>
            <w:tcW w:w="3500" w:type="pct"/>
          </w:tcPr>
          <w:p w14:paraId="69962EFE" w14:textId="77777777" w:rsidR="00430176" w:rsidRDefault="00000000">
            <w:pPr>
              <w:spacing w:after="60"/>
            </w:pPr>
            <w:r>
              <w:t>Combines a full, reproducible ML pipeline with a lightweight, real-time web front end — no external ML service call is required at inference time.</w:t>
            </w:r>
          </w:p>
          <w:p w14:paraId="4195AC07" w14:textId="77777777" w:rsidR="00430176" w:rsidRDefault="00000000">
            <w:pPr>
              <w:spacing w:after="60"/>
            </w:pPr>
            <w:r>
              <w:t>Model choice is justified quantitatively rather than defaulting to a single classifier, and the selection logic itself is preserved and inspectable in the notebooks.</w:t>
            </w:r>
          </w:p>
        </w:tc>
      </w:tr>
      <w:tr w:rsidR="00430176" w14:paraId="1EB009FB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4FE37142" w14:textId="77777777" w:rsidR="00430176" w:rsidRDefault="00000000">
            <w:r>
              <w:rPr>
                <w:b/>
                <w:bCs/>
              </w:rPr>
              <w:t>4</w:t>
            </w:r>
          </w:p>
        </w:tc>
        <w:tc>
          <w:tcPr>
            <w:tcW w:w="1200" w:type="pct"/>
            <w:shd w:val="clear" w:color="auto" w:fill="EAF2F8"/>
          </w:tcPr>
          <w:p w14:paraId="637CD468" w14:textId="77777777" w:rsidR="00430176" w:rsidRDefault="00000000">
            <w:r>
              <w:rPr>
                <w:b/>
                <w:bCs/>
              </w:rPr>
              <w:t>Social Impact / Customer Satisfaction</w:t>
            </w:r>
          </w:p>
        </w:tc>
        <w:tc>
          <w:tcPr>
            <w:tcW w:w="3500" w:type="pct"/>
          </w:tcPr>
          <w:p w14:paraId="46ED750B" w14:textId="77777777" w:rsidR="00430176" w:rsidRDefault="00000000">
            <w:pPr>
              <w:spacing w:after="60"/>
            </w:pPr>
            <w:r>
              <w:t>Applicants receive a decision in seconds instead of days, reducing financial-planning uncertainty. Credit officers gain a consistent, standardized second opinion that reduces reviewer-to-reviewer variance.</w:t>
            </w:r>
          </w:p>
        </w:tc>
      </w:tr>
      <w:tr w:rsidR="00430176" w14:paraId="3CC1BA6D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27B93A2" w14:textId="77777777" w:rsidR="00430176" w:rsidRDefault="00000000">
            <w:r>
              <w:rPr>
                <w:b/>
                <w:bCs/>
              </w:rPr>
              <w:t>5</w:t>
            </w:r>
          </w:p>
        </w:tc>
        <w:tc>
          <w:tcPr>
            <w:tcW w:w="1200" w:type="pct"/>
            <w:shd w:val="clear" w:color="auto" w:fill="EAF2F8"/>
          </w:tcPr>
          <w:p w14:paraId="39DBA98F" w14:textId="77777777" w:rsidR="00430176" w:rsidRDefault="00000000">
            <w:r>
              <w:rPr>
                <w:b/>
                <w:bCs/>
              </w:rPr>
              <w:t>Business Model (Revenue Model)</w:t>
            </w:r>
          </w:p>
        </w:tc>
        <w:tc>
          <w:tcPr>
            <w:tcW w:w="3500" w:type="pct"/>
          </w:tcPr>
          <w:p w14:paraId="3B04A885" w14:textId="77777777" w:rsidR="00430176" w:rsidRDefault="00000000">
            <w:pPr>
              <w:spacing w:after="60"/>
            </w:pPr>
            <w:r>
              <w:t>[Proposed] Smart Lender is designed as an internal decision-support tool, so the natural revenue model is cost-avoidance and efficiency gain rather than direct fees. A per-institution SaaS licensing model is a possible future extension, not part of the current implementation.</w:t>
            </w:r>
          </w:p>
        </w:tc>
      </w:tr>
      <w:tr w:rsidR="00430176" w14:paraId="0C1E3E38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</w:tcPr>
          <w:p w14:paraId="6F19C5B4" w14:textId="77777777" w:rsidR="00430176" w:rsidRDefault="00000000">
            <w:r>
              <w:rPr>
                <w:b/>
                <w:bCs/>
              </w:rPr>
              <w:t>6</w:t>
            </w:r>
          </w:p>
        </w:tc>
        <w:tc>
          <w:tcPr>
            <w:tcW w:w="1200" w:type="pct"/>
            <w:shd w:val="clear" w:color="auto" w:fill="EAF2F8"/>
          </w:tcPr>
          <w:p w14:paraId="4AC28FFD" w14:textId="77777777" w:rsidR="00430176" w:rsidRDefault="00000000">
            <w:r>
              <w:rPr>
                <w:b/>
                <w:bCs/>
              </w:rPr>
              <w:t>Scalability of the Solution</w:t>
            </w:r>
          </w:p>
        </w:tc>
        <w:tc>
          <w:tcPr>
            <w:tcW w:w="3500" w:type="pct"/>
          </w:tcPr>
          <w:p w14:paraId="251AB1A8" w14:textId="77777777" w:rsidR="00430176" w:rsidRDefault="00000000">
            <w:pPr>
              <w:spacing w:after="60"/>
            </w:pPr>
            <w:r>
              <w:t>The Flask application is stateless per request, supporting horizontal scaling behind a load balancer. [Proposed] Deployment on a managed cloud platform would allow the service to scale out during peak application periods without code changes.</w:t>
            </w:r>
          </w:p>
        </w:tc>
      </w:tr>
    </w:tbl>
    <w:p w14:paraId="7F45A90E" w14:textId="77777777" w:rsidR="00430176" w:rsidRDefault="00000000">
      <w:pPr>
        <w:pStyle w:val="Heading2"/>
        <w:spacing w:before="300" w:after="150"/>
      </w:pPr>
      <w:r>
        <w:rPr>
          <w:b/>
          <w:bCs/>
          <w:color w:val="1F3864"/>
        </w:rPr>
        <w:t>Alignment With Requirements</w:t>
      </w:r>
    </w:p>
    <w:p w14:paraId="2E737F90" w14:textId="77777777" w:rsidR="00430176" w:rsidRDefault="00000000">
      <w:pPr>
        <w:spacing w:after="150"/>
      </w:pPr>
      <w:r>
        <w:rPr>
          <w:sz w:val="22"/>
          <w:szCs w:val="22"/>
        </w:rPr>
        <w:t>This proposed solution directly satisfies FR-1 through FR-6 (Functional_Requirements.docx) and is architecturally realized in Solution_Architecture.docx and System_Architecture.docx. Its machine learning approach is detailed step-by-step in Machine_Learning_Workflow.docx.</w:t>
      </w:r>
    </w:p>
    <w:sectPr w:rsidR="004301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D11FB"/>
    <w:multiLevelType w:val="hybridMultilevel"/>
    <w:tmpl w:val="C7E41F7E"/>
    <w:lvl w:ilvl="0" w:tplc="7F86CA42">
      <w:start w:val="1"/>
      <w:numFmt w:val="bullet"/>
      <w:lvlText w:val="●"/>
      <w:lvlJc w:val="left"/>
      <w:pPr>
        <w:ind w:left="720" w:hanging="360"/>
      </w:pPr>
    </w:lvl>
    <w:lvl w:ilvl="1" w:tplc="E696C3B6">
      <w:start w:val="1"/>
      <w:numFmt w:val="bullet"/>
      <w:lvlText w:val="○"/>
      <w:lvlJc w:val="left"/>
      <w:pPr>
        <w:ind w:left="1440" w:hanging="360"/>
      </w:pPr>
    </w:lvl>
    <w:lvl w:ilvl="2" w:tplc="BCA20CA4">
      <w:start w:val="1"/>
      <w:numFmt w:val="bullet"/>
      <w:lvlText w:val="■"/>
      <w:lvlJc w:val="left"/>
      <w:pPr>
        <w:ind w:left="2160" w:hanging="360"/>
      </w:pPr>
    </w:lvl>
    <w:lvl w:ilvl="3" w:tplc="37BC9B66">
      <w:start w:val="1"/>
      <w:numFmt w:val="bullet"/>
      <w:lvlText w:val="●"/>
      <w:lvlJc w:val="left"/>
      <w:pPr>
        <w:ind w:left="2880" w:hanging="360"/>
      </w:pPr>
    </w:lvl>
    <w:lvl w:ilvl="4" w:tplc="29AC029A">
      <w:start w:val="1"/>
      <w:numFmt w:val="bullet"/>
      <w:lvlText w:val="○"/>
      <w:lvlJc w:val="left"/>
      <w:pPr>
        <w:ind w:left="3600" w:hanging="360"/>
      </w:pPr>
    </w:lvl>
    <w:lvl w:ilvl="5" w:tplc="08BA29E2">
      <w:start w:val="1"/>
      <w:numFmt w:val="bullet"/>
      <w:lvlText w:val="■"/>
      <w:lvlJc w:val="left"/>
      <w:pPr>
        <w:ind w:left="4320" w:hanging="360"/>
      </w:pPr>
    </w:lvl>
    <w:lvl w:ilvl="6" w:tplc="45B212CC">
      <w:start w:val="1"/>
      <w:numFmt w:val="bullet"/>
      <w:lvlText w:val="●"/>
      <w:lvlJc w:val="left"/>
      <w:pPr>
        <w:ind w:left="5040" w:hanging="360"/>
      </w:pPr>
    </w:lvl>
    <w:lvl w:ilvl="7" w:tplc="91B077CE">
      <w:start w:val="1"/>
      <w:numFmt w:val="bullet"/>
      <w:lvlText w:val="●"/>
      <w:lvlJc w:val="left"/>
      <w:pPr>
        <w:ind w:left="5760" w:hanging="360"/>
      </w:pPr>
    </w:lvl>
    <w:lvl w:ilvl="8" w:tplc="7D1C2F32">
      <w:start w:val="1"/>
      <w:numFmt w:val="bullet"/>
      <w:lvlText w:val="●"/>
      <w:lvlJc w:val="left"/>
      <w:pPr>
        <w:ind w:left="6480" w:hanging="360"/>
      </w:pPr>
    </w:lvl>
  </w:abstractNum>
  <w:num w:numId="1" w16cid:durableId="160121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76"/>
    <w:rsid w:val="00430176"/>
    <w:rsid w:val="008024B7"/>
    <w:rsid w:val="00EF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DB2B"/>
  <w15:docId w15:val="{EF0840EF-212C-4B24-A2BC-CA461E0F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2026-07-12T19:19:00Z</dcterms:created>
  <dcterms:modified xsi:type="dcterms:W3CDTF">2026-07-13T14:38:00Z</dcterms:modified>
</cp:coreProperties>
</file>