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C573" w14:textId="77777777" w:rsidR="00AF1C89" w:rsidRDefault="00000000">
      <w:pPr>
        <w:pStyle w:val="Heading1"/>
        <w:spacing w:after="200"/>
      </w:pPr>
      <w:r>
        <w:rPr>
          <w:b/>
          <w:bCs/>
          <w:color w:val="1F3864"/>
        </w:rPr>
        <w:t>Project Development Phase</w:t>
      </w:r>
    </w:p>
    <w:p w14:paraId="2CAA825A" w14:textId="77777777" w:rsidR="00AF1C89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Backend Development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AF1C89" w14:paraId="07A04A8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4578BAA" w14:textId="77777777" w:rsidR="00AF1C89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4D95D1D9" w14:textId="77777777" w:rsidR="00AF1C89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AF1C89" w14:paraId="74B862E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B58B919" w14:textId="77777777" w:rsidR="00AF1C89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05C1BE91" w14:textId="0D916C20" w:rsidR="00AF1C89" w:rsidRDefault="00360F36">
            <w:r w:rsidRPr="00360F36">
              <w:t>SWTID-2026-4644</w:t>
            </w:r>
          </w:p>
        </w:tc>
      </w:tr>
      <w:tr w:rsidR="00AF1C89" w14:paraId="521AE9B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0B7AB95" w14:textId="77777777" w:rsidR="00AF1C89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013E67A6" w14:textId="7E5BA871" w:rsidR="00AF1C89" w:rsidRDefault="00000000">
            <w:r>
              <w:rPr>
                <w:sz w:val="22"/>
                <w:szCs w:val="22"/>
              </w:rPr>
              <w:t xml:space="preserve">Smart Lender </w:t>
            </w:r>
          </w:p>
        </w:tc>
      </w:tr>
      <w:tr w:rsidR="00AF1C89" w14:paraId="498C38D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D8554AB" w14:textId="77777777" w:rsidR="00AF1C89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2F0E1018" w14:textId="77777777" w:rsidR="00AF1C89" w:rsidRDefault="00000000">
            <w:r>
              <w:rPr>
                <w:sz w:val="22"/>
                <w:szCs w:val="22"/>
              </w:rPr>
              <w:t>5. Project Development Phase</w:t>
            </w:r>
          </w:p>
        </w:tc>
      </w:tr>
    </w:tbl>
    <w:p w14:paraId="236C8A6F" w14:textId="77777777" w:rsidR="00AF1C89" w:rsidRDefault="00000000">
      <w:pPr>
        <w:pStyle w:val="Heading2"/>
        <w:spacing w:before="300" w:after="150"/>
      </w:pPr>
      <w:r>
        <w:rPr>
          <w:b/>
          <w:bCs/>
          <w:color w:val="1F3864"/>
        </w:rPr>
        <w:t>Routes Implemented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309"/>
        <w:gridCol w:w="6545"/>
      </w:tblGrid>
      <w:tr w:rsidR="00AF1C89" w14:paraId="3D5A9D8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1F3864"/>
          </w:tcPr>
          <w:p w14:paraId="16079C5E" w14:textId="77777777" w:rsidR="00AF1C89" w:rsidRDefault="00000000">
            <w:r>
              <w:rPr>
                <w:b/>
                <w:bCs/>
                <w:color w:val="FFFFFF"/>
                <w:sz w:val="17"/>
                <w:szCs w:val="17"/>
              </w:rPr>
              <w:t>Route</w:t>
            </w:r>
          </w:p>
        </w:tc>
        <w:tc>
          <w:tcPr>
            <w:tcW w:w="700" w:type="pct"/>
            <w:shd w:val="clear" w:color="auto" w:fill="1F3864"/>
          </w:tcPr>
          <w:p w14:paraId="3D068609" w14:textId="77777777" w:rsidR="00AF1C89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3500" w:type="pct"/>
            <w:shd w:val="clear" w:color="auto" w:fill="1F3864"/>
          </w:tcPr>
          <w:p w14:paraId="3E50D07A" w14:textId="77777777" w:rsidR="00AF1C89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AF1C89" w14:paraId="47E6E6B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585B2421" w14:textId="77777777" w:rsidR="00AF1C89" w:rsidRDefault="00000000">
            <w:r>
              <w:rPr>
                <w:sz w:val="17"/>
                <w:szCs w:val="17"/>
              </w:rPr>
              <w:t>/</w:t>
            </w:r>
          </w:p>
        </w:tc>
        <w:tc>
          <w:tcPr>
            <w:tcW w:w="700" w:type="pct"/>
          </w:tcPr>
          <w:p w14:paraId="3B85F422" w14:textId="77777777" w:rsidR="00AF1C89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3500" w:type="pct"/>
          </w:tcPr>
          <w:p w14:paraId="1CF396A5" w14:textId="77777777" w:rsidR="00AF1C89" w:rsidRDefault="00000000">
            <w:r>
              <w:rPr>
                <w:sz w:val="17"/>
                <w:szCs w:val="17"/>
              </w:rPr>
              <w:t>Renders home.html</w:t>
            </w:r>
          </w:p>
        </w:tc>
      </w:tr>
      <w:tr w:rsidR="00AF1C89" w14:paraId="45DD9C3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002D21B2" w14:textId="77777777" w:rsidR="00AF1C89" w:rsidRDefault="00000000"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predict</w:t>
            </w:r>
            <w:proofErr w:type="gramEnd"/>
          </w:p>
        </w:tc>
        <w:tc>
          <w:tcPr>
            <w:tcW w:w="700" w:type="pct"/>
          </w:tcPr>
          <w:p w14:paraId="5E7253C6" w14:textId="77777777" w:rsidR="00AF1C89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3500" w:type="pct"/>
          </w:tcPr>
          <w:p w14:paraId="6304AFEA" w14:textId="77777777" w:rsidR="00AF1C89" w:rsidRDefault="00000000">
            <w:r>
              <w:rPr>
                <w:sz w:val="17"/>
                <w:szCs w:val="17"/>
              </w:rPr>
              <w:t>Renders predict.html (application form)</w:t>
            </w:r>
          </w:p>
        </w:tc>
      </w:tr>
      <w:tr w:rsidR="00AF1C89" w14:paraId="43DF144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61BDEB20" w14:textId="77777777" w:rsidR="00AF1C89" w:rsidRDefault="00000000"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submit</w:t>
            </w:r>
            <w:proofErr w:type="gramEnd"/>
          </w:p>
        </w:tc>
        <w:tc>
          <w:tcPr>
            <w:tcW w:w="700" w:type="pct"/>
          </w:tcPr>
          <w:p w14:paraId="4DF216F9" w14:textId="77777777" w:rsidR="00AF1C89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3500" w:type="pct"/>
          </w:tcPr>
          <w:p w14:paraId="5B681AF5" w14:textId="77777777" w:rsidR="00AF1C89" w:rsidRDefault="00000000">
            <w:r>
              <w:rPr>
                <w:sz w:val="17"/>
                <w:szCs w:val="17"/>
              </w:rPr>
              <w:t>Reads form data, encodes it, calls the prediction service, renders submit.html with the result</w:t>
            </w:r>
          </w:p>
        </w:tc>
      </w:tr>
    </w:tbl>
    <w:p w14:paraId="601AAC02" w14:textId="77777777" w:rsidR="00AF1C89" w:rsidRDefault="00000000">
      <w:pPr>
        <w:pStyle w:val="Heading2"/>
        <w:spacing w:before="300" w:after="150"/>
      </w:pPr>
      <w:r>
        <w:rPr>
          <w:b/>
          <w:bCs/>
          <w:color w:val="1F3864"/>
        </w:rPr>
        <w:t>Encoding Logic (app.py)</w:t>
      </w:r>
    </w:p>
    <w:p w14:paraId="7A45A0FD" w14:textId="77777777" w:rsidR="00AF1C89" w:rsidRDefault="00000000">
      <w:pPr>
        <w:spacing w:after="150"/>
      </w:pPr>
      <w:r>
        <w:rPr>
          <w:sz w:val="22"/>
          <w:szCs w:val="22"/>
        </w:rPr>
        <w:t>The /submit handler manually encodes each categorical field to match the exact scheme used during training (see Data_Preprocessing.docx):</w:t>
      </w:r>
    </w:p>
    <w:p w14:paraId="5C3E0910" w14:textId="77777777" w:rsidR="00AF1C89" w:rsidRDefault="00000000">
      <w:pPr>
        <w:shd w:val="clear" w:color="auto" w:fill="F4F4F4"/>
        <w:spacing w:after="150"/>
      </w:pPr>
      <w:r>
        <w:rPr>
          <w:rFonts w:ascii="Consolas" w:eastAsia="Consolas" w:hAnsi="Consolas" w:cs="Consolas"/>
          <w:color w:val="404040"/>
          <w:sz w:val="18"/>
          <w:szCs w:val="18"/>
        </w:rPr>
        <w:t xml:space="preserve">gender = 1 if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request.form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['gender'] == 'Female' else 0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married = 1 if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request.form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['married'] == 'Yes' else 0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education = 1 if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request.form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['education'] == 'Graduate' else 0</w:t>
      </w:r>
      <w:r>
        <w:br/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property_area_map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{'Rural': 0, 'Semiurban': 1, 'Urban': 2}</w:t>
      </w:r>
      <w:r>
        <w:br/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property_area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property_area_map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request.form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property_area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']]</w:t>
      </w:r>
    </w:p>
    <w:p w14:paraId="52EE8E17" w14:textId="77777777" w:rsidR="00AF1C89" w:rsidRDefault="00000000">
      <w:pPr>
        <w:pStyle w:val="Heading2"/>
        <w:spacing w:before="300" w:after="150"/>
      </w:pPr>
      <w:r>
        <w:rPr>
          <w:b/>
          <w:bCs/>
          <w:color w:val="1F3864"/>
        </w:rPr>
        <w:t>Prediction Service Integration</w:t>
      </w:r>
    </w:p>
    <w:p w14:paraId="24CDFC0C" w14:textId="77777777" w:rsidR="00AF1C89" w:rsidRDefault="00000000">
      <w:pPr>
        <w:spacing w:after="150"/>
      </w:pPr>
      <w:r>
        <w:rPr>
          <w:sz w:val="22"/>
          <w:szCs w:val="22"/>
        </w:rPr>
        <w:t>app.py does not call the model directly — it imports and calls utils/</w:t>
      </w:r>
      <w:proofErr w:type="spellStart"/>
      <w:r>
        <w:rPr>
          <w:sz w:val="22"/>
          <w:szCs w:val="22"/>
        </w:rPr>
        <w:t>predicator.py's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predict_loan</w:t>
      </w:r>
      <w:proofErr w:type="spellEnd"/>
      <w:r>
        <w:rPr>
          <w:sz w:val="22"/>
          <w:szCs w:val="22"/>
        </w:rPr>
        <w:t>(features) function, keeping the routing layer decoupled from the ML-specific loading and scaling logic:</w:t>
      </w:r>
    </w:p>
    <w:p w14:paraId="0D4B1D39" w14:textId="77777777" w:rsidR="00AF1C89" w:rsidRDefault="00000000">
      <w:pPr>
        <w:shd w:val="clear" w:color="auto" w:fill="F4F4F4"/>
        <w:spacing w:after="150"/>
      </w:pPr>
      <w:r>
        <w:rPr>
          <w:rFonts w:ascii="Consolas" w:eastAsia="Consolas" w:hAnsi="Consolas" w:cs="Consolas"/>
          <w:color w:val="404040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utils.predicator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predict_loan</w:t>
      </w:r>
      <w:proofErr w:type="spellEnd"/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features = [gender, married, dependents, education,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self_employed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applicant_income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coapplicant_income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loan_amount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loan_term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credit_history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property_area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prediction =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predict_loan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features)  #</w:t>
      </w:r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returns 0 or 1</w:t>
      </w:r>
    </w:p>
    <w:p w14:paraId="15ACC46A" w14:textId="77777777" w:rsidR="00AF1C89" w:rsidRDefault="00000000">
      <w:pPr>
        <w:pStyle w:val="Heading2"/>
        <w:spacing w:before="300" w:after="150"/>
      </w:pPr>
      <w:r>
        <w:rPr>
          <w:b/>
          <w:bCs/>
          <w:color w:val="1F3864"/>
        </w:rPr>
        <w:t>Backend Verification</w:t>
      </w:r>
    </w:p>
    <w:p w14:paraId="1FF7CC89" w14:textId="77777777" w:rsidR="00AF1C89" w:rsidRDefault="00000000">
      <w:pPr>
        <w:spacing w:after="150"/>
      </w:pPr>
      <w:r>
        <w:rPr>
          <w:sz w:val="22"/>
          <w:szCs w:val="22"/>
        </w:rPr>
        <w:t>The backend was verified live during this documentation: the server started cleanly, both GET routes returned HTTP 200, and POST /submit correctly returned 'Loan Approved' for a low-risk profile and 'Loan Rejected' for a high-risk profile (see Test_Results.docx). Two edge cases (missing field, non-numeric field) returned unhandled HTTP 500 errors — a genuine backend gap logged as a known defect rather than hidden.</w:t>
      </w:r>
    </w:p>
    <w:p w14:paraId="006E55D3" w14:textId="77777777" w:rsidR="00AF1C89" w:rsidRDefault="00000000">
      <w:pPr>
        <w:pStyle w:val="Heading2"/>
        <w:spacing w:before="300" w:after="150"/>
      </w:pPr>
      <w:r>
        <w:rPr>
          <w:b/>
          <w:bCs/>
          <w:color w:val="1F3864"/>
        </w:rPr>
        <w:t>Known Backend Limitation</w:t>
      </w:r>
    </w:p>
    <w:p w14:paraId="23DF4005" w14:textId="77777777" w:rsidR="00AF1C89" w:rsidRDefault="00000000">
      <w:pPr>
        <w:spacing w:after="150"/>
      </w:pPr>
      <w:proofErr w:type="spellStart"/>
      <w:proofErr w:type="gramStart"/>
      <w:r>
        <w:rPr>
          <w:sz w:val="22"/>
          <w:szCs w:val="22"/>
        </w:rPr>
        <w:t>request.form</w:t>
      </w:r>
      <w:proofErr w:type="spellEnd"/>
      <w:proofErr w:type="gramEnd"/>
      <w:r>
        <w:rPr>
          <w:sz w:val="22"/>
          <w:szCs w:val="22"/>
        </w:rPr>
        <w:t xml:space="preserve">["field"] is used directly with </w:t>
      </w:r>
      <w:proofErr w:type="gramStart"/>
      <w:r>
        <w:rPr>
          <w:sz w:val="22"/>
          <w:szCs w:val="22"/>
        </w:rPr>
        <w:t>no .get</w:t>
      </w:r>
      <w:proofErr w:type="gramEnd"/>
      <w:r>
        <w:rPr>
          <w:sz w:val="22"/>
          <w:szCs w:val="22"/>
        </w:rPr>
        <w:t>() default or presence check, and numeric fields are converted with float()/</w:t>
      </w:r>
      <w:proofErr w:type="gramStart"/>
      <w:r>
        <w:rPr>
          <w:sz w:val="22"/>
          <w:szCs w:val="22"/>
        </w:rPr>
        <w:t>int(</w:t>
      </w:r>
      <w:proofErr w:type="gramEnd"/>
      <w:r>
        <w:rPr>
          <w:sz w:val="22"/>
          <w:szCs w:val="22"/>
        </w:rPr>
        <w:t xml:space="preserve">) with no try/except — the root cause of the HTTP 500 defect referenced above. Recommended fix: validate presence and type of every field before calling </w:t>
      </w:r>
      <w:proofErr w:type="spellStart"/>
      <w:r>
        <w:rPr>
          <w:sz w:val="22"/>
          <w:szCs w:val="22"/>
        </w:rPr>
        <w:t>predict_</w:t>
      </w:r>
      <w:proofErr w:type="gramStart"/>
      <w:r>
        <w:rPr>
          <w:sz w:val="22"/>
          <w:szCs w:val="22"/>
        </w:rPr>
        <w:t>loan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), returning a clear 400-level error message instead of crashing.</w:t>
      </w:r>
    </w:p>
    <w:sectPr w:rsidR="00AF1C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08A2"/>
    <w:multiLevelType w:val="hybridMultilevel"/>
    <w:tmpl w:val="B4B034AE"/>
    <w:lvl w:ilvl="0" w:tplc="61A44906">
      <w:start w:val="1"/>
      <w:numFmt w:val="bullet"/>
      <w:lvlText w:val="●"/>
      <w:lvlJc w:val="left"/>
      <w:pPr>
        <w:ind w:left="720" w:hanging="360"/>
      </w:pPr>
    </w:lvl>
    <w:lvl w:ilvl="1" w:tplc="DD049496">
      <w:start w:val="1"/>
      <w:numFmt w:val="bullet"/>
      <w:lvlText w:val="○"/>
      <w:lvlJc w:val="left"/>
      <w:pPr>
        <w:ind w:left="1440" w:hanging="360"/>
      </w:pPr>
    </w:lvl>
    <w:lvl w:ilvl="2" w:tplc="C0588688">
      <w:start w:val="1"/>
      <w:numFmt w:val="bullet"/>
      <w:lvlText w:val="■"/>
      <w:lvlJc w:val="left"/>
      <w:pPr>
        <w:ind w:left="2160" w:hanging="360"/>
      </w:pPr>
    </w:lvl>
    <w:lvl w:ilvl="3" w:tplc="8DCA2760">
      <w:start w:val="1"/>
      <w:numFmt w:val="bullet"/>
      <w:lvlText w:val="●"/>
      <w:lvlJc w:val="left"/>
      <w:pPr>
        <w:ind w:left="2880" w:hanging="360"/>
      </w:pPr>
    </w:lvl>
    <w:lvl w:ilvl="4" w:tplc="F38252F6">
      <w:start w:val="1"/>
      <w:numFmt w:val="bullet"/>
      <w:lvlText w:val="○"/>
      <w:lvlJc w:val="left"/>
      <w:pPr>
        <w:ind w:left="3600" w:hanging="360"/>
      </w:pPr>
    </w:lvl>
    <w:lvl w:ilvl="5" w:tplc="2018A5DA">
      <w:start w:val="1"/>
      <w:numFmt w:val="bullet"/>
      <w:lvlText w:val="■"/>
      <w:lvlJc w:val="left"/>
      <w:pPr>
        <w:ind w:left="4320" w:hanging="360"/>
      </w:pPr>
    </w:lvl>
    <w:lvl w:ilvl="6" w:tplc="25AC9034">
      <w:start w:val="1"/>
      <w:numFmt w:val="bullet"/>
      <w:lvlText w:val="●"/>
      <w:lvlJc w:val="left"/>
      <w:pPr>
        <w:ind w:left="5040" w:hanging="360"/>
      </w:pPr>
    </w:lvl>
    <w:lvl w:ilvl="7" w:tplc="8B7453A6">
      <w:start w:val="1"/>
      <w:numFmt w:val="bullet"/>
      <w:lvlText w:val="●"/>
      <w:lvlJc w:val="left"/>
      <w:pPr>
        <w:ind w:left="5760" w:hanging="360"/>
      </w:pPr>
    </w:lvl>
    <w:lvl w:ilvl="8" w:tplc="942AB004">
      <w:start w:val="1"/>
      <w:numFmt w:val="bullet"/>
      <w:lvlText w:val="●"/>
      <w:lvlJc w:val="left"/>
      <w:pPr>
        <w:ind w:left="6480" w:hanging="360"/>
      </w:pPr>
    </w:lvl>
  </w:abstractNum>
  <w:num w:numId="1" w16cid:durableId="599408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C89"/>
    <w:rsid w:val="002C40B4"/>
    <w:rsid w:val="00360F36"/>
    <w:rsid w:val="00AF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F542"/>
  <w15:docId w15:val="{FE8FEFC7-553F-45E8-AF67-4CE51289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2026-07-13T02:36:00Z</dcterms:created>
  <dcterms:modified xsi:type="dcterms:W3CDTF">2026-07-13T17:47:00Z</dcterms:modified>
</cp:coreProperties>
</file>