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526F" w14:textId="77777777" w:rsidR="00B10117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72904303" w14:textId="77777777" w:rsidR="00B10117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Frontend Development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B10117" w14:paraId="0BE841E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367D05D" w14:textId="77777777" w:rsidR="00B10117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60B14671" w14:textId="77777777" w:rsidR="00B10117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B10117" w14:paraId="4F567BD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835277D" w14:textId="77777777" w:rsidR="00B10117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5A38C7D1" w14:textId="13668DDA" w:rsidR="00B10117" w:rsidRDefault="00DA1315">
            <w:r w:rsidRPr="00DA1315">
              <w:t>SWTID-2026-4644</w:t>
            </w:r>
          </w:p>
        </w:tc>
      </w:tr>
      <w:tr w:rsidR="00B10117" w14:paraId="6377FB3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3DA8615" w14:textId="77777777" w:rsidR="00B10117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3156A155" w14:textId="1637F60C" w:rsidR="00B10117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B10117" w14:paraId="411AEBE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CED55CF" w14:textId="77777777" w:rsidR="00B10117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08019E19" w14:textId="77777777" w:rsidR="00B10117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40D85641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>Pages Implemented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2805"/>
        <w:gridCol w:w="4675"/>
      </w:tblGrid>
      <w:tr w:rsidR="00B10117" w14:paraId="5180E34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</w:tcPr>
          <w:p w14:paraId="4671DFF1" w14:textId="77777777" w:rsidR="00B10117" w:rsidRDefault="00000000">
            <w:r>
              <w:rPr>
                <w:b/>
                <w:bCs/>
                <w:color w:val="FFFFFF"/>
                <w:sz w:val="17"/>
                <w:szCs w:val="17"/>
              </w:rPr>
              <w:t>Page</w:t>
            </w:r>
          </w:p>
        </w:tc>
        <w:tc>
          <w:tcPr>
            <w:tcW w:w="1500" w:type="pct"/>
            <w:shd w:val="clear" w:color="auto" w:fill="1F3864"/>
          </w:tcPr>
          <w:p w14:paraId="19A902B6" w14:textId="77777777" w:rsidR="00B10117" w:rsidRDefault="00000000">
            <w:r>
              <w:rPr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2500" w:type="pct"/>
            <w:shd w:val="clear" w:color="auto" w:fill="1F3864"/>
          </w:tcPr>
          <w:p w14:paraId="03D9B1A6" w14:textId="77777777" w:rsidR="00B10117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B10117" w14:paraId="1CB80D2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89B060F" w14:textId="77777777" w:rsidR="00B10117" w:rsidRDefault="00000000">
            <w:r>
              <w:rPr>
                <w:sz w:val="17"/>
                <w:szCs w:val="17"/>
              </w:rPr>
              <w:t>Home</w:t>
            </w:r>
          </w:p>
        </w:tc>
        <w:tc>
          <w:tcPr>
            <w:tcW w:w="1500" w:type="pct"/>
          </w:tcPr>
          <w:p w14:paraId="4E44584C" w14:textId="77777777" w:rsidR="00B10117" w:rsidRDefault="00000000">
            <w:r>
              <w:rPr>
                <w:sz w:val="17"/>
                <w:szCs w:val="17"/>
              </w:rPr>
              <w:t>templates/home.html</w:t>
            </w:r>
          </w:p>
        </w:tc>
        <w:tc>
          <w:tcPr>
            <w:tcW w:w="2500" w:type="pct"/>
          </w:tcPr>
          <w:p w14:paraId="2EFC3633" w14:textId="77777777" w:rsidR="00B10117" w:rsidRDefault="00000000">
            <w:r>
              <w:rPr>
                <w:sz w:val="17"/>
                <w:szCs w:val="17"/>
              </w:rPr>
              <w:t>Landing page describing Smart Lender, with a call-to-action to apply.</w:t>
            </w:r>
          </w:p>
        </w:tc>
      </w:tr>
      <w:tr w:rsidR="00B10117" w14:paraId="6F42818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BDD8E12" w14:textId="77777777" w:rsidR="00B10117" w:rsidRDefault="00000000">
            <w:r>
              <w:rPr>
                <w:sz w:val="17"/>
                <w:szCs w:val="17"/>
              </w:rPr>
              <w:t>Application Form</w:t>
            </w:r>
          </w:p>
        </w:tc>
        <w:tc>
          <w:tcPr>
            <w:tcW w:w="1500" w:type="pct"/>
          </w:tcPr>
          <w:p w14:paraId="5DA040DF" w14:textId="77777777" w:rsidR="00B10117" w:rsidRDefault="00000000">
            <w:r>
              <w:rPr>
                <w:sz w:val="17"/>
                <w:szCs w:val="17"/>
              </w:rPr>
              <w:t>templates/predict.html</w:t>
            </w:r>
          </w:p>
        </w:tc>
        <w:tc>
          <w:tcPr>
            <w:tcW w:w="2500" w:type="pct"/>
          </w:tcPr>
          <w:p w14:paraId="67E5A046" w14:textId="77777777" w:rsidR="00B10117" w:rsidRDefault="00000000">
            <w:r>
              <w:rPr>
                <w:sz w:val="17"/>
                <w:szCs w:val="17"/>
              </w:rPr>
              <w:t>Collects all 11 required input fields, grouped into Personal Information and Education &amp; Employment sections.</w:t>
            </w:r>
          </w:p>
        </w:tc>
      </w:tr>
      <w:tr w:rsidR="00B10117" w14:paraId="310E1C7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5703205" w14:textId="77777777" w:rsidR="00B10117" w:rsidRDefault="00000000">
            <w:r>
              <w:rPr>
                <w:sz w:val="17"/>
                <w:szCs w:val="17"/>
              </w:rPr>
              <w:t>Result</w:t>
            </w:r>
          </w:p>
        </w:tc>
        <w:tc>
          <w:tcPr>
            <w:tcW w:w="1500" w:type="pct"/>
          </w:tcPr>
          <w:p w14:paraId="1C3BCE26" w14:textId="77777777" w:rsidR="00B10117" w:rsidRDefault="00000000">
            <w:r>
              <w:rPr>
                <w:sz w:val="17"/>
                <w:szCs w:val="17"/>
              </w:rPr>
              <w:t>templates/submit.html</w:t>
            </w:r>
          </w:p>
        </w:tc>
        <w:tc>
          <w:tcPr>
            <w:tcW w:w="2500" w:type="pct"/>
          </w:tcPr>
          <w:p w14:paraId="3D604399" w14:textId="77777777" w:rsidR="00B10117" w:rsidRDefault="00000000">
            <w:r>
              <w:rPr>
                <w:sz w:val="17"/>
                <w:szCs w:val="17"/>
              </w:rPr>
              <w:t>Displays Approved/Rejected with an icon, echoing back key applicant inputs.</w:t>
            </w:r>
          </w:p>
        </w:tc>
      </w:tr>
    </w:tbl>
    <w:p w14:paraId="05672A46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>Technology Choices</w:t>
      </w:r>
    </w:p>
    <w:p w14:paraId="61CD6A83" w14:textId="77777777" w:rsidR="00B1011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HTML5 for semantic page structure across all three templates.</w:t>
      </w:r>
    </w:p>
    <w:p w14:paraId="207C0E71" w14:textId="77777777" w:rsidR="00B1011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CSS3 (static/</w:t>
      </w:r>
      <w:proofErr w:type="spellStart"/>
      <w:r>
        <w:rPr>
          <w:sz w:val="22"/>
          <w:szCs w:val="22"/>
        </w:rPr>
        <w:t>css</w:t>
      </w:r>
      <w:proofErr w:type="spellEnd"/>
      <w:r>
        <w:rPr>
          <w:sz w:val="22"/>
          <w:szCs w:val="22"/>
        </w:rPr>
        <w:t xml:space="preserve">/style.css) for styling — verified via live screenshots in the Project Testing phase showing a clean, card-based layout with a consistent navy/white </w:t>
      </w:r>
      <w:proofErr w:type="spellStart"/>
      <w:r>
        <w:rPr>
          <w:sz w:val="22"/>
          <w:szCs w:val="22"/>
        </w:rPr>
        <w:t>color</w:t>
      </w:r>
      <w:proofErr w:type="spellEnd"/>
      <w:r>
        <w:rPr>
          <w:sz w:val="22"/>
          <w:szCs w:val="22"/>
        </w:rPr>
        <w:t xml:space="preserve"> scheme.</w:t>
      </w:r>
    </w:p>
    <w:p w14:paraId="5242B946" w14:textId="77777777" w:rsidR="00B1011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Minimal JavaScript (static/</w:t>
      </w:r>
      <w:proofErr w:type="spellStart"/>
      <w:r>
        <w:rPr>
          <w:sz w:val="22"/>
          <w:szCs w:val="22"/>
        </w:rPr>
        <w:t>js</w:t>
      </w:r>
      <w:proofErr w:type="spellEnd"/>
      <w:r>
        <w:rPr>
          <w:sz w:val="22"/>
          <w:szCs w:val="22"/>
        </w:rPr>
        <w:t>/script.js) for client-side interactivity; no heavy frontend framework (React/Vue) was used, appropriate for a simple three-page flow.</w:t>
      </w:r>
    </w:p>
    <w:p w14:paraId="64CAA36B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>Form Field Coverage</w:t>
      </w:r>
    </w:p>
    <w:p w14:paraId="4CEC3CC7" w14:textId="77777777" w:rsidR="00B10117" w:rsidRDefault="00000000">
      <w:pPr>
        <w:spacing w:after="150"/>
      </w:pPr>
      <w:r>
        <w:rPr>
          <w:sz w:val="22"/>
          <w:szCs w:val="22"/>
        </w:rPr>
        <w:t xml:space="preserve">predict.html was verified (via live screenshot capture in the Project Testing phase) to render all 11 fields the backend expects: Applicant Name, Gender, Married, Dependents, Education, Self Employed, Applicant Income, </w:t>
      </w:r>
      <w:proofErr w:type="spellStart"/>
      <w:r>
        <w:rPr>
          <w:sz w:val="22"/>
          <w:szCs w:val="22"/>
        </w:rPr>
        <w:t>Coapplicant</w:t>
      </w:r>
      <w:proofErr w:type="spellEnd"/>
      <w:r>
        <w:rPr>
          <w:sz w:val="22"/>
          <w:szCs w:val="22"/>
        </w:rPr>
        <w:t xml:space="preserve"> Income, Loan Amount, Loan Amount Term, Credit History, and Property Area.</w:t>
      </w:r>
    </w:p>
    <w:p w14:paraId="1DE47044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Result Page </w:t>
      </w:r>
      <w:proofErr w:type="spellStart"/>
      <w:r>
        <w:rPr>
          <w:b/>
          <w:bCs/>
          <w:color w:val="1F3864"/>
        </w:rPr>
        <w:t>Behavior</w:t>
      </w:r>
      <w:proofErr w:type="spellEnd"/>
    </w:p>
    <w:p w14:paraId="5FB3AF9A" w14:textId="77777777" w:rsidR="00B10117" w:rsidRDefault="00000000">
      <w:pPr>
        <w:spacing w:after="150"/>
      </w:pPr>
      <w:r>
        <w:rPr>
          <w:sz w:val="22"/>
          <w:szCs w:val="22"/>
        </w:rPr>
        <w:t>submit.html renders one of two states based on the model's binary prediction — 'Loan Approved' with a checkmark icon, or 'Loan Rejected' with an X icon — and echoes back the Applicant name, Loan Amount, Credit History (translated to Good/Poor), and Property Area, plus two navigation links: 'New Prediction' (back to the form) and 'Home'.</w:t>
      </w:r>
    </w:p>
    <w:p w14:paraId="0B648B0E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>Known Frontend Limitation</w:t>
      </w:r>
    </w:p>
    <w:p w14:paraId="2B373EFA" w14:textId="77777777" w:rsidR="00B10117" w:rsidRDefault="00000000">
      <w:pPr>
        <w:spacing w:after="150"/>
      </w:pPr>
      <w:r>
        <w:rPr>
          <w:sz w:val="22"/>
          <w:szCs w:val="22"/>
        </w:rPr>
        <w:t>The form currently has no client-side validation (e.g., HTML5 required attributes or JavaScript checks) — a missing or malformed field is only caught (poorly) on the server side, where it currently causes an unhandled HTTP 500 rather than a friendly inline error message. This is the same root issue documented as a defect in the Project Testing phase, and adding client-side validation is a recommended low-effort mitigation.</w:t>
      </w:r>
    </w:p>
    <w:p w14:paraId="0177BAB7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>Visual Design Notes</w:t>
      </w:r>
    </w:p>
    <w:p w14:paraId="6942B34D" w14:textId="77777777" w:rsidR="00B1011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 xml:space="preserve">Consistent navy-and-white </w:t>
      </w:r>
      <w:proofErr w:type="spellStart"/>
      <w:r>
        <w:rPr>
          <w:sz w:val="22"/>
          <w:szCs w:val="22"/>
        </w:rPr>
        <w:t>color</w:t>
      </w:r>
      <w:proofErr w:type="spellEnd"/>
      <w:r>
        <w:rPr>
          <w:sz w:val="22"/>
          <w:szCs w:val="22"/>
        </w:rPr>
        <w:t xml:space="preserve"> scheme across all three pages, verified visually via the genuine screenshots captured in the Project Testing phase.</w:t>
      </w:r>
    </w:p>
    <w:p w14:paraId="3EE59359" w14:textId="77777777" w:rsidR="00B1011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The home page uses a hero section with a clear call-to-action ('Apply Now' / 'Start Application'), plus a three-card feature summary (Fast Processing, Secure Platform, Accurate Prediction) and a small stats strip (95% Prediction Accuracy, 24/7 Availability, 100% Secure Process, AI Decision Support).</w:t>
      </w:r>
    </w:p>
    <w:p w14:paraId="0852A4BD" w14:textId="77777777" w:rsidR="00B1011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The application form groups related fields into two visually distinct cards ('Personal Information' and 'Education &amp; Employment'), reducing the perceived length of an 11-field form.</w:t>
      </w:r>
    </w:p>
    <w:p w14:paraId="65868D3F" w14:textId="77777777" w:rsidR="00B1011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result page uses </w:t>
      </w:r>
      <w:proofErr w:type="spellStart"/>
      <w:r>
        <w:rPr>
          <w:sz w:val="22"/>
          <w:szCs w:val="22"/>
        </w:rPr>
        <w:t>color</w:t>
      </w:r>
      <w:proofErr w:type="spellEnd"/>
      <w:r>
        <w:rPr>
          <w:sz w:val="22"/>
          <w:szCs w:val="22"/>
        </w:rPr>
        <w:t xml:space="preserve"> and iconography (checkmark vs. X) to make the outcome unambiguous </w:t>
      </w:r>
      <w:proofErr w:type="gramStart"/>
      <w:r>
        <w:rPr>
          <w:sz w:val="22"/>
          <w:szCs w:val="22"/>
        </w:rPr>
        <w:t>at a glance</w:t>
      </w:r>
      <w:proofErr w:type="gramEnd"/>
      <w:r>
        <w:rPr>
          <w:sz w:val="22"/>
          <w:szCs w:val="22"/>
        </w:rPr>
        <w:t>, addressing the applicant's need for a fast, clear answer identified in the Brainstorming &amp; Ideation phase's Empathy Map.</w:t>
      </w:r>
    </w:p>
    <w:p w14:paraId="75E598A1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>Responsiveness</w:t>
      </w:r>
    </w:p>
    <w:p w14:paraId="041D442A" w14:textId="77777777" w:rsidR="00B10117" w:rsidRDefault="00000000">
      <w:pPr>
        <w:spacing w:after="150"/>
      </w:pPr>
      <w:r>
        <w:rPr>
          <w:sz w:val="22"/>
          <w:szCs w:val="22"/>
        </w:rPr>
        <w:t xml:space="preserve">All three pages were captured at a 1280px viewport width during live testing and rendered correctly with no visible overflow or broken layout; responsive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 xml:space="preserve"> at narrower mobile widths was not verified in this documentation pass and is noted as an area for further testing.</w:t>
      </w:r>
    </w:p>
    <w:p w14:paraId="71CCB37B" w14:textId="77777777" w:rsidR="00B10117" w:rsidRDefault="00000000">
      <w:pPr>
        <w:pStyle w:val="Heading2"/>
        <w:spacing w:before="300" w:after="150"/>
      </w:pPr>
      <w:r>
        <w:rPr>
          <w:b/>
          <w:bCs/>
          <w:color w:val="1F3864"/>
        </w:rPr>
        <w:t>Frontend-to-Backend Contract</w:t>
      </w:r>
    </w:p>
    <w:p w14:paraId="550E66AD" w14:textId="77777777" w:rsidR="00B10117" w:rsidRDefault="00000000">
      <w:pPr>
        <w:spacing w:after="150"/>
      </w:pPr>
      <w:r>
        <w:rPr>
          <w:sz w:val="22"/>
          <w:szCs w:val="22"/>
        </w:rPr>
        <w:t xml:space="preserve">The form's field names (name attributes in predict.html) must exactly match the keys app.py reads via </w:t>
      </w:r>
      <w:proofErr w:type="spellStart"/>
      <w:proofErr w:type="gramStart"/>
      <w:r>
        <w:rPr>
          <w:sz w:val="22"/>
          <w:szCs w:val="22"/>
        </w:rPr>
        <w:t>request.form</w:t>
      </w:r>
      <w:proofErr w:type="spellEnd"/>
      <w:proofErr w:type="gramEnd"/>
      <w:r>
        <w:rPr>
          <w:sz w:val="22"/>
          <w:szCs w:val="22"/>
        </w:rPr>
        <w:t>[...] — for example, the form field named '</w:t>
      </w:r>
      <w:proofErr w:type="spellStart"/>
      <w:r>
        <w:rPr>
          <w:sz w:val="22"/>
          <w:szCs w:val="22"/>
        </w:rPr>
        <w:t>credit_history</w:t>
      </w:r>
      <w:proofErr w:type="spellEnd"/>
      <w:r>
        <w:rPr>
          <w:sz w:val="22"/>
          <w:szCs w:val="22"/>
        </w:rPr>
        <w:t>' must remain named exactly that for the backend to find it. This tight naming coupling is simple but fragile; see Integration.docx for the related encoding-drift risk.</w:t>
      </w:r>
    </w:p>
    <w:sectPr w:rsidR="00B101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33AB1"/>
    <w:multiLevelType w:val="hybridMultilevel"/>
    <w:tmpl w:val="245AE01E"/>
    <w:lvl w:ilvl="0" w:tplc="653A004C">
      <w:start w:val="1"/>
      <w:numFmt w:val="bullet"/>
      <w:lvlText w:val="●"/>
      <w:lvlJc w:val="left"/>
      <w:pPr>
        <w:ind w:left="720" w:hanging="360"/>
      </w:pPr>
    </w:lvl>
    <w:lvl w:ilvl="1" w:tplc="A53A3AFE">
      <w:start w:val="1"/>
      <w:numFmt w:val="bullet"/>
      <w:lvlText w:val="○"/>
      <w:lvlJc w:val="left"/>
      <w:pPr>
        <w:ind w:left="1440" w:hanging="360"/>
      </w:pPr>
    </w:lvl>
    <w:lvl w:ilvl="2" w:tplc="9D3EC38C">
      <w:start w:val="1"/>
      <w:numFmt w:val="bullet"/>
      <w:lvlText w:val="■"/>
      <w:lvlJc w:val="left"/>
      <w:pPr>
        <w:ind w:left="2160" w:hanging="360"/>
      </w:pPr>
    </w:lvl>
    <w:lvl w:ilvl="3" w:tplc="5772238A">
      <w:start w:val="1"/>
      <w:numFmt w:val="bullet"/>
      <w:lvlText w:val="●"/>
      <w:lvlJc w:val="left"/>
      <w:pPr>
        <w:ind w:left="2880" w:hanging="360"/>
      </w:pPr>
    </w:lvl>
    <w:lvl w:ilvl="4" w:tplc="EEC0D090">
      <w:start w:val="1"/>
      <w:numFmt w:val="bullet"/>
      <w:lvlText w:val="○"/>
      <w:lvlJc w:val="left"/>
      <w:pPr>
        <w:ind w:left="3600" w:hanging="360"/>
      </w:pPr>
    </w:lvl>
    <w:lvl w:ilvl="5" w:tplc="CAFA4F58">
      <w:start w:val="1"/>
      <w:numFmt w:val="bullet"/>
      <w:lvlText w:val="■"/>
      <w:lvlJc w:val="left"/>
      <w:pPr>
        <w:ind w:left="4320" w:hanging="360"/>
      </w:pPr>
    </w:lvl>
    <w:lvl w:ilvl="6" w:tplc="4134B34A">
      <w:start w:val="1"/>
      <w:numFmt w:val="bullet"/>
      <w:lvlText w:val="●"/>
      <w:lvlJc w:val="left"/>
      <w:pPr>
        <w:ind w:left="5040" w:hanging="360"/>
      </w:pPr>
    </w:lvl>
    <w:lvl w:ilvl="7" w:tplc="9C8ACD06">
      <w:start w:val="1"/>
      <w:numFmt w:val="bullet"/>
      <w:lvlText w:val="●"/>
      <w:lvlJc w:val="left"/>
      <w:pPr>
        <w:ind w:left="5760" w:hanging="360"/>
      </w:pPr>
    </w:lvl>
    <w:lvl w:ilvl="8" w:tplc="DC600502">
      <w:start w:val="1"/>
      <w:numFmt w:val="bullet"/>
      <w:lvlText w:val="●"/>
      <w:lvlJc w:val="left"/>
      <w:pPr>
        <w:ind w:left="6480" w:hanging="360"/>
      </w:pPr>
    </w:lvl>
  </w:abstractNum>
  <w:num w:numId="1" w16cid:durableId="1835563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117"/>
    <w:rsid w:val="00B10117"/>
    <w:rsid w:val="00BA5C8C"/>
    <w:rsid w:val="00DA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1A1E"/>
  <w15:docId w15:val="{0EF2223F-5241-43C9-BDF3-255A8053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2026-07-13T02:36:00Z</dcterms:created>
  <dcterms:modified xsi:type="dcterms:W3CDTF">2026-07-13T17:59:00Z</dcterms:modified>
</cp:coreProperties>
</file>