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15F6" w14:textId="77777777" w:rsidR="0000055D" w:rsidRDefault="00000000">
      <w:pPr>
        <w:pStyle w:val="Heading1"/>
        <w:spacing w:after="200"/>
      </w:pPr>
      <w:r>
        <w:rPr>
          <w:b/>
          <w:bCs/>
          <w:color w:val="1F3864"/>
        </w:rPr>
        <w:t>Project Demonstration</w:t>
      </w:r>
    </w:p>
    <w:p w14:paraId="4E4C72CE" w14:textId="77777777" w:rsidR="0000055D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Expected Questions &amp; Answers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00055D" w14:paraId="4516949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5DD2D03" w14:textId="77777777" w:rsidR="0000055D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7114C6AB" w14:textId="77777777" w:rsidR="0000055D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00055D" w14:paraId="0488962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E504D0A" w14:textId="77777777" w:rsidR="0000055D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39A831BB" w14:textId="049D9D63" w:rsidR="0000055D" w:rsidRDefault="007F549E">
            <w:r w:rsidRPr="007F549E">
              <w:t>SWTID-2026-4644</w:t>
            </w:r>
          </w:p>
        </w:tc>
      </w:tr>
      <w:tr w:rsidR="0000055D" w14:paraId="7EFEAE3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6F4E0A9" w14:textId="77777777" w:rsidR="0000055D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7B5B775A" w14:textId="573B730A" w:rsidR="0000055D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00055D" w14:paraId="5E7FCC9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B6EF510" w14:textId="77777777" w:rsidR="0000055D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3ABC2262" w14:textId="77777777" w:rsidR="0000055D" w:rsidRDefault="00000000">
            <w:r>
              <w:rPr>
                <w:sz w:val="22"/>
                <w:szCs w:val="22"/>
              </w:rPr>
              <w:t>8. Project Demonstration</w:t>
            </w:r>
          </w:p>
        </w:tc>
      </w:tr>
    </w:tbl>
    <w:p w14:paraId="67D87F2A" w14:textId="77777777" w:rsidR="0000055D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779364F1" w14:textId="77777777" w:rsidR="0000055D" w:rsidRDefault="00000000">
      <w:pPr>
        <w:spacing w:after="150"/>
      </w:pPr>
      <w:r>
        <w:rPr>
          <w:sz w:val="22"/>
          <w:szCs w:val="22"/>
        </w:rPr>
        <w:t>This document prepares honest, evidence-based answers to questions a technical or business audience is likely to ask after the live demonstration, so the presenter isn't caught off guard and doesn't need to guess or overstate.</w:t>
      </w:r>
    </w:p>
    <w:p w14:paraId="6C9466F6" w14:textId="77777777" w:rsidR="0000055D" w:rsidRDefault="00000000">
      <w:pPr>
        <w:pStyle w:val="Heading2"/>
        <w:spacing w:before="300" w:after="150"/>
      </w:pPr>
      <w:r>
        <w:rPr>
          <w:b/>
          <w:bCs/>
          <w:color w:val="1F3864"/>
        </w:rPr>
        <w:t>Anticipated Q&amp;A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6078"/>
      </w:tblGrid>
      <w:tr w:rsidR="0000055D" w14:paraId="4F6168E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1F3864"/>
          </w:tcPr>
          <w:p w14:paraId="143EDD7C" w14:textId="77777777" w:rsidR="0000055D" w:rsidRDefault="00000000">
            <w:r>
              <w:rPr>
                <w:b/>
                <w:bCs/>
                <w:color w:val="FFFFFF"/>
                <w:sz w:val="17"/>
                <w:szCs w:val="17"/>
              </w:rPr>
              <w:t>Likely Question</w:t>
            </w:r>
          </w:p>
        </w:tc>
        <w:tc>
          <w:tcPr>
            <w:tcW w:w="3250" w:type="pct"/>
            <w:shd w:val="clear" w:color="auto" w:fill="1F3864"/>
          </w:tcPr>
          <w:p w14:paraId="4AC3AA19" w14:textId="77777777" w:rsidR="0000055D" w:rsidRDefault="00000000">
            <w:r>
              <w:rPr>
                <w:b/>
                <w:bCs/>
                <w:color w:val="FFFFFF"/>
                <w:sz w:val="17"/>
                <w:szCs w:val="17"/>
              </w:rPr>
              <w:t>Prepared Answer</w:t>
            </w:r>
          </w:p>
        </w:tc>
      </w:tr>
      <w:tr w:rsidR="0000055D" w14:paraId="5B5EF82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7036938" w14:textId="77777777" w:rsidR="0000055D" w:rsidRDefault="00000000">
            <w:r>
              <w:rPr>
                <w:sz w:val="17"/>
                <w:szCs w:val="17"/>
              </w:rPr>
              <w:t>Why Random Forest and not XGBoost?</w:t>
            </w:r>
          </w:p>
        </w:tc>
        <w:tc>
          <w:tcPr>
            <w:tcW w:w="3250" w:type="pct"/>
          </w:tcPr>
          <w:p w14:paraId="08E885BA" w14:textId="77777777" w:rsidR="0000055D" w:rsidRDefault="00000000">
            <w:r>
              <w:rPr>
                <w:sz w:val="17"/>
                <w:szCs w:val="17"/>
              </w:rPr>
              <w:t>Our own model_building.ipynb notebook trains and compares Decision Tree, Random Forest, KNN, and Gradient Boosting — Random Forest had the best cross-validation accuracy (81.04%), so that's what's deployed. If XGBoost is a requirement, it's a small addition to the comparison notebook.</w:t>
            </w:r>
          </w:p>
        </w:tc>
      </w:tr>
      <w:tr w:rsidR="0000055D" w14:paraId="3AF9062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561CF5F" w14:textId="77777777" w:rsidR="0000055D" w:rsidRDefault="00000000">
            <w:r>
              <w:rPr>
                <w:sz w:val="17"/>
                <w:szCs w:val="17"/>
              </w:rPr>
              <w:t>What happens if someone enters bad data?</w:t>
            </w:r>
          </w:p>
        </w:tc>
        <w:tc>
          <w:tcPr>
            <w:tcW w:w="3250" w:type="pct"/>
          </w:tcPr>
          <w:p w14:paraId="745D50FE" w14:textId="77777777" w:rsidR="0000055D" w:rsidRDefault="00000000">
            <w:r>
              <w:rPr>
                <w:sz w:val="17"/>
                <w:szCs w:val="17"/>
              </w:rPr>
              <w:t>That was actually a gap our testing caught early — a missing or malformed field used to crash the server with a generic error. We fixed it: the form now shows a clear, specific message (e.g., which field is missing) and returns a proper HTTP 400 instead of crashing. See Test_Results.docx for the live re-test evidence.</w:t>
            </w:r>
          </w:p>
        </w:tc>
      </w:tr>
      <w:tr w:rsidR="0000055D" w14:paraId="155636F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E6EC762" w14:textId="77777777" w:rsidR="0000055D" w:rsidRDefault="00000000">
            <w:r>
              <w:rPr>
                <w:sz w:val="17"/>
                <w:szCs w:val="17"/>
              </w:rPr>
              <w:t>How accurate is the model?</w:t>
            </w:r>
          </w:p>
        </w:tc>
        <w:tc>
          <w:tcPr>
            <w:tcW w:w="3250" w:type="pct"/>
          </w:tcPr>
          <w:p w14:paraId="7AE3EF09" w14:textId="77777777" w:rsidR="0000055D" w:rsidRDefault="00000000">
            <w:r>
              <w:rPr>
                <w:sz w:val="17"/>
                <w:szCs w:val="17"/>
              </w:rPr>
              <w:t>77.83% testing accuracy and 81.04% 5-fold cross-validation accuracy, measured directly from the project's own notebooks — not an estimate.</w:t>
            </w:r>
          </w:p>
        </w:tc>
      </w:tr>
      <w:tr w:rsidR="0000055D" w14:paraId="2357E83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7875D9A" w14:textId="77777777" w:rsidR="0000055D" w:rsidRDefault="00000000">
            <w:r>
              <w:rPr>
                <w:sz w:val="17"/>
                <w:szCs w:val="17"/>
              </w:rPr>
              <w:t>Can this scale to a real bank's volume?</w:t>
            </w:r>
          </w:p>
        </w:tc>
        <w:tc>
          <w:tcPr>
            <w:tcW w:w="3250" w:type="pct"/>
          </w:tcPr>
          <w:p w14:paraId="0F1E9572" w14:textId="77777777" w:rsidR="0000055D" w:rsidRDefault="00000000">
            <w:r>
              <w:rPr>
                <w:sz w:val="17"/>
                <w:szCs w:val="17"/>
              </w:rPr>
              <w:t>The architecture is stateless and can scale horizontally; our load test of 20 concurrent requests succeeded, though we'd move off the Flask development server to a production WSGI setup first.</w:t>
            </w:r>
          </w:p>
        </w:tc>
      </w:tr>
      <w:tr w:rsidR="0000055D" w14:paraId="63FC08A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E756457" w14:textId="77777777" w:rsidR="0000055D" w:rsidRDefault="00000000">
            <w:r>
              <w:rPr>
                <w:sz w:val="17"/>
                <w:szCs w:val="17"/>
              </w:rPr>
              <w:t>Is applicant data stored anywhere?</w:t>
            </w:r>
          </w:p>
        </w:tc>
        <w:tc>
          <w:tcPr>
            <w:tcW w:w="3250" w:type="pct"/>
          </w:tcPr>
          <w:p w14:paraId="78976B4B" w14:textId="77777777" w:rsidR="0000055D" w:rsidRDefault="00000000">
            <w:r>
              <w:rPr>
                <w:sz w:val="17"/>
                <w:szCs w:val="17"/>
              </w:rPr>
              <w:t>No — the current implementation is stateless per request; it doesn't persist applicant submissions to a database. That would be a deliberate addition for audit/compliance, sketched in the Entity_Relationship_Diagram.docx (Project Design Phase).</w:t>
            </w:r>
          </w:p>
        </w:tc>
      </w:tr>
      <w:tr w:rsidR="0000055D" w14:paraId="1EB0563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6E55BAA" w14:textId="77777777" w:rsidR="0000055D" w:rsidRDefault="00000000">
            <w:r>
              <w:rPr>
                <w:sz w:val="17"/>
                <w:szCs w:val="17"/>
              </w:rPr>
              <w:t>Does the model replace the credit officer?</w:t>
            </w:r>
          </w:p>
        </w:tc>
        <w:tc>
          <w:tcPr>
            <w:tcW w:w="3250" w:type="pct"/>
          </w:tcPr>
          <w:p w14:paraId="37FA76E7" w14:textId="77777777" w:rsidR="0000055D" w:rsidRDefault="00000000">
            <w:r>
              <w:rPr>
                <w:sz w:val="17"/>
                <w:szCs w:val="17"/>
              </w:rPr>
              <w:t>No — it's designed as decision support. The officer still makes the final call; the model gives a fast, consistent, data-backed second opinion.</w:t>
            </w:r>
          </w:p>
        </w:tc>
      </w:tr>
      <w:tr w:rsidR="0000055D" w14:paraId="0D4E59A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DE8045F" w14:textId="77777777" w:rsidR="0000055D" w:rsidRDefault="00000000">
            <w:r>
              <w:rPr>
                <w:sz w:val="17"/>
                <w:szCs w:val="17"/>
              </w:rPr>
              <w:t>How was the model validated beyond accuracy numbers?</w:t>
            </w:r>
          </w:p>
        </w:tc>
        <w:tc>
          <w:tcPr>
            <w:tcW w:w="3250" w:type="pct"/>
          </w:tcPr>
          <w:p w14:paraId="78FC9789" w14:textId="77777777" w:rsidR="0000055D" w:rsidRDefault="00000000">
            <w:r>
              <w:rPr>
                <w:sz w:val="17"/>
                <w:szCs w:val="17"/>
              </w:rPr>
              <w:t>Beyond cross-validation, we ran the actual business scenarios supplied for this project against the live app — a low-risk profile returned Approved and a high-risk profile returned Rejected, matching real-world expectations, not just an abstract accuracy score.</w:t>
            </w:r>
          </w:p>
        </w:tc>
      </w:tr>
      <w:tr w:rsidR="0000055D" w14:paraId="6A92433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1D34C3E" w14:textId="77777777" w:rsidR="0000055D" w:rsidRDefault="00000000">
            <w:r>
              <w:rPr>
                <w:sz w:val="17"/>
                <w:szCs w:val="17"/>
              </w:rPr>
              <w:t>What's the biggest risk before production?</w:t>
            </w:r>
          </w:p>
        </w:tc>
        <w:tc>
          <w:tcPr>
            <w:tcW w:w="3250" w:type="pct"/>
          </w:tcPr>
          <w:p w14:paraId="7220ACCE" w14:textId="77777777" w:rsidR="0000055D" w:rsidRDefault="00000000">
            <w:r>
              <w:rPr>
                <w:sz w:val="17"/>
                <w:szCs w:val="17"/>
              </w:rPr>
              <w:t>The main remaining item is moving off the single-threaded development server to a production WSGI setup with HTTPS — that's scoped and documented, and doesn't block a demo or controlled pilot. Server-side input validation, which was the other risk, has already been fixed and re-verified live.</w:t>
            </w:r>
          </w:p>
        </w:tc>
      </w:tr>
    </w:tbl>
    <w:p w14:paraId="08294982" w14:textId="77777777" w:rsidR="0000055D" w:rsidRDefault="00000000">
      <w:pPr>
        <w:pStyle w:val="Heading2"/>
        <w:spacing w:before="300" w:after="150"/>
      </w:pPr>
      <w:r>
        <w:rPr>
          <w:b/>
          <w:bCs/>
          <w:color w:val="1F3864"/>
        </w:rPr>
        <w:t>General Answering Principles</w:t>
      </w:r>
    </w:p>
    <w:p w14:paraId="32F5C05E" w14:textId="77777777" w:rsidR="0000055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Always point to the specific document/test case behind a claim (e.g., “see Model_Evaluation.docx”) rather than restating a number from memory that could be stale.</w:t>
      </w:r>
    </w:p>
    <w:p w14:paraId="18E19C36" w14:textId="77777777" w:rsidR="0000055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If a question falls outside verified project scope (e.g., regulatory compliance specifics), say so plainly rather than speculating.</w:t>
      </w:r>
    </w:p>
    <w:p w14:paraId="223270BA" w14:textId="77777777" w:rsidR="0000055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Lead with the honest limitation when asked about weaknesses — the input-validation gap — since it is already disclosed in the presentation and re-raising it builds trust rather than undermining it.</w:t>
      </w:r>
    </w:p>
    <w:sectPr w:rsidR="0000055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76F53"/>
    <w:multiLevelType w:val="hybridMultilevel"/>
    <w:tmpl w:val="56184430"/>
    <w:lvl w:ilvl="0" w:tplc="6DE8C3CC">
      <w:start w:val="1"/>
      <w:numFmt w:val="bullet"/>
      <w:lvlText w:val="●"/>
      <w:lvlJc w:val="left"/>
      <w:pPr>
        <w:ind w:left="720" w:hanging="360"/>
      </w:pPr>
    </w:lvl>
    <w:lvl w:ilvl="1" w:tplc="EA64B534">
      <w:start w:val="1"/>
      <w:numFmt w:val="bullet"/>
      <w:lvlText w:val="○"/>
      <w:lvlJc w:val="left"/>
      <w:pPr>
        <w:ind w:left="1440" w:hanging="360"/>
      </w:pPr>
    </w:lvl>
    <w:lvl w:ilvl="2" w:tplc="024A0D94">
      <w:start w:val="1"/>
      <w:numFmt w:val="bullet"/>
      <w:lvlText w:val="■"/>
      <w:lvlJc w:val="left"/>
      <w:pPr>
        <w:ind w:left="2160" w:hanging="360"/>
      </w:pPr>
    </w:lvl>
    <w:lvl w:ilvl="3" w:tplc="44FE2808">
      <w:start w:val="1"/>
      <w:numFmt w:val="bullet"/>
      <w:lvlText w:val="●"/>
      <w:lvlJc w:val="left"/>
      <w:pPr>
        <w:ind w:left="2880" w:hanging="360"/>
      </w:pPr>
    </w:lvl>
    <w:lvl w:ilvl="4" w:tplc="2450681E">
      <w:start w:val="1"/>
      <w:numFmt w:val="bullet"/>
      <w:lvlText w:val="○"/>
      <w:lvlJc w:val="left"/>
      <w:pPr>
        <w:ind w:left="3600" w:hanging="360"/>
      </w:pPr>
    </w:lvl>
    <w:lvl w:ilvl="5" w:tplc="BC1E44AE">
      <w:start w:val="1"/>
      <w:numFmt w:val="bullet"/>
      <w:lvlText w:val="■"/>
      <w:lvlJc w:val="left"/>
      <w:pPr>
        <w:ind w:left="4320" w:hanging="360"/>
      </w:pPr>
    </w:lvl>
    <w:lvl w:ilvl="6" w:tplc="2A52E780">
      <w:start w:val="1"/>
      <w:numFmt w:val="bullet"/>
      <w:lvlText w:val="●"/>
      <w:lvlJc w:val="left"/>
      <w:pPr>
        <w:ind w:left="5040" w:hanging="360"/>
      </w:pPr>
    </w:lvl>
    <w:lvl w:ilvl="7" w:tplc="97284DE6">
      <w:start w:val="1"/>
      <w:numFmt w:val="bullet"/>
      <w:lvlText w:val="●"/>
      <w:lvlJc w:val="left"/>
      <w:pPr>
        <w:ind w:left="5760" w:hanging="360"/>
      </w:pPr>
    </w:lvl>
    <w:lvl w:ilvl="8" w:tplc="0268C854">
      <w:start w:val="1"/>
      <w:numFmt w:val="bullet"/>
      <w:lvlText w:val="●"/>
      <w:lvlJc w:val="left"/>
      <w:pPr>
        <w:ind w:left="6480" w:hanging="360"/>
      </w:pPr>
    </w:lvl>
  </w:abstractNum>
  <w:num w:numId="1" w16cid:durableId="745226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55D"/>
    <w:rsid w:val="0000055D"/>
    <w:rsid w:val="007F549E"/>
    <w:rsid w:val="00C8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AEED"/>
  <w15:docId w15:val="{8ADD0ED4-72AD-4A93-A55A-86CA3781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2026-07-14T11:35:00Z</dcterms:created>
  <dcterms:modified xsi:type="dcterms:W3CDTF">2026-07-14T11:35:00Z</dcterms:modified>
</cp:coreProperties>
</file>