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1F3864"/>
          <w:sz w:val="60"/>
        </w:rPr>
        <w:t>Trébol eCommerce Platform</w:t>
      </w:r>
    </w:p>
    <w:p>
      <w:pPr>
        <w:spacing w:after="400"/>
        <w:jc w:val="center"/>
      </w:pPr>
      <w:r>
        <w:rPr>
          <w:b w:val="0"/>
          <w:i w:val="0"/>
          <w:color w:val="595959"/>
          <w:sz w:val="30"/>
        </w:rPr>
        <w:t>Technical Documentation of the Modernised System</w:t>
      </w:r>
    </w:p>
    <w:p>
      <w:pPr>
        <w:spacing w:after="600"/>
        <w:jc w:val="center"/>
      </w:pPr>
      <w:r>
        <w:rPr>
          <w:b w:val="0"/>
          <w:i/>
          <w:color w:val="595959"/>
          <w:sz w:val="23"/>
        </w:rPr>
        <w:t>Monolith to Microservices  |  Post-Decommission Architecture</w:t>
      </w:r>
    </w:p>
    <w:tbl>
      <w:tblPr>
        <w:tblStyle w:val="LightGrid-Accent1"/>
        <w:tblW w:type="auto" w:w="0"/>
        <w:jc w:val="center"/>
        <w:tblLook w:firstColumn="1" w:firstRow="1" w:lastColumn="0" w:lastRow="0" w:noHBand="0" w:noVBand="1" w:val="04A0"/>
      </w:tblPr>
      <w:tblGrid>
        <w:gridCol w:w="4824"/>
        <w:gridCol w:w="4824"/>
      </w:tblGrid>
      <w:tr>
        <w:tc>
          <w:tcPr>
            <w:tcW w:type="dxa" w:w="2448"/>
          </w:tcPr>
          <w:p>
            <w:r/>
            <w:r>
              <w:rPr>
                <w:b/>
                <w:sz w:val="19"/>
              </w:rPr>
              <w:t>Field</w:t>
            </w:r>
          </w:p>
        </w:tc>
        <w:tc>
          <w:tcPr>
            <w:tcW w:type="dxa" w:w="6624"/>
          </w:tcPr>
          <w:p>
            <w:r/>
            <w:r>
              <w:rPr>
                <w:b/>
                <w:sz w:val="19"/>
              </w:rPr>
              <w:t>Value</w:t>
            </w:r>
          </w:p>
        </w:tc>
      </w:tr>
      <w:tr>
        <w:tc>
          <w:tcPr>
            <w:tcW w:type="dxa" w:w="2448"/>
          </w:tcPr>
          <w:p>
            <w:pPr>
              <w:spacing w:after="40"/>
            </w:pPr>
            <w:r/>
            <w:r>
              <w:rPr>
                <w:sz w:val="19"/>
              </w:rPr>
              <w:t>Document</w:t>
            </w:r>
          </w:p>
        </w:tc>
        <w:tc>
          <w:tcPr>
            <w:tcW w:type="dxa" w:w="6624"/>
          </w:tcPr>
          <w:p>
            <w:pPr>
              <w:spacing w:after="40"/>
            </w:pPr>
            <w:r/>
            <w:r>
              <w:rPr>
                <w:sz w:val="19"/>
              </w:rPr>
              <w:t>Technical documentation - modernised platform</w:t>
            </w:r>
          </w:p>
        </w:tc>
      </w:tr>
      <w:tr>
        <w:tc>
          <w:tcPr>
            <w:tcW w:type="dxa" w:w="2448"/>
          </w:tcPr>
          <w:p>
            <w:pPr>
              <w:spacing w:after="40"/>
            </w:pPr>
            <w:r/>
            <w:r>
              <w:rPr>
                <w:sz w:val="19"/>
              </w:rPr>
              <w:t>System</w:t>
            </w:r>
          </w:p>
        </w:tc>
        <w:tc>
          <w:tcPr>
            <w:tcW w:type="dxa" w:w="6624"/>
          </w:tcPr>
          <w:p>
            <w:pPr>
              <w:spacing w:after="40"/>
            </w:pPr>
            <w:r/>
            <w:r>
              <w:rPr>
                <w:sz w:val="19"/>
              </w:rPr>
              <w:t>Trébol eCommerce backend</w:t>
            </w:r>
          </w:p>
        </w:tc>
      </w:tr>
      <w:tr>
        <w:tc>
          <w:tcPr>
            <w:tcW w:type="dxa" w:w="2448"/>
          </w:tcPr>
          <w:p>
            <w:pPr>
              <w:spacing w:after="40"/>
            </w:pPr>
            <w:r/>
            <w:r>
              <w:rPr>
                <w:sz w:val="19"/>
              </w:rPr>
              <w:t>Architecture</w:t>
            </w:r>
          </w:p>
        </w:tc>
        <w:tc>
          <w:tcPr>
            <w:tcW w:type="dxa" w:w="6624"/>
          </w:tcPr>
          <w:p>
            <w:pPr>
              <w:spacing w:after="40"/>
            </w:pPr>
            <w:r/>
            <w:r>
              <w:rPr>
                <w:sz w:val="19"/>
              </w:rPr>
              <w:t>Three independently deployable Spring Boot services</w:t>
            </w:r>
          </w:p>
        </w:tc>
      </w:tr>
      <w:tr>
        <w:tc>
          <w:tcPr>
            <w:tcW w:type="dxa" w:w="2448"/>
          </w:tcPr>
          <w:p>
            <w:pPr>
              <w:spacing w:after="40"/>
            </w:pPr>
            <w:r/>
            <w:r>
              <w:rPr>
                <w:sz w:val="19"/>
              </w:rPr>
              <w:t>Platform</w:t>
            </w:r>
          </w:p>
        </w:tc>
        <w:tc>
          <w:tcPr>
            <w:tcW w:type="dxa" w:w="6624"/>
          </w:tcPr>
          <w:p>
            <w:pPr>
              <w:spacing w:after="40"/>
            </w:pPr>
            <w:r/>
            <w:r>
              <w:rPr>
                <w:sz w:val="19"/>
              </w:rPr>
              <w:t>Java 21, Spring Boot 3.2.12, Maven 3.9, MariaDB</w:t>
            </w:r>
          </w:p>
        </w:tc>
      </w:tr>
      <w:tr>
        <w:tc>
          <w:tcPr>
            <w:tcW w:type="dxa" w:w="2448"/>
          </w:tcPr>
          <w:p>
            <w:pPr>
              <w:spacing w:after="40"/>
            </w:pPr>
            <w:r/>
            <w:r>
              <w:rPr>
                <w:sz w:val="19"/>
              </w:rPr>
              <w:t>Repository state</w:t>
            </w:r>
          </w:p>
        </w:tc>
        <w:tc>
          <w:tcPr>
            <w:tcW w:type="dxa" w:w="6624"/>
          </w:tcPr>
          <w:p>
            <w:pPr>
              <w:spacing w:after="40"/>
            </w:pPr>
            <w:r/>
            <w:r>
              <w:rPr>
                <w:sz w:val="19"/>
              </w:rPr>
              <w:t>Four-module Maven reactor, monolith decommissioned</w:t>
            </w:r>
          </w:p>
        </w:tc>
      </w:tr>
      <w:tr>
        <w:tc>
          <w:tcPr>
            <w:tcW w:type="dxa" w:w="2448"/>
          </w:tcPr>
          <w:p>
            <w:pPr>
              <w:spacing w:after="40"/>
            </w:pPr>
            <w:r/>
            <w:r>
              <w:rPr>
                <w:sz w:val="19"/>
              </w:rPr>
              <w:t>Verification</w:t>
            </w:r>
          </w:p>
        </w:tc>
        <w:tc>
          <w:tcPr>
            <w:tcW w:type="dxa" w:w="6624"/>
          </w:tcPr>
          <w:p>
            <w:pPr>
              <w:spacing w:after="40"/>
            </w:pPr>
            <w:r/>
            <w:r>
              <w:rPr>
                <w:sz w:val="19"/>
              </w:rPr>
              <w:t>495 automated tests, 0 failures, 0 errors, BUILD SUCCESS</w:t>
            </w:r>
          </w:p>
        </w:tc>
      </w:tr>
      <w:tr>
        <w:tc>
          <w:tcPr>
            <w:tcW w:type="dxa" w:w="2448"/>
          </w:tcPr>
          <w:p>
            <w:pPr>
              <w:spacing w:after="40"/>
            </w:pPr>
            <w:r/>
            <w:r>
              <w:rPr>
                <w:sz w:val="19"/>
              </w:rPr>
              <w:t>Exit criteria</w:t>
            </w:r>
          </w:p>
        </w:tc>
        <w:tc>
          <w:tcPr>
            <w:tcW w:type="dxa" w:w="6624"/>
          </w:tcPr>
          <w:p>
            <w:pPr>
              <w:spacing w:after="40"/>
            </w:pPr>
            <w:r/>
            <w:r>
              <w:rPr>
                <w:sz w:val="19"/>
              </w:rPr>
              <w:t>All 11 met</w:t>
            </w:r>
          </w:p>
        </w:tc>
      </w:tr>
      <w:tr>
        <w:tc>
          <w:tcPr>
            <w:tcW w:type="dxa" w:w="2448"/>
          </w:tcPr>
          <w:p>
            <w:pPr>
              <w:spacing w:after="40"/>
            </w:pPr>
            <w:r/>
            <w:r>
              <w:rPr>
                <w:sz w:val="19"/>
              </w:rPr>
              <w:t>Date</w:t>
            </w:r>
          </w:p>
        </w:tc>
        <w:tc>
          <w:tcPr>
            <w:tcW w:type="dxa" w:w="6624"/>
          </w:tcPr>
          <w:p>
            <w:pPr>
              <w:spacing w:after="40"/>
            </w:pPr>
            <w:r/>
            <w:r>
              <w:rPr>
                <w:sz w:val="19"/>
              </w:rPr>
              <w:t>16 October 2026</w:t>
            </w:r>
          </w:p>
        </w:tc>
      </w:tr>
      <w:tr>
        <w:tc>
          <w:tcPr>
            <w:tcW w:type="dxa" w:w="2448"/>
          </w:tcPr>
          <w:p>
            <w:pPr>
              <w:spacing w:after="40"/>
            </w:pPr>
            <w:r/>
            <w:r>
              <w:rPr>
                <w:sz w:val="19"/>
              </w:rPr>
              <w:t>Status</w:t>
            </w:r>
          </w:p>
        </w:tc>
        <w:tc>
          <w:tcPr>
            <w:tcW w:type="dxa" w:w="6624"/>
          </w:tcPr>
          <w:p>
            <w:pPr>
              <w:spacing w:after="40"/>
            </w:pPr>
            <w:r/>
            <w:r>
              <w:rPr>
                <w:sz w:val="19"/>
              </w:rPr>
              <w:t>Final - transformation complete</w:t>
            </w:r>
          </w:p>
        </w:tc>
      </w:tr>
    </w:tbl>
    <w:p>
      <w:pPr>
        <w:spacing w:after="80"/>
      </w:pPr>
    </w:p>
    <w:p>
      <w:r>
        <w:br w:type="page"/>
      </w:r>
    </w:p>
    <w:p>
      <w:pPr>
        <w:spacing w:after="160"/>
      </w:pPr>
      <w:r>
        <w:rPr>
          <w:b/>
          <w:i w:val="0"/>
          <w:color w:val="1F3864"/>
          <w:sz w:val="34"/>
        </w:rPr>
        <w:t>Contents</w:t>
      </w:r>
    </w:p>
    <w:p>
      <w:fldSimple w:instr="TOC \o &quot;1-2&quot; \h \z \u"/>
    </w:p>
    <w:p>
      <w:pPr>
        <w:spacing w:after="80"/>
      </w:pPr>
      <w:r>
        <w:rPr>
          <w:b w:val="0"/>
          <w:i/>
          <w:color w:val="595959"/>
          <w:sz w:val="17"/>
        </w:rPr>
        <w:t>If the table of contents appears empty, right-click it in Word and choose "Update Field".</w:t>
      </w:r>
    </w:p>
    <w:p>
      <w:r>
        <w:br w:type="page"/>
      </w:r>
    </w:p>
    <w:p>
      <w:pPr>
        <w:pStyle w:val="Heading1"/>
      </w:pPr>
      <w:r>
        <w:t>1  Executive summary</w:t>
      </w:r>
    </w:p>
    <w:p>
      <w:pPr>
        <w:spacing w:after="120"/>
      </w:pPr>
      <w:r>
        <w:rPr>
          <w:b w:val="0"/>
          <w:i w:val="0"/>
          <w:sz w:val="21"/>
        </w:rPr>
        <w:t>The Trébol eCommerce backend was a single Spring Boot deployable: 21 controllers serving 67 HTTP routes over one shared 22-table database, with cross-domain foreign keys and no service boundaries. It is now three independently deployable services, each owning its tables exclusively, with no shared database and no cross-service foreign key.</w:t>
      </w:r>
    </w:p>
    <w:p>
      <w:pPr>
        <w:spacing w:after="120"/>
      </w:pPr>
      <w:r>
        <w:rPr>
          <w:b w:val="0"/>
          <w:i w:val="0"/>
          <w:sz w:val="21"/>
        </w:rPr>
        <w:t>The monolith has been decommissioned. It is not retained in a disabled state - the module, its 316 main sources, its 132 test sources and the shared schema were removed from the build. The code remains recoverable from version control, but it is no longer built, tested or deployable.</w:t>
      </w:r>
    </w:p>
    <w:tbl>
      <w:tblPr>
        <w:tblStyle w:val="LightGrid-Accent1"/>
        <w:tblW w:type="auto" w:w="0"/>
        <w:jc w:val="center"/>
        <w:tblLook w:firstColumn="1" w:firstRow="1" w:lastColumn="0" w:lastRow="0" w:noHBand="0" w:noVBand="1" w:val="04A0"/>
      </w:tblPr>
      <w:tblGrid>
        <w:gridCol w:w="3216"/>
        <w:gridCol w:w="3216"/>
        <w:gridCol w:w="3216"/>
      </w:tblGrid>
      <w:tr>
        <w:tc>
          <w:tcPr>
            <w:tcW w:type="dxa" w:w="2592"/>
          </w:tcPr>
          <w:p>
            <w:r/>
            <w:r>
              <w:rPr>
                <w:b/>
                <w:sz w:val="19"/>
              </w:rPr>
              <w:t>Measure</w:t>
            </w:r>
          </w:p>
        </w:tc>
        <w:tc>
          <w:tcPr>
            <w:tcW w:type="dxa" w:w="3024"/>
          </w:tcPr>
          <w:p>
            <w:r/>
            <w:r>
              <w:rPr>
                <w:b/>
                <w:sz w:val="19"/>
              </w:rPr>
              <w:t>Before</w:t>
            </w:r>
          </w:p>
        </w:tc>
        <w:tc>
          <w:tcPr>
            <w:tcW w:type="dxa" w:w="3744"/>
          </w:tcPr>
          <w:p>
            <w:r/>
            <w:r>
              <w:rPr>
                <w:b/>
                <w:sz w:val="19"/>
              </w:rPr>
              <w:t>After</w:t>
            </w:r>
          </w:p>
        </w:tc>
      </w:tr>
      <w:tr>
        <w:tc>
          <w:tcPr>
            <w:tcW w:type="dxa" w:w="2592"/>
          </w:tcPr>
          <w:p>
            <w:pPr>
              <w:spacing w:after="40"/>
            </w:pPr>
            <w:r/>
            <w:r>
              <w:rPr>
                <w:sz w:val="19"/>
              </w:rPr>
              <w:t>Deployable units</w:t>
            </w:r>
          </w:p>
        </w:tc>
        <w:tc>
          <w:tcPr>
            <w:tcW w:type="dxa" w:w="3024"/>
          </w:tcPr>
          <w:p>
            <w:pPr>
              <w:spacing w:after="40"/>
            </w:pPr>
            <w:r/>
            <w:r>
              <w:rPr>
                <w:sz w:val="19"/>
              </w:rPr>
              <w:t>1 WAR</w:t>
            </w:r>
          </w:p>
        </w:tc>
        <w:tc>
          <w:tcPr>
            <w:tcW w:type="dxa" w:w="3744"/>
          </w:tcPr>
          <w:p>
            <w:pPr>
              <w:spacing w:after="40"/>
            </w:pPr>
            <w:r/>
            <w:r>
              <w:rPr>
                <w:sz w:val="19"/>
              </w:rPr>
              <w:t>3 Spring Boot services + 1 library jar</w:t>
            </w:r>
          </w:p>
        </w:tc>
      </w:tr>
      <w:tr>
        <w:tc>
          <w:tcPr>
            <w:tcW w:type="dxa" w:w="2592"/>
          </w:tcPr>
          <w:p>
            <w:pPr>
              <w:spacing w:after="40"/>
            </w:pPr>
            <w:r/>
            <w:r>
              <w:rPr>
                <w:sz w:val="19"/>
              </w:rPr>
              <w:t>HTTP routes</w:t>
            </w:r>
          </w:p>
        </w:tc>
        <w:tc>
          <w:tcPr>
            <w:tcW w:type="dxa" w:w="3024"/>
          </w:tcPr>
          <w:p>
            <w:pPr>
              <w:spacing w:after="40"/>
            </w:pPr>
            <w:r/>
            <w:r>
              <w:rPr>
                <w:sz w:val="19"/>
              </w:rPr>
              <w:t>67 in one application</w:t>
            </w:r>
          </w:p>
        </w:tc>
        <w:tc>
          <w:tcPr>
            <w:tcW w:type="dxa" w:w="3744"/>
          </w:tcPr>
          <w:p>
            <w:pPr>
              <w:spacing w:after="40"/>
            </w:pPr>
            <w:r/>
            <w:r>
              <w:rPr>
                <w:sz w:val="19"/>
              </w:rPr>
              <w:t>67 across three services, each served by exactly one</w:t>
            </w:r>
          </w:p>
        </w:tc>
      </w:tr>
      <w:tr>
        <w:tc>
          <w:tcPr>
            <w:tcW w:type="dxa" w:w="2592"/>
          </w:tcPr>
          <w:p>
            <w:pPr>
              <w:spacing w:after="40"/>
            </w:pPr>
            <w:r/>
            <w:r>
              <w:rPr>
                <w:sz w:val="19"/>
              </w:rPr>
              <w:t>Database</w:t>
            </w:r>
          </w:p>
        </w:tc>
        <w:tc>
          <w:tcPr>
            <w:tcW w:type="dxa" w:w="3024"/>
          </w:tcPr>
          <w:p>
            <w:pPr>
              <w:spacing w:after="40"/>
            </w:pPr>
            <w:r/>
            <w:r>
              <w:rPr>
                <w:sz w:val="19"/>
              </w:rPr>
              <w:t>1 shared schema, 22 tables</w:t>
            </w:r>
          </w:p>
        </w:tc>
        <w:tc>
          <w:tcPr>
            <w:tcW w:type="dxa" w:w="3744"/>
          </w:tcPr>
          <w:p>
            <w:pPr>
              <w:spacing w:after="40"/>
            </w:pPr>
            <w:r/>
            <w:r>
              <w:rPr>
                <w:sz w:val="19"/>
              </w:rPr>
              <w:t>3 exclusive schemas, 23 tables total</w:t>
            </w:r>
          </w:p>
        </w:tc>
      </w:tr>
      <w:tr>
        <w:tc>
          <w:tcPr>
            <w:tcW w:type="dxa" w:w="2592"/>
          </w:tcPr>
          <w:p>
            <w:pPr>
              <w:spacing w:after="40"/>
            </w:pPr>
            <w:r/>
            <w:r>
              <w:rPr>
                <w:sz w:val="19"/>
              </w:rPr>
              <w:t>Cross-service foreign keys</w:t>
            </w:r>
          </w:p>
        </w:tc>
        <w:tc>
          <w:tcPr>
            <w:tcW w:type="dxa" w:w="3024"/>
          </w:tcPr>
          <w:p>
            <w:pPr>
              <w:spacing w:after="40"/>
            </w:pPr>
            <w:r/>
            <w:r>
              <w:rPr>
                <w:sz w:val="19"/>
              </w:rPr>
              <w:t>n/a - all internal</w:t>
            </w:r>
          </w:p>
        </w:tc>
        <w:tc>
          <w:tcPr>
            <w:tcW w:type="dxa" w:w="3744"/>
          </w:tcPr>
          <w:p>
            <w:pPr>
              <w:spacing w:after="40"/>
            </w:pPr>
            <w:r/>
            <w:r>
              <w:rPr>
                <w:sz w:val="19"/>
              </w:rPr>
              <w:t>0</w:t>
            </w:r>
          </w:p>
        </w:tc>
      </w:tr>
      <w:tr>
        <w:tc>
          <w:tcPr>
            <w:tcW w:type="dxa" w:w="2592"/>
          </w:tcPr>
          <w:p>
            <w:pPr>
              <w:spacing w:after="40"/>
            </w:pPr>
            <w:r/>
            <w:r>
              <w:rPr>
                <w:sz w:val="19"/>
              </w:rPr>
              <w:t>Automated tests</w:t>
            </w:r>
          </w:p>
        </w:tc>
        <w:tc>
          <w:tcPr>
            <w:tcW w:type="dxa" w:w="3024"/>
          </w:tcPr>
          <w:p>
            <w:pPr>
              <w:spacing w:after="40"/>
            </w:pPr>
            <w:r/>
            <w:r>
              <w:rPr>
                <w:sz w:val="19"/>
              </w:rPr>
              <w:t>363, with 3 permanently failing</w:t>
            </w:r>
          </w:p>
        </w:tc>
        <w:tc>
          <w:tcPr>
            <w:tcW w:type="dxa" w:w="3744"/>
          </w:tcPr>
          <w:p>
            <w:pPr>
              <w:spacing w:after="40"/>
            </w:pPr>
            <w:r/>
            <w:r>
              <w:rPr>
                <w:sz w:val="19"/>
              </w:rPr>
              <w:t>495, all passing</w:t>
            </w:r>
          </w:p>
        </w:tc>
      </w:tr>
      <w:tr>
        <w:tc>
          <w:tcPr>
            <w:tcW w:type="dxa" w:w="2592"/>
          </w:tcPr>
          <w:p>
            <w:pPr>
              <w:spacing w:after="40"/>
            </w:pPr>
            <w:r/>
            <w:r>
              <w:rPr>
                <w:sz w:val="19"/>
              </w:rPr>
              <w:t>Authority strings</w:t>
            </w:r>
          </w:p>
        </w:tc>
        <w:tc>
          <w:tcPr>
            <w:tcW w:type="dxa" w:w="3024"/>
          </w:tcPr>
          <w:p>
            <w:pPr>
              <w:spacing w:after="40"/>
            </w:pPr>
            <w:r/>
            <w:r>
              <w:rPr>
                <w:sz w:val="19"/>
              </w:rPr>
              <w:t>50 scattered string literals</w:t>
            </w:r>
          </w:p>
        </w:tc>
        <w:tc>
          <w:tcPr>
            <w:tcW w:type="dxa" w:w="3744"/>
          </w:tcPr>
          <w:p>
            <w:pPr>
              <w:spacing w:after="40"/>
            </w:pPr>
            <w:r/>
            <w:r>
              <w:rPr>
                <w:sz w:val="19"/>
              </w:rPr>
              <w:t>0 literals; 54-code generated catalogue</w:t>
            </w:r>
          </w:p>
        </w:tc>
      </w:tr>
      <w:tr>
        <w:tc>
          <w:tcPr>
            <w:tcW w:type="dxa" w:w="2592"/>
          </w:tcPr>
          <w:p>
            <w:pPr>
              <w:spacing w:after="40"/>
            </w:pPr>
            <w:r/>
            <w:r>
              <w:rPr>
                <w:sz w:val="19"/>
              </w:rPr>
              <w:t>Payment callbacks</w:t>
            </w:r>
          </w:p>
        </w:tc>
        <w:tc>
          <w:tcPr>
            <w:tcW w:type="dxa" w:w="3024"/>
          </w:tcPr>
          <w:p>
            <w:pPr>
              <w:spacing w:after="40"/>
            </w:pPr>
            <w:r/>
            <w:r>
              <w:rPr>
                <w:sz w:val="19"/>
              </w:rPr>
              <w:t>unauthenticated, replayable</w:t>
            </w:r>
          </w:p>
        </w:tc>
        <w:tc>
          <w:tcPr>
            <w:tcW w:type="dxa" w:w="3744"/>
          </w:tcPr>
          <w:p>
            <w:pPr>
              <w:spacing w:after="40"/>
            </w:pPr>
            <w:r/>
            <w:r>
              <w:rPr>
                <w:sz w:val="19"/>
              </w:rPr>
              <w:t>nonce-authenticated and idempotent</w:t>
            </w:r>
          </w:p>
        </w:tc>
      </w:tr>
    </w:tbl>
    <w:p>
      <w:pPr>
        <w:spacing w:after="80"/>
      </w:pPr>
    </w:p>
    <w:p>
      <w:pPr>
        <w:spacing w:after="120"/>
      </w:pPr>
      <w:r>
        <w:rPr>
          <w:b w:val="0"/>
          <w:i w:val="0"/>
          <w:sz w:val="21"/>
        </w:rPr>
        <w:t>Beyond the decomposition, the programme fixed thirteen catalogued defects in the payment, order lifecycle and notification paths, each with a recorded ruling and a regression test. Those fixes were made inside the monolith first, so that the extraction carried corrected behaviour across a service boundary rather than carrying defects.</w:t>
      </w:r>
    </w:p>
    <w:p>
      <w:pPr>
        <w:pStyle w:val="Heading2"/>
      </w:pPr>
      <w:r>
        <w:t>1.1  How to read this document</w:t>
      </w:r>
    </w:p>
    <w:p>
      <w:pPr>
        <w:pStyle w:val="ListBullet"/>
        <w:spacing w:after="60"/>
        <w:ind w:left="360"/>
      </w:pPr>
      <w:r>
        <w:rPr>
          <w:sz w:val="21"/>
        </w:rPr>
        <w:t>Sections 2 to 4 describe the architecture and each service as it now stands.</w:t>
      </w:r>
    </w:p>
    <w:p>
      <w:pPr>
        <w:pStyle w:val="ListBullet"/>
        <w:spacing w:after="60"/>
        <w:ind w:left="360"/>
      </w:pPr>
      <w:r>
        <w:rPr>
          <w:sz w:val="21"/>
        </w:rPr>
        <w:t>Sections 5 to 7 cover data ownership, cross-service integration and security.</w:t>
      </w:r>
    </w:p>
    <w:p>
      <w:pPr>
        <w:pStyle w:val="ListBullet"/>
        <w:spacing w:after="60"/>
        <w:ind w:left="360"/>
      </w:pPr>
      <w:r>
        <w:rPr>
          <w:sz w:val="21"/>
        </w:rPr>
        <w:t>Section 8 documents the three behavioural flows that carry the most risk.</w:t>
      </w:r>
    </w:p>
    <w:p>
      <w:pPr>
        <w:pStyle w:val="ListBullet"/>
        <w:spacing w:after="60"/>
        <w:ind w:left="360"/>
      </w:pPr>
      <w:r>
        <w:rPr>
          <w:sz w:val="21"/>
        </w:rPr>
        <w:t>Section 9 is the build, configuration and deployment reference, including the one mandatory operator step.</w:t>
      </w:r>
    </w:p>
    <w:p>
      <w:pPr>
        <w:pStyle w:val="ListBullet"/>
        <w:spacing w:after="60"/>
        <w:ind w:left="360"/>
      </w:pPr>
      <w:r>
        <w:rPr>
          <w:sz w:val="21"/>
        </w:rPr>
        <w:t>Sections 10 and 11 record what changed in observable behaviour and what remains outstanding. Read these before the first production deployment.</w:t>
      </w:r>
    </w:p>
    <w:p>
      <w:pPr>
        <w:pStyle w:val="ListBullet"/>
        <w:spacing w:after="60"/>
        <w:ind w:left="360"/>
      </w:pPr>
      <w:r>
        <w:rPr>
          <w:sz w:val="21"/>
        </w:rPr>
        <w:t>Appendix A is the complete route inventory; Appendix B the environment variable reference.</w:t>
      </w:r>
    </w:p>
    <w:p>
      <w:r>
        <w:br w:type="page"/>
      </w:r>
    </w:p>
    <w:p>
      <w:pPr>
        <w:pStyle w:val="Heading1"/>
      </w:pPr>
      <w:r>
        <w:t>2  System context and scope</w:t>
      </w:r>
    </w:p>
    <w:p>
      <w:pPr>
        <w:spacing w:after="120"/>
      </w:pPr>
      <w:r>
        <w:rPr>
          <w:b w:val="0"/>
          <w:i w:val="0"/>
          <w:sz w:val="21"/>
        </w:rPr>
        <w:t>Trébol is an eCommerce backend. It serves a browser single-page application with a product catalogue, user accounts and role-based permissions, and an order lifecycle that includes anonymous guest checkout through an external payment provider.</w:t>
      </w:r>
    </w:p>
    <w:p>
      <w:pPr>
        <w:spacing w:after="120"/>
      </w:pPr>
      <w:r>
        <w:rPr>
          <w:b w:val="0"/>
          <w:i w:val="0"/>
          <w:sz w:val="21"/>
        </w:rPr>
        <w:t>Two external systems are involved, both outbound only:</w:t>
      </w:r>
    </w:p>
    <w:p>
      <w:pPr>
        <w:pStyle w:val="ListBullet"/>
        <w:spacing w:after="60"/>
        <w:ind w:left="360"/>
      </w:pPr>
      <w:r>
        <w:rPr>
          <w:sz w:val="21"/>
        </w:rPr>
        <w:t>Transbank Webpay Plus - the payment provider. The only third-party call in the critical path. It redirects the customer to a hosted payment page and then calls back to confirm the transaction.</w:t>
      </w:r>
    </w:p>
    <w:p>
      <w:pPr>
        <w:pStyle w:val="ListBullet"/>
        <w:spacing w:after="60"/>
        <w:ind w:left="360"/>
      </w:pPr>
      <w:r>
        <w:rPr>
          <w:sz w:val="21"/>
        </w:rPr>
        <w:t>Mailgun - transactional email. Optional at every call site: with no mailing bean configured the platform sends no mail, raises no error and records no outbox entries.</w:t>
      </w:r>
    </w:p>
    <w:p>
      <w:pPr>
        <w:spacing w:after="120"/>
      </w:pPr>
      <w:r>
        <w:rPr>
          <w:b w:val="0"/>
          <w:i w:val="0"/>
          <w:sz w:val="21"/>
        </w:rPr>
        <w:t>Nothing calls into the platform other than the SPA and the Transbank callback. There is no inbound integration, no message broker and no scheduled work other than the notification dispatcher introduced by this programme.</w:t>
      </w:r>
    </w:p>
    <w:p>
      <w:pPr>
        <w:pStyle w:val="Heading2"/>
      </w:pPr>
      <w:r>
        <w:t>2.1  What this document does not cover</w:t>
      </w:r>
    </w:p>
    <w:p>
      <w:pPr>
        <w:pStyle w:val="ListBullet"/>
        <w:spacing w:after="60"/>
        <w:ind w:left="360"/>
      </w:pPr>
      <w:r>
        <w:rPr>
          <w:sz w:val="21"/>
        </w:rPr>
        <w:t>Infrastructure provisioning, container orchestration and network topology - no such assets exist in the repository.</w:t>
      </w:r>
    </w:p>
    <w:p>
      <w:pPr>
        <w:pStyle w:val="ListBullet"/>
        <w:spacing w:after="60"/>
        <w:ind w:left="360"/>
      </w:pPr>
      <w:r>
        <w:rPr>
          <w:sz w:val="21"/>
        </w:rPr>
        <w:t>The front-end application, which was out of scope throughout.</w:t>
      </w:r>
    </w:p>
    <w:p>
      <w:pPr>
        <w:pStyle w:val="ListBullet"/>
        <w:spacing w:after="60"/>
        <w:ind w:left="360"/>
      </w:pPr>
      <w:r>
        <w:rPr>
          <w:sz w:val="21"/>
        </w:rPr>
        <w:t>Live database migration. Section 11 explains why this is the one remaining irreversible step and why it was deliberately not performed.</w:t>
      </w:r>
    </w:p>
    <w:p>
      <w:pPr>
        <w:pStyle w:val="Heading1"/>
      </w:pPr>
      <w:r>
        <w:t>3  Target architecture</w:t>
      </w:r>
    </w:p>
    <w:p>
      <w:pPr>
        <w:spacing w:after="120"/>
      </w:pPr>
      <w:r>
        <w:rPr>
          <w:b w:val="0"/>
          <w:i w:val="0"/>
          <w:sz w:val="21"/>
        </w:rPr>
        <w:t>Three services, each a Spring Boot executable jar with its own MariaDB schema, plus one dependency-free library jar carrying the contracts they share. Services communicate over HTTP only, and only in one direction: Orders consumes Catalogue and Identity. Neither of those two calls anything.</w:t>
      </w:r>
    </w:p>
    <w:p>
      <w:pPr>
        <w:jc w:val="center"/>
      </w:pPr>
      <w:r>
        <w:drawing>
          <wp:inline xmlns:a="http://schemas.openxmlformats.org/drawingml/2006/main" xmlns:pic="http://schemas.openxmlformats.org/drawingml/2006/picture">
            <wp:extent cx="6035040" cy="3882396"/>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9"/>
                    <a:stretch>
                      <a:fillRect/>
                    </a:stretch>
                  </pic:blipFill>
                  <pic:spPr>
                    <a:xfrm>
                      <a:off x="0" y="0"/>
                      <a:ext cx="6035040" cy="3882396"/>
                    </a:xfrm>
                    <a:prstGeom prst="rect"/>
                  </pic:spPr>
                </pic:pic>
              </a:graphicData>
            </a:graphic>
          </wp:inline>
        </w:drawing>
      </w:r>
    </w:p>
    <w:p>
      <w:pPr>
        <w:spacing w:after="240"/>
        <w:jc w:val="center"/>
      </w:pPr>
      <w:r>
        <w:rPr>
          <w:b w:val="0"/>
          <w:i/>
          <w:color w:val="595959"/>
          <w:sz w:val="18"/>
        </w:rPr>
        <w:t>Figure 1 - Target architecture. Each service owns its schema exclusively; no service reads another's database.</w:t>
      </w:r>
    </w:p>
    <w:p>
      <w:pPr>
        <w:spacing w:after="120"/>
      </w:pPr>
      <w:r>
        <w:rPr>
          <w:b w:val="0"/>
          <w:i w:val="0"/>
          <w:sz w:val="21"/>
        </w:rPr>
        <w:t>The decomposition was chosen over a modular monolith in ADR-003, and executed in four phases: harden the monolith and build the verification gates; extract Catalogue; extract Identity; fix the payment and lifecycle defects, then extract Orders; decommission.</w:t>
      </w:r>
    </w:p>
    <w:p>
      <w:pPr>
        <w:jc w:val="center"/>
      </w:pPr>
      <w:r>
        <w:drawing>
          <wp:inline xmlns:a="http://schemas.openxmlformats.org/drawingml/2006/main" xmlns:pic="http://schemas.openxmlformats.org/drawingml/2006/picture">
            <wp:extent cx="6035040" cy="3068913"/>
            <wp:docPr id="2" name="Picture 2"/>
            <wp:cNvGraphicFramePr>
              <a:graphicFrameLocks noChangeAspect="1"/>
            </wp:cNvGraphicFramePr>
            <a:graphic>
              <a:graphicData uri="http://schemas.openxmlformats.org/drawingml/2006/picture">
                <pic:pic>
                  <pic:nvPicPr>
                    <pic:cNvPr id="0" name="fig02_before_after.png"/>
                    <pic:cNvPicPr/>
                  </pic:nvPicPr>
                  <pic:blipFill>
                    <a:blip r:embed="rId10"/>
                    <a:stretch>
                      <a:fillRect/>
                    </a:stretch>
                  </pic:blipFill>
                  <pic:spPr>
                    <a:xfrm>
                      <a:off x="0" y="0"/>
                      <a:ext cx="6035040" cy="3068913"/>
                    </a:xfrm>
                    <a:prstGeom prst="rect"/>
                  </pic:spPr>
                </pic:pic>
              </a:graphicData>
            </a:graphic>
          </wp:inline>
        </w:drawing>
      </w:r>
    </w:p>
    <w:p>
      <w:pPr>
        <w:spacing w:after="240"/>
        <w:jc w:val="center"/>
      </w:pPr>
      <w:r>
        <w:rPr>
          <w:b w:val="0"/>
          <w:i/>
          <w:color w:val="595959"/>
          <w:sz w:val="18"/>
        </w:rPr>
        <w:t>Figure 2 - The shared 22-table schema and its cross-domain foreign keys were the real coupling. Removing them is what made independent deployment possible.</w:t>
      </w:r>
    </w:p>
    <w:p>
      <w:pPr>
        <w:pStyle w:val="Heading2"/>
      </w:pPr>
      <w:r>
        <w:t>3.1  Boundary principles</w:t>
      </w:r>
    </w:p>
    <w:tbl>
      <w:tblPr>
        <w:tblStyle w:val="LightGrid-Accent1"/>
        <w:tblW w:type="auto" w:w="0"/>
        <w:jc w:val="center"/>
        <w:tblLook w:firstColumn="1" w:firstRow="1" w:lastColumn="0" w:lastRow="0" w:noHBand="0" w:noVBand="1" w:val="04A0"/>
      </w:tblPr>
      <w:tblGrid>
        <w:gridCol w:w="4824"/>
        <w:gridCol w:w="4824"/>
      </w:tblGrid>
      <w:tr>
        <w:tc>
          <w:tcPr>
            <w:tcW w:type="dxa" w:w="3024"/>
          </w:tcPr>
          <w:p>
            <w:r/>
            <w:r>
              <w:rPr>
                <w:b/>
                <w:sz w:val="19"/>
              </w:rPr>
              <w:t>Principle</w:t>
            </w:r>
          </w:p>
        </w:tc>
        <w:tc>
          <w:tcPr>
            <w:tcW w:type="dxa" w:w="6336"/>
          </w:tcPr>
          <w:p>
            <w:r/>
            <w:r>
              <w:rPr>
                <w:b/>
                <w:sz w:val="19"/>
              </w:rPr>
              <w:t>How it is enforced</w:t>
            </w:r>
          </w:p>
        </w:tc>
      </w:tr>
      <w:tr>
        <w:tc>
          <w:tcPr>
            <w:tcW w:type="dxa" w:w="3024"/>
          </w:tcPr>
          <w:p>
            <w:pPr>
              <w:spacing w:after="40"/>
            </w:pPr>
            <w:r/>
            <w:r>
              <w:rPr>
                <w:sz w:val="19"/>
              </w:rPr>
              <w:t>A service owns its tables exclusively</w:t>
            </w:r>
          </w:p>
        </w:tc>
        <w:tc>
          <w:tcPr>
            <w:tcW w:type="dxa" w:w="6336"/>
          </w:tcPr>
          <w:p>
            <w:pPr>
              <w:spacing w:after="40"/>
            </w:pPr>
            <w:r/>
            <w:r>
              <w:rPr>
                <w:sz w:val="19"/>
              </w:rPr>
              <w:t>Each service ships its own schema file. No service holds a repository for another service's table.</w:t>
            </w:r>
          </w:p>
        </w:tc>
      </w:tr>
      <w:tr>
        <w:tc>
          <w:tcPr>
            <w:tcW w:type="dxa" w:w="3024"/>
          </w:tcPr>
          <w:p>
            <w:pPr>
              <w:spacing w:after="40"/>
            </w:pPr>
            <w:r/>
            <w:r>
              <w:rPr>
                <w:sz w:val="19"/>
              </w:rPr>
              <w:t>No cross-domain repository access</w:t>
            </w:r>
          </w:p>
        </w:tc>
        <w:tc>
          <w:tcPr>
            <w:tcW w:type="dxa" w:w="6336"/>
          </w:tcPr>
          <w:p>
            <w:pPr>
              <w:spacing w:after="40"/>
            </w:pPr>
            <w:r/>
            <w:r>
              <w:rPr>
                <w:sz w:val="19"/>
              </w:rPr>
              <w:t>Architecture test fails the build on any repository import outside the owning domain.</w:t>
            </w:r>
          </w:p>
        </w:tc>
      </w:tr>
      <w:tr>
        <w:tc>
          <w:tcPr>
            <w:tcW w:type="dxa" w:w="3024"/>
          </w:tcPr>
          <w:p>
            <w:pPr>
              <w:spacing w:after="40"/>
            </w:pPr>
            <w:r/>
            <w:r>
              <w:rPr>
                <w:sz w:val="19"/>
              </w:rPr>
              <w:t>No cross-service entity sharing</w:t>
            </w:r>
          </w:p>
        </w:tc>
        <w:tc>
          <w:tcPr>
            <w:tcW w:type="dxa" w:w="6336"/>
          </w:tcPr>
          <w:p>
            <w:pPr>
              <w:spacing w:after="40"/>
            </w:pPr>
            <w:r/>
            <w:r>
              <w:rPr>
                <w:sz w:val="19"/>
              </w:rPr>
              <w:t>Architecture test allow-lists the nine entities Orders owns and fails on any other JPA entity import. This closed a leak that a repository-level check could not see.</w:t>
            </w:r>
          </w:p>
        </w:tc>
      </w:tr>
      <w:tr>
        <w:tc>
          <w:tcPr>
            <w:tcW w:type="dxa" w:w="3024"/>
          </w:tcPr>
          <w:p>
            <w:pPr>
              <w:spacing w:after="40"/>
            </w:pPr>
            <w:r/>
            <w:r>
              <w:rPr>
                <w:sz w:val="19"/>
              </w:rPr>
              <w:t>Cross-service data moves as transport models</w:t>
            </w:r>
          </w:p>
        </w:tc>
        <w:tc>
          <w:tcPr>
            <w:tcW w:type="dxa" w:w="6336"/>
          </w:tcPr>
          <w:p>
            <w:pPr>
              <w:spacing w:after="40"/>
            </w:pPr>
            <w:r/>
            <w:r>
              <w:rPr>
                <w:sz w:val="19"/>
              </w:rPr>
              <w:t>Contracts exchange business keys and small records, never JPA entities.</w:t>
            </w:r>
          </w:p>
        </w:tc>
      </w:tr>
      <w:tr>
        <w:tc>
          <w:tcPr>
            <w:tcW w:type="dxa" w:w="3024"/>
          </w:tcPr>
          <w:p>
            <w:pPr>
              <w:spacing w:after="40"/>
            </w:pPr>
            <w:r/>
            <w:r>
              <w:rPr>
                <w:sz w:val="19"/>
              </w:rPr>
              <w:t>Authorisation is data, not code</w:t>
            </w:r>
          </w:p>
        </w:tc>
        <w:tc>
          <w:tcPr>
            <w:tcW w:type="dxa" w:w="6336"/>
          </w:tcPr>
          <w:p>
            <w:pPr>
              <w:spacing w:after="40"/>
            </w:pPr>
            <w:r/>
            <w:r>
              <w:rPr>
                <w:sz w:val="19"/>
              </w:rPr>
              <w:t>54 authority codes generated from seed data into a versioned artefact; zero string literals in any service.</w:t>
            </w:r>
          </w:p>
        </w:tc>
      </w:tr>
    </w:tbl>
    <w:p>
      <w:pPr>
        <w:spacing w:after="80"/>
      </w:pPr>
    </w:p>
    <w:p>
      <w:pPr>
        <w:spacing w:after="120"/>
      </w:pPr>
      <w:r>
        <w:rPr>
          <w:b w:val="0"/>
          <w:i/>
          <w:color w:val="595959"/>
          <w:sz w:val="19"/>
        </w:rPr>
        <w:t>Each of those principles is asserted by an automated test rather than documented as an intention. That distinction matters: three of them were originally stated as greps, and in two cases the grep passed while the coupling it was meant to prevent was present.</w:t>
      </w:r>
    </w:p>
    <w:p>
      <w:r>
        <w:br w:type="page"/>
      </w:r>
    </w:p>
    <w:p>
      <w:pPr>
        <w:pStyle w:val="Heading1"/>
      </w:pPr>
      <w:r>
        <w:t>4  Service reference</w:t>
      </w:r>
    </w:p>
    <w:p>
      <w:pPr>
        <w:pStyle w:val="Heading2"/>
      </w:pPr>
      <w:r>
        <w:t>4.1  Catalogue Service</w:t>
      </w:r>
    </w:p>
    <w:tbl>
      <w:tblPr>
        <w:tblStyle w:val="LightGrid-Accent1"/>
        <w:tblW w:type="auto" w:w="0"/>
        <w:jc w:val="center"/>
        <w:tblLook w:firstColumn="1" w:firstRow="1" w:lastColumn="0" w:lastRow="0" w:noHBand="0" w:noVBand="1" w:val="04A0"/>
      </w:tblPr>
      <w:tblGrid>
        <w:gridCol w:w="4824"/>
        <w:gridCol w:w="4824"/>
      </w:tblGrid>
      <w:tr>
        <w:tc>
          <w:tcPr>
            <w:tcW w:type="dxa" w:w="2160"/>
          </w:tcPr>
          <w:p>
            <w:r/>
            <w:r>
              <w:rPr>
                <w:b/>
                <w:sz w:val="18"/>
              </w:rPr>
              <w:t>Attribute</w:t>
            </w:r>
          </w:p>
        </w:tc>
        <w:tc>
          <w:tcPr>
            <w:tcW w:type="dxa" w:w="7056"/>
          </w:tcPr>
          <w:p>
            <w:r/>
            <w:r>
              <w:rPr>
                <w:b/>
                <w:sz w:val="18"/>
              </w:rPr>
              <w:t>Value</w:t>
            </w:r>
          </w:p>
        </w:tc>
      </w:tr>
      <w:tr>
        <w:tc>
          <w:tcPr>
            <w:tcW w:type="dxa" w:w="2160"/>
          </w:tcPr>
          <w:p>
            <w:pPr>
              <w:spacing w:after="40"/>
            </w:pPr>
            <w:r/>
            <w:r>
              <w:rPr>
                <w:sz w:val="18"/>
              </w:rPr>
              <w:t>Module</w:t>
            </w:r>
          </w:p>
        </w:tc>
        <w:tc>
          <w:tcPr>
            <w:tcW w:type="dxa" w:w="7056"/>
          </w:tcPr>
          <w:p>
            <w:pPr>
              <w:spacing w:after="40"/>
            </w:pPr>
            <w:r/>
            <w:r>
              <w:rPr>
                <w:sz w:val="18"/>
              </w:rPr>
              <w:t>trebol-services/catalogue-service</w:t>
            </w:r>
          </w:p>
        </w:tc>
      </w:tr>
      <w:tr>
        <w:tc>
          <w:tcPr>
            <w:tcW w:type="dxa" w:w="2160"/>
          </w:tcPr>
          <w:p>
            <w:pPr>
              <w:spacing w:after="40"/>
            </w:pPr>
            <w:r/>
            <w:r>
              <w:rPr>
                <w:sz w:val="18"/>
              </w:rPr>
              <w:t>Default port</w:t>
            </w:r>
          </w:p>
        </w:tc>
        <w:tc>
          <w:tcPr>
            <w:tcW w:type="dxa" w:w="7056"/>
          </w:tcPr>
          <w:p>
            <w:pPr>
              <w:spacing w:after="40"/>
            </w:pPr>
            <w:r/>
            <w:r>
              <w:rPr>
                <w:sz w:val="18"/>
              </w:rPr>
              <w:t>8081  (overridable)</w:t>
            </w:r>
          </w:p>
        </w:tc>
      </w:tr>
      <w:tr>
        <w:tc>
          <w:tcPr>
            <w:tcW w:type="dxa" w:w="2160"/>
          </w:tcPr>
          <w:p>
            <w:pPr>
              <w:spacing w:after="40"/>
            </w:pPr>
            <w:r/>
            <w:r>
              <w:rPr>
                <w:sz w:val="18"/>
              </w:rPr>
              <w:t>Responsibility</w:t>
            </w:r>
          </w:p>
        </w:tc>
        <w:tc>
          <w:tcPr>
            <w:tcW w:type="dxa" w:w="7056"/>
          </w:tcPr>
          <w:p>
            <w:pPr>
              <w:spacing w:after="40"/>
            </w:pPr>
            <w:r/>
            <w:r>
              <w:rPr>
                <w:sz w:val="18"/>
              </w:rPr>
              <w:t>Products, categories, product lists, images and the public company profile.</w:t>
            </w:r>
          </w:p>
        </w:tc>
      </w:tr>
      <w:tr>
        <w:tc>
          <w:tcPr>
            <w:tcW w:type="dxa" w:w="2160"/>
          </w:tcPr>
          <w:p>
            <w:pPr>
              <w:spacing w:after="40"/>
            </w:pPr>
            <w:r/>
            <w:r>
              <w:rPr>
                <w:sz w:val="18"/>
              </w:rPr>
              <w:t>HTTP routes</w:t>
            </w:r>
          </w:p>
        </w:tc>
        <w:tc>
          <w:tcPr>
            <w:tcW w:type="dxa" w:w="7056"/>
          </w:tcPr>
          <w:p>
            <w:pPr>
              <w:spacing w:after="40"/>
            </w:pPr>
            <w:r/>
            <w:r>
              <w:rPr>
                <w:sz w:val="18"/>
              </w:rPr>
              <w:t>26</w:t>
            </w:r>
          </w:p>
        </w:tc>
      </w:tr>
      <w:tr>
        <w:tc>
          <w:tcPr>
            <w:tcW w:type="dxa" w:w="2160"/>
          </w:tcPr>
          <w:p>
            <w:pPr>
              <w:spacing w:after="40"/>
            </w:pPr>
            <w:r/>
            <w:r>
              <w:rPr>
                <w:sz w:val="18"/>
              </w:rPr>
              <w:t>Tables owned</w:t>
            </w:r>
          </w:p>
        </w:tc>
        <w:tc>
          <w:tcPr>
            <w:tcW w:type="dxa" w:w="7056"/>
          </w:tcPr>
          <w:p>
            <w:pPr>
              <w:spacing w:after="40"/>
            </w:pPr>
            <w:r/>
            <w:r>
              <w:rPr>
                <w:sz w:val="18"/>
              </w:rPr>
              <w:t>7  -  app_params, images, product_lists, product_categories, products, product_images, product_list_items</w:t>
            </w:r>
          </w:p>
        </w:tc>
      </w:tr>
      <w:tr>
        <w:tc>
          <w:tcPr>
            <w:tcW w:type="dxa" w:w="2160"/>
          </w:tcPr>
          <w:p>
            <w:pPr>
              <w:spacing w:after="40"/>
            </w:pPr>
            <w:r/>
            <w:r>
              <w:rPr>
                <w:sz w:val="18"/>
              </w:rPr>
              <w:t>Main sources</w:t>
            </w:r>
          </w:p>
        </w:tc>
        <w:tc>
          <w:tcPr>
            <w:tcW w:type="dxa" w:w="7056"/>
          </w:tcPr>
          <w:p>
            <w:pPr>
              <w:spacing w:after="40"/>
            </w:pPr>
            <w:r/>
            <w:r>
              <w:rPr>
                <w:sz w:val="18"/>
              </w:rPr>
              <w:t>105</w:t>
            </w:r>
          </w:p>
        </w:tc>
      </w:tr>
      <w:tr>
        <w:tc>
          <w:tcPr>
            <w:tcW w:type="dxa" w:w="2160"/>
          </w:tcPr>
          <w:p>
            <w:pPr>
              <w:spacing w:after="40"/>
            </w:pPr>
            <w:r/>
            <w:r>
              <w:rPr>
                <w:sz w:val="18"/>
              </w:rPr>
              <w:t>Test classes</w:t>
            </w:r>
          </w:p>
        </w:tc>
        <w:tc>
          <w:tcPr>
            <w:tcW w:type="dxa" w:w="7056"/>
          </w:tcPr>
          <w:p>
            <w:pPr>
              <w:spacing w:after="40"/>
            </w:pPr>
            <w:r/>
            <w:r>
              <w:rPr>
                <w:sz w:val="18"/>
              </w:rPr>
              <w:t>36</w:t>
            </w:r>
          </w:p>
        </w:tc>
      </w:tr>
      <w:tr>
        <w:tc>
          <w:tcPr>
            <w:tcW w:type="dxa" w:w="2160"/>
          </w:tcPr>
          <w:p>
            <w:pPr>
              <w:spacing w:after="40"/>
            </w:pPr>
            <w:r/>
            <w:r>
              <w:rPr>
                <w:sz w:val="18"/>
              </w:rPr>
              <w:t>Security posture</w:t>
            </w:r>
          </w:p>
        </w:tc>
        <w:tc>
          <w:tcPr>
            <w:tcW w:type="dxa" w:w="7056"/>
          </w:tcPr>
          <w:p>
            <w:pPr>
              <w:spacing w:after="40"/>
            </w:pPr>
            <w:r/>
            <w:r>
              <w:rPr>
                <w:sz w:val="18"/>
              </w:rPr>
              <w:t>Verify-only. No login route, no token issuing, no password store. Most reads are anonymous; image routes require authentication.</w:t>
            </w:r>
          </w:p>
        </w:tc>
      </w:tr>
      <w:tr>
        <w:tc>
          <w:tcPr>
            <w:tcW w:type="dxa" w:w="2160"/>
          </w:tcPr>
          <w:p>
            <w:pPr>
              <w:spacing w:after="40"/>
            </w:pPr>
            <w:r/>
            <w:r>
              <w:rPr>
                <w:sz w:val="18"/>
              </w:rPr>
              <w:t>Outbound dependencies</w:t>
            </w:r>
          </w:p>
        </w:tc>
        <w:tc>
          <w:tcPr>
            <w:tcW w:type="dxa" w:w="7056"/>
          </w:tcPr>
          <w:p>
            <w:pPr>
              <w:spacing w:after="40"/>
            </w:pPr>
            <w:r/>
            <w:r>
              <w:rPr>
                <w:sz w:val="18"/>
              </w:rPr>
              <w:t>None. It calls no other service.</w:t>
            </w:r>
          </w:p>
        </w:tc>
      </w:tr>
    </w:tbl>
    <w:p>
      <w:pPr>
        <w:spacing w:after="80"/>
      </w:pPr>
    </w:p>
    <w:p>
      <w:pPr>
        <w:pStyle w:val="Heading2"/>
      </w:pPr>
      <w:r>
        <w:t>4.2  Identity Service</w:t>
      </w:r>
    </w:p>
    <w:tbl>
      <w:tblPr>
        <w:tblStyle w:val="LightGrid-Accent1"/>
        <w:tblW w:type="auto" w:w="0"/>
        <w:jc w:val="center"/>
        <w:tblLook w:firstColumn="1" w:firstRow="1" w:lastColumn="0" w:lastRow="0" w:noHBand="0" w:noVBand="1" w:val="04A0"/>
      </w:tblPr>
      <w:tblGrid>
        <w:gridCol w:w="4824"/>
        <w:gridCol w:w="4824"/>
      </w:tblGrid>
      <w:tr>
        <w:tc>
          <w:tcPr>
            <w:tcW w:type="dxa" w:w="2160"/>
          </w:tcPr>
          <w:p>
            <w:r/>
            <w:r>
              <w:rPr>
                <w:b/>
                <w:sz w:val="18"/>
              </w:rPr>
              <w:t>Attribute</w:t>
            </w:r>
          </w:p>
        </w:tc>
        <w:tc>
          <w:tcPr>
            <w:tcW w:type="dxa" w:w="7056"/>
          </w:tcPr>
          <w:p>
            <w:r/>
            <w:r>
              <w:rPr>
                <w:b/>
                <w:sz w:val="18"/>
              </w:rPr>
              <w:t>Value</w:t>
            </w:r>
          </w:p>
        </w:tc>
      </w:tr>
      <w:tr>
        <w:tc>
          <w:tcPr>
            <w:tcW w:type="dxa" w:w="2160"/>
          </w:tcPr>
          <w:p>
            <w:pPr>
              <w:spacing w:after="40"/>
            </w:pPr>
            <w:r/>
            <w:r>
              <w:rPr>
                <w:sz w:val="18"/>
              </w:rPr>
              <w:t>Module</w:t>
            </w:r>
          </w:p>
        </w:tc>
        <w:tc>
          <w:tcPr>
            <w:tcW w:type="dxa" w:w="7056"/>
          </w:tcPr>
          <w:p>
            <w:pPr>
              <w:spacing w:after="40"/>
            </w:pPr>
            <w:r/>
            <w:r>
              <w:rPr>
                <w:sz w:val="18"/>
              </w:rPr>
              <w:t>trebol-services/identity-service</w:t>
            </w:r>
          </w:p>
        </w:tc>
      </w:tr>
      <w:tr>
        <w:tc>
          <w:tcPr>
            <w:tcW w:type="dxa" w:w="2160"/>
          </w:tcPr>
          <w:p>
            <w:pPr>
              <w:spacing w:after="40"/>
            </w:pPr>
            <w:r/>
            <w:r>
              <w:rPr>
                <w:sz w:val="18"/>
              </w:rPr>
              <w:t>Default port</w:t>
            </w:r>
          </w:p>
        </w:tc>
        <w:tc>
          <w:tcPr>
            <w:tcW w:type="dxa" w:w="7056"/>
          </w:tcPr>
          <w:p>
            <w:pPr>
              <w:spacing w:after="40"/>
            </w:pPr>
            <w:r/>
            <w:r>
              <w:rPr>
                <w:sz w:val="18"/>
              </w:rPr>
              <w:t>8082  (overridable)</w:t>
            </w:r>
          </w:p>
        </w:tc>
      </w:tr>
      <w:tr>
        <w:tc>
          <w:tcPr>
            <w:tcW w:type="dxa" w:w="2160"/>
          </w:tcPr>
          <w:p>
            <w:pPr>
              <w:spacing w:after="40"/>
            </w:pPr>
            <w:r/>
            <w:r>
              <w:rPr>
                <w:sz w:val="18"/>
              </w:rPr>
              <w:t>Responsibility</w:t>
            </w:r>
          </w:p>
        </w:tc>
        <w:tc>
          <w:tcPr>
            <w:tcW w:type="dxa" w:w="7056"/>
          </w:tcPr>
          <w:p>
            <w:pPr>
              <w:spacing w:after="40"/>
            </w:pPr>
            <w:r/>
            <w:r>
              <w:rPr>
                <w:sz w:val="18"/>
              </w:rPr>
              <w:t>People, user accounts, roles, the 54 authority grants, customers and salespeople.</w:t>
            </w:r>
          </w:p>
        </w:tc>
      </w:tr>
      <w:tr>
        <w:tc>
          <w:tcPr>
            <w:tcW w:type="dxa" w:w="2160"/>
          </w:tcPr>
          <w:p>
            <w:pPr>
              <w:spacing w:after="40"/>
            </w:pPr>
            <w:r/>
            <w:r>
              <w:rPr>
                <w:sz w:val="18"/>
              </w:rPr>
              <w:t>HTTP routes</w:t>
            </w:r>
          </w:p>
        </w:tc>
        <w:tc>
          <w:tcPr>
            <w:tcW w:type="dxa" w:w="7056"/>
          </w:tcPr>
          <w:p>
            <w:pPr>
              <w:spacing w:after="40"/>
            </w:pPr>
            <w:r/>
            <w:r>
              <w:rPr>
                <w:sz w:val="18"/>
              </w:rPr>
              <w:t>23</w:t>
            </w:r>
          </w:p>
        </w:tc>
      </w:tr>
      <w:tr>
        <w:tc>
          <w:tcPr>
            <w:tcW w:type="dxa" w:w="2160"/>
          </w:tcPr>
          <w:p>
            <w:pPr>
              <w:spacing w:after="40"/>
            </w:pPr>
            <w:r/>
            <w:r>
              <w:rPr>
                <w:sz w:val="18"/>
              </w:rPr>
              <w:t>Tables owned</w:t>
            </w:r>
          </w:p>
        </w:tc>
        <w:tc>
          <w:tcPr>
            <w:tcW w:type="dxa" w:w="7056"/>
          </w:tcPr>
          <w:p>
            <w:pPr>
              <w:spacing w:after="40"/>
            </w:pPr>
            <w:r/>
            <w:r>
              <w:rPr>
                <w:sz w:val="18"/>
              </w:rPr>
              <w:t>7  -  people, app_user_roles, app_permissions, app_users, app_user_role_permissions, customers, salespeople</w:t>
            </w:r>
          </w:p>
        </w:tc>
      </w:tr>
      <w:tr>
        <w:tc>
          <w:tcPr>
            <w:tcW w:type="dxa" w:w="2160"/>
          </w:tcPr>
          <w:p>
            <w:pPr>
              <w:spacing w:after="40"/>
            </w:pPr>
            <w:r/>
            <w:r>
              <w:rPr>
                <w:sz w:val="18"/>
              </w:rPr>
              <w:t>Main sources</w:t>
            </w:r>
          </w:p>
        </w:tc>
        <w:tc>
          <w:tcPr>
            <w:tcW w:type="dxa" w:w="7056"/>
          </w:tcPr>
          <w:p>
            <w:pPr>
              <w:spacing w:after="40"/>
            </w:pPr>
            <w:r/>
            <w:r>
              <w:rPr>
                <w:sz w:val="18"/>
              </w:rPr>
              <w:t>132</w:t>
            </w:r>
          </w:p>
        </w:tc>
      </w:tr>
      <w:tr>
        <w:tc>
          <w:tcPr>
            <w:tcW w:type="dxa" w:w="2160"/>
          </w:tcPr>
          <w:p>
            <w:pPr>
              <w:spacing w:after="40"/>
            </w:pPr>
            <w:r/>
            <w:r>
              <w:rPr>
                <w:sz w:val="18"/>
              </w:rPr>
              <w:t>Test classes</w:t>
            </w:r>
          </w:p>
        </w:tc>
        <w:tc>
          <w:tcPr>
            <w:tcW w:type="dxa" w:w="7056"/>
          </w:tcPr>
          <w:p>
            <w:pPr>
              <w:spacing w:after="40"/>
            </w:pPr>
            <w:r/>
            <w:r>
              <w:rPr>
                <w:sz w:val="18"/>
              </w:rPr>
              <w:t>56</w:t>
            </w:r>
          </w:p>
        </w:tc>
      </w:tr>
      <w:tr>
        <w:tc>
          <w:tcPr>
            <w:tcW w:type="dxa" w:w="2160"/>
          </w:tcPr>
          <w:p>
            <w:pPr>
              <w:spacing w:after="40"/>
            </w:pPr>
            <w:r/>
            <w:r>
              <w:rPr>
                <w:sz w:val="18"/>
              </w:rPr>
              <w:t>Security posture</w:t>
            </w:r>
          </w:p>
        </w:tc>
        <w:tc>
          <w:tcPr>
            <w:tcW w:type="dxa" w:w="7056"/>
          </w:tcPr>
          <w:p>
            <w:pPr>
              <w:spacing w:after="40"/>
            </w:pPr>
            <w:r/>
            <w:r>
              <w:rPr>
                <w:sz w:val="18"/>
              </w:rPr>
              <w:t>The sole token issuer. Holds the password store, the authentication manager and the bcrypt encoder. Also issues guest tokens.</w:t>
            </w:r>
          </w:p>
        </w:tc>
      </w:tr>
      <w:tr>
        <w:tc>
          <w:tcPr>
            <w:tcW w:type="dxa" w:w="2160"/>
          </w:tcPr>
          <w:p>
            <w:pPr>
              <w:spacing w:after="40"/>
            </w:pPr>
            <w:r/>
            <w:r>
              <w:rPr>
                <w:sz w:val="18"/>
              </w:rPr>
              <w:t>Outbound dependencies</w:t>
            </w:r>
          </w:p>
        </w:tc>
        <w:tc>
          <w:tcPr>
            <w:tcW w:type="dxa" w:w="7056"/>
          </w:tcPr>
          <w:p>
            <w:pPr>
              <w:spacing w:after="40"/>
            </w:pPr>
            <w:r/>
            <w:r>
              <w:rPr>
                <w:sz w:val="18"/>
              </w:rPr>
              <w:t>None. It calls no other service.</w:t>
            </w:r>
          </w:p>
        </w:tc>
      </w:tr>
    </w:tbl>
    <w:p>
      <w:pPr>
        <w:spacing w:after="80"/>
      </w:pPr>
    </w:p>
    <w:p>
      <w:pPr>
        <w:pStyle w:val="Heading2"/>
      </w:pPr>
      <w:r>
        <w:t>4.3  Orders Service</w:t>
      </w:r>
    </w:p>
    <w:tbl>
      <w:tblPr>
        <w:tblStyle w:val="LightGrid-Accent1"/>
        <w:tblW w:type="auto" w:w="0"/>
        <w:jc w:val="center"/>
        <w:tblLook w:firstColumn="1" w:firstRow="1" w:lastColumn="0" w:lastRow="0" w:noHBand="0" w:noVBand="1" w:val="04A0"/>
      </w:tblPr>
      <w:tblGrid>
        <w:gridCol w:w="4824"/>
        <w:gridCol w:w="4824"/>
      </w:tblGrid>
      <w:tr>
        <w:tc>
          <w:tcPr>
            <w:tcW w:type="dxa" w:w="2160"/>
          </w:tcPr>
          <w:p>
            <w:r/>
            <w:r>
              <w:rPr>
                <w:b/>
                <w:sz w:val="18"/>
              </w:rPr>
              <w:t>Attribute</w:t>
            </w:r>
          </w:p>
        </w:tc>
        <w:tc>
          <w:tcPr>
            <w:tcW w:type="dxa" w:w="7056"/>
          </w:tcPr>
          <w:p>
            <w:r/>
            <w:r>
              <w:rPr>
                <w:b/>
                <w:sz w:val="18"/>
              </w:rPr>
              <w:t>Value</w:t>
            </w:r>
          </w:p>
        </w:tc>
      </w:tr>
      <w:tr>
        <w:tc>
          <w:tcPr>
            <w:tcW w:type="dxa" w:w="2160"/>
          </w:tcPr>
          <w:p>
            <w:pPr>
              <w:spacing w:after="40"/>
            </w:pPr>
            <w:r/>
            <w:r>
              <w:rPr>
                <w:sz w:val="18"/>
              </w:rPr>
              <w:t>Module</w:t>
            </w:r>
          </w:p>
        </w:tc>
        <w:tc>
          <w:tcPr>
            <w:tcW w:type="dxa" w:w="7056"/>
          </w:tcPr>
          <w:p>
            <w:pPr>
              <w:spacing w:after="40"/>
            </w:pPr>
            <w:r/>
            <w:r>
              <w:rPr>
                <w:sz w:val="18"/>
              </w:rPr>
              <w:t>trebol-services/orders-service</w:t>
            </w:r>
          </w:p>
        </w:tc>
      </w:tr>
      <w:tr>
        <w:tc>
          <w:tcPr>
            <w:tcW w:type="dxa" w:w="2160"/>
          </w:tcPr>
          <w:p>
            <w:pPr>
              <w:spacing w:after="40"/>
            </w:pPr>
            <w:r/>
            <w:r>
              <w:rPr>
                <w:sz w:val="18"/>
              </w:rPr>
              <w:t>Default port</w:t>
            </w:r>
          </w:p>
        </w:tc>
        <w:tc>
          <w:tcPr>
            <w:tcW w:type="dxa" w:w="7056"/>
          </w:tcPr>
          <w:p>
            <w:pPr>
              <w:spacing w:after="40"/>
            </w:pPr>
            <w:r/>
            <w:r>
              <w:rPr>
                <w:sz w:val="18"/>
              </w:rPr>
              <w:t>8083  (overridable)</w:t>
            </w:r>
          </w:p>
        </w:tc>
      </w:tr>
      <w:tr>
        <w:tc>
          <w:tcPr>
            <w:tcW w:type="dxa" w:w="2160"/>
          </w:tcPr>
          <w:p>
            <w:pPr>
              <w:spacing w:after="40"/>
            </w:pPr>
            <w:r/>
            <w:r>
              <w:rPr>
                <w:sz w:val="18"/>
              </w:rPr>
              <w:t>Responsibility</w:t>
            </w:r>
          </w:p>
        </w:tc>
        <w:tc>
          <w:tcPr>
            <w:tcW w:type="dxa" w:w="7056"/>
          </w:tcPr>
          <w:p>
            <w:pPr>
              <w:spacing w:after="40"/>
            </w:pPr>
            <w:r/>
            <w:r>
              <w:rPr>
                <w:sz w:val="18"/>
              </w:rPr>
              <w:t>Orders and lines, the order status lifecycle, checkout, the Webpay Plus adapter, the notification outbox, the public receipt, and the billing and shipper domains.</w:t>
            </w:r>
          </w:p>
        </w:tc>
      </w:tr>
      <w:tr>
        <w:tc>
          <w:tcPr>
            <w:tcW w:type="dxa" w:w="2160"/>
          </w:tcPr>
          <w:p>
            <w:pPr>
              <w:spacing w:after="40"/>
            </w:pPr>
            <w:r/>
            <w:r>
              <w:rPr>
                <w:sz w:val="18"/>
              </w:rPr>
              <w:t>HTTP routes</w:t>
            </w:r>
          </w:p>
        </w:tc>
        <w:tc>
          <w:tcPr>
            <w:tcW w:type="dxa" w:w="7056"/>
          </w:tcPr>
          <w:p>
            <w:pPr>
              <w:spacing w:after="40"/>
            </w:pPr>
            <w:r/>
            <w:r>
              <w:rPr>
                <w:sz w:val="18"/>
              </w:rPr>
              <w:t>20</w:t>
            </w:r>
          </w:p>
        </w:tc>
      </w:tr>
      <w:tr>
        <w:tc>
          <w:tcPr>
            <w:tcW w:type="dxa" w:w="2160"/>
          </w:tcPr>
          <w:p>
            <w:pPr>
              <w:spacing w:after="40"/>
            </w:pPr>
            <w:r/>
            <w:r>
              <w:rPr>
                <w:sz w:val="18"/>
              </w:rPr>
              <w:t>Tables owned</w:t>
            </w:r>
          </w:p>
        </w:tc>
        <w:tc>
          <w:tcPr>
            <w:tcW w:type="dxa" w:w="7056"/>
          </w:tcPr>
          <w:p>
            <w:pPr>
              <w:spacing w:after="40"/>
            </w:pPr>
            <w:r/>
            <w:r>
              <w:rPr>
                <w:sz w:val="18"/>
              </w:rPr>
              <w:t>9  -  addresses, billing_companies, billing_types, payment_types, order_statuses, shippers, order_mail_outbox, orders, order_details</w:t>
            </w:r>
          </w:p>
        </w:tc>
      </w:tr>
      <w:tr>
        <w:tc>
          <w:tcPr>
            <w:tcW w:type="dxa" w:w="2160"/>
          </w:tcPr>
          <w:p>
            <w:pPr>
              <w:spacing w:after="40"/>
            </w:pPr>
            <w:r/>
            <w:r>
              <w:rPr>
                <w:sz w:val="18"/>
              </w:rPr>
              <w:t>Main sources</w:t>
            </w:r>
          </w:p>
        </w:tc>
        <w:tc>
          <w:tcPr>
            <w:tcW w:type="dxa" w:w="7056"/>
          </w:tcPr>
          <w:p>
            <w:pPr>
              <w:spacing w:after="40"/>
            </w:pPr>
            <w:r/>
            <w:r>
              <w:rPr>
                <w:sz w:val="18"/>
              </w:rPr>
              <w:t>159</w:t>
            </w:r>
          </w:p>
        </w:tc>
      </w:tr>
      <w:tr>
        <w:tc>
          <w:tcPr>
            <w:tcW w:type="dxa" w:w="2160"/>
          </w:tcPr>
          <w:p>
            <w:pPr>
              <w:spacing w:after="40"/>
            </w:pPr>
            <w:r/>
            <w:r>
              <w:rPr>
                <w:sz w:val="18"/>
              </w:rPr>
              <w:t>Test classes</w:t>
            </w:r>
          </w:p>
        </w:tc>
        <w:tc>
          <w:tcPr>
            <w:tcW w:type="dxa" w:w="7056"/>
          </w:tcPr>
          <w:p>
            <w:pPr>
              <w:spacing w:after="40"/>
            </w:pPr>
            <w:r/>
            <w:r>
              <w:rPr>
                <w:sz w:val="18"/>
              </w:rPr>
              <w:t>55</w:t>
            </w:r>
          </w:p>
        </w:tc>
      </w:tr>
      <w:tr>
        <w:tc>
          <w:tcPr>
            <w:tcW w:type="dxa" w:w="2160"/>
          </w:tcPr>
          <w:p>
            <w:pPr>
              <w:spacing w:after="40"/>
            </w:pPr>
            <w:r/>
            <w:r>
              <w:rPr>
                <w:sz w:val="18"/>
              </w:rPr>
              <w:t>Security posture</w:t>
            </w:r>
          </w:p>
        </w:tc>
        <w:tc>
          <w:tcPr>
            <w:tcW w:type="dxa" w:w="7056"/>
          </w:tcPr>
          <w:p>
            <w:pPr>
              <w:spacing w:after="40"/>
            </w:pPr>
            <w:r/>
            <w:r>
              <w:rPr>
                <w:sz w:val="18"/>
              </w:rPr>
              <w:t>Verify-only. Carries the only two anonymous write paths in the platform: guest checkout and the payment callback.</w:t>
            </w:r>
          </w:p>
        </w:tc>
      </w:tr>
      <w:tr>
        <w:tc>
          <w:tcPr>
            <w:tcW w:type="dxa" w:w="2160"/>
          </w:tcPr>
          <w:p>
            <w:pPr>
              <w:spacing w:after="40"/>
            </w:pPr>
            <w:r/>
            <w:r>
              <w:rPr>
                <w:sz w:val="18"/>
              </w:rPr>
              <w:t>Outbound dependencies</w:t>
            </w:r>
          </w:p>
        </w:tc>
        <w:tc>
          <w:tcPr>
            <w:tcW w:type="dxa" w:w="7056"/>
          </w:tcPr>
          <w:p>
            <w:pPr>
              <w:spacing w:after="40"/>
            </w:pPr>
            <w:r/>
            <w:r>
              <w:rPr>
                <w:sz w:val="18"/>
              </w:rPr>
              <w:t>Catalogue (product lookup) and Identity (customer provisioning, salesperson lookup).</w:t>
            </w:r>
          </w:p>
        </w:tc>
      </w:tr>
    </w:tbl>
    <w:p>
      <w:pPr>
        <w:spacing w:after="80"/>
      </w:pPr>
    </w:p>
    <w:p>
      <w:pPr>
        <w:spacing w:after="120"/>
      </w:pPr>
      <w:r>
        <w:rPr>
          <w:b w:val="0"/>
          <w:i/>
          <w:color w:val="595959"/>
          <w:sz w:val="19"/>
        </w:rPr>
        <w:t>Route counts sum to 69 while the platform serves 67 distinct routes. The difference is the health check GET /, which is deliberately served by all three services - each independently deployable unit needs its own liveness endpoint. It is the only route served by more than one service.</w:t>
      </w:r>
    </w:p>
    <w:p>
      <w:r>
        <w:br w:type="page"/>
      </w:r>
    </w:p>
    <w:p>
      <w:pPr>
        <w:pStyle w:val="Heading1"/>
      </w:pPr>
      <w:r>
        <w:t>5  Data architecture</w:t>
      </w:r>
    </w:p>
    <w:p>
      <w:pPr>
        <w:spacing w:after="120"/>
      </w:pPr>
      <w:r>
        <w:rPr>
          <w:b w:val="0"/>
          <w:i w:val="0"/>
          <w:sz w:val="21"/>
        </w:rPr>
        <w:t>Twenty-three tables, each owned by exactly one service. Twenty-two are the tables of record from the original schema; order_mail_outbox is new infrastructure introduced with the notification outbox.</w:t>
      </w:r>
    </w:p>
    <w:p>
      <w:pPr>
        <w:jc w:val="center"/>
      </w:pPr>
      <w:r>
        <w:drawing>
          <wp:inline xmlns:a="http://schemas.openxmlformats.org/drawingml/2006/main" xmlns:pic="http://schemas.openxmlformats.org/drawingml/2006/picture">
            <wp:extent cx="6035040" cy="2831036"/>
            <wp:docPr id="3" name="Picture 3"/>
            <wp:cNvGraphicFramePr>
              <a:graphicFrameLocks noChangeAspect="1"/>
            </wp:cNvGraphicFramePr>
            <a:graphic>
              <a:graphicData uri="http://schemas.openxmlformats.org/drawingml/2006/picture">
                <pic:pic>
                  <pic:nvPicPr>
                    <pic:cNvPr id="0" name="fig03_data_ownership.png"/>
                    <pic:cNvPicPr/>
                  </pic:nvPicPr>
                  <pic:blipFill>
                    <a:blip r:embed="rId11"/>
                    <a:stretch>
                      <a:fillRect/>
                    </a:stretch>
                  </pic:blipFill>
                  <pic:spPr>
                    <a:xfrm>
                      <a:off x="0" y="0"/>
                      <a:ext cx="6035040" cy="2831036"/>
                    </a:xfrm>
                    <a:prstGeom prst="rect"/>
                  </pic:spPr>
                </pic:pic>
              </a:graphicData>
            </a:graphic>
          </wp:inline>
        </w:drawing>
      </w:r>
    </w:p>
    <w:p>
      <w:pPr>
        <w:spacing w:after="240"/>
        <w:jc w:val="center"/>
      </w:pPr>
      <w:r>
        <w:rPr>
          <w:b w:val="0"/>
          <w:i/>
          <w:color w:val="595959"/>
          <w:sz w:val="18"/>
        </w:rPr>
        <w:t>Figure 3 - Table ownership. Every foreign key is internal to the owning service.</w:t>
      </w:r>
    </w:p>
    <w:p>
      <w:pPr>
        <w:pStyle w:val="Heading2"/>
      </w:pPr>
      <w:r>
        <w:t>5.1  How the cross-service foreign keys were cut</w:t>
      </w:r>
    </w:p>
    <w:p>
      <w:pPr>
        <w:spacing w:after="120"/>
      </w:pPr>
      <w:r>
        <w:rPr>
          <w:b w:val="0"/>
          <w:i w:val="0"/>
          <w:sz w:val="21"/>
        </w:rPr>
        <w:t>Three foreign keys crossed what became a service boundary: orders to customers, orders to salespeople, and order_details to products. The original plan assumed the constraints could simply be dropped while the surrogate id columns stayed, so that no data would migrate.</w:t>
      </w:r>
    </w:p>
    <w:p>
      <w:pPr>
        <w:spacing w:after="120"/>
      </w:pPr>
      <w:r>
        <w:rPr>
          <w:b w:val="0"/>
          <w:i w:val="0"/>
          <w:sz w:val="21"/>
        </w:rPr>
        <w:t>That assumption did not hold. Neither sibling service exposes a surrogate id in its public API - the catalogue is keyed by product barcode and Identity by person id number, and neither transport model carries an id field. The columns therefore could not be populated on write or resolved on read.</w:t>
      </w:r>
    </w:p>
    <w:p>
      <w:pPr>
        <w:spacing w:after="120"/>
      </w:pPr>
      <w:r>
        <w:rPr>
          <w:b w:val="0"/>
          <w:i w:val="0"/>
          <w:sz w:val="21"/>
        </w:rPr>
        <w:t>The resolution was to key the relationships by business key instead:</w:t>
      </w:r>
    </w:p>
    <w:tbl>
      <w:tblPr>
        <w:tblStyle w:val="LightGrid-Accent1"/>
        <w:tblW w:type="auto" w:w="0"/>
        <w:jc w:val="center"/>
        <w:tblLook w:firstColumn="1" w:firstRow="1" w:lastColumn="0" w:lastRow="0" w:noHBand="0" w:noVBand="1" w:val="04A0"/>
      </w:tblPr>
      <w:tblGrid>
        <w:gridCol w:w="3216"/>
        <w:gridCol w:w="3216"/>
        <w:gridCol w:w="3216"/>
      </w:tblGrid>
      <w:tr>
        <w:tc>
          <w:tcPr>
            <w:tcW w:type="dxa" w:w="2016"/>
          </w:tcPr>
          <w:p>
            <w:r/>
            <w:r>
              <w:rPr>
                <w:b/>
                <w:sz w:val="19"/>
              </w:rPr>
              <w:t>Table</w:t>
            </w:r>
          </w:p>
        </w:tc>
        <w:tc>
          <w:tcPr>
            <w:tcW w:type="dxa" w:w="4176"/>
          </w:tcPr>
          <w:p>
            <w:r/>
            <w:r>
              <w:rPr>
                <w:b/>
                <w:sz w:val="19"/>
              </w:rPr>
              <w:t>Column added</w:t>
            </w:r>
          </w:p>
        </w:tc>
        <w:tc>
          <w:tcPr>
            <w:tcW w:type="dxa" w:w="3024"/>
          </w:tcPr>
          <w:p>
            <w:r/>
            <w:r>
              <w:rPr>
                <w:b/>
                <w:sz w:val="19"/>
              </w:rPr>
              <w:t>Replaces</w:t>
            </w:r>
          </w:p>
        </w:tc>
      </w:tr>
      <w:tr>
        <w:tc>
          <w:tcPr>
            <w:tcW w:type="dxa" w:w="2016"/>
          </w:tcPr>
          <w:p>
            <w:pPr>
              <w:spacing w:after="40"/>
            </w:pPr>
            <w:r/>
            <w:r>
              <w:rPr>
                <w:sz w:val="19"/>
              </w:rPr>
              <w:t>orders</w:t>
            </w:r>
          </w:p>
        </w:tc>
        <w:tc>
          <w:tcPr>
            <w:tcW w:type="dxa" w:w="4176"/>
          </w:tcPr>
          <w:p>
            <w:pPr>
              <w:spacing w:after="40"/>
            </w:pPr>
            <w:r/>
            <w:r>
              <w:rPr>
                <w:sz w:val="19"/>
              </w:rPr>
              <w:t>customer_id_number  varchar(20) NOT NULL</w:t>
            </w:r>
          </w:p>
        </w:tc>
        <w:tc>
          <w:tcPr>
            <w:tcW w:type="dxa" w:w="3024"/>
          </w:tcPr>
          <w:p>
            <w:pPr>
              <w:spacing w:after="40"/>
            </w:pPr>
            <w:r/>
            <w:r>
              <w:rPr>
                <w:sz w:val="19"/>
              </w:rPr>
              <w:t>FK to customers</w:t>
            </w:r>
          </w:p>
        </w:tc>
      </w:tr>
      <w:tr>
        <w:tc>
          <w:tcPr>
            <w:tcW w:type="dxa" w:w="2016"/>
          </w:tcPr>
          <w:p>
            <w:pPr>
              <w:spacing w:after="40"/>
            </w:pPr>
            <w:r/>
            <w:r>
              <w:rPr>
                <w:sz w:val="19"/>
              </w:rPr>
              <w:t>orders</w:t>
            </w:r>
          </w:p>
        </w:tc>
        <w:tc>
          <w:tcPr>
            <w:tcW w:type="dxa" w:w="4176"/>
          </w:tcPr>
          <w:p>
            <w:pPr>
              <w:spacing w:after="40"/>
            </w:pPr>
            <w:r/>
            <w:r>
              <w:rPr>
                <w:sz w:val="19"/>
              </w:rPr>
              <w:t>salesperson_id_number  varchar(20) NULL</w:t>
            </w:r>
          </w:p>
        </w:tc>
        <w:tc>
          <w:tcPr>
            <w:tcW w:type="dxa" w:w="3024"/>
          </w:tcPr>
          <w:p>
            <w:pPr>
              <w:spacing w:after="40"/>
            </w:pPr>
            <w:r/>
            <w:r>
              <w:rPr>
                <w:sz w:val="19"/>
              </w:rPr>
              <w:t>FK to salespeople</w:t>
            </w:r>
          </w:p>
        </w:tc>
      </w:tr>
      <w:tr>
        <w:tc>
          <w:tcPr>
            <w:tcW w:type="dxa" w:w="2016"/>
          </w:tcPr>
          <w:p>
            <w:pPr>
              <w:spacing w:after="40"/>
            </w:pPr>
            <w:r/>
            <w:r>
              <w:rPr>
                <w:sz w:val="19"/>
              </w:rPr>
              <w:t>order_details</w:t>
            </w:r>
          </w:p>
        </w:tc>
        <w:tc>
          <w:tcPr>
            <w:tcW w:type="dxa" w:w="4176"/>
          </w:tcPr>
          <w:p>
            <w:pPr>
              <w:spacing w:after="40"/>
            </w:pPr>
            <w:r/>
            <w:r>
              <w:rPr>
                <w:sz w:val="19"/>
              </w:rPr>
              <w:t>order_detail_product_barcode  varchar(300) NULL</w:t>
            </w:r>
          </w:p>
        </w:tc>
        <w:tc>
          <w:tcPr>
            <w:tcW w:type="dxa" w:w="3024"/>
          </w:tcPr>
          <w:p>
            <w:pPr>
              <w:spacing w:after="40"/>
            </w:pPr>
            <w:r/>
            <w:r>
              <w:rPr>
                <w:sz w:val="19"/>
              </w:rPr>
              <w:t>FK to products</w:t>
            </w:r>
          </w:p>
        </w:tc>
      </w:tr>
    </w:tbl>
    <w:p>
      <w:pPr>
        <w:spacing w:after="80"/>
      </w:pPr>
    </w:p>
    <w:p>
      <w:pPr>
        <w:spacing w:after="120"/>
      </w:pPr>
      <w:r>
        <w:rPr>
          <w:b w:val="0"/>
          <w:i w:val="0"/>
          <w:sz w:val="21"/>
        </w:rPr>
        <w:t>The three legacy surrogate columns were retained, nullable and unmapped, so that no existing data had to migrate. This is a recorded deviation from the original plan, and it produced a better result in two concrete ways:</w:t>
      </w:r>
    </w:p>
    <w:p>
      <w:pPr>
        <w:pStyle w:val="ListBullet"/>
        <w:spacing w:after="60"/>
        <w:ind w:left="360"/>
      </w:pPr>
      <w:r>
        <w:rPr>
          <w:sz w:val="21"/>
        </w:rPr>
        <w:t>The public receipt endpoint makes no remote call at all. The product barcode is stored on the order line, so rendering a receipt no longer needs the Catalogue service. Had the original design been followed, an anonymous public endpoint would have depended on a sibling service being available.</w:t>
      </w:r>
    </w:p>
    <w:p>
      <w:pPr>
        <w:pStyle w:val="ListBullet"/>
        <w:spacing w:after="60"/>
        <w:ind w:left="360"/>
      </w:pPr>
      <w:r>
        <w:rPr>
          <w:sz w:val="21"/>
        </w:rPr>
        <w:t>Customer resolution needs no second round trip, because the submitted id number is itself the key - there is nothing to read back after a create.</w:t>
      </w:r>
    </w:p>
    <w:p>
      <w:pPr>
        <w:spacing w:after="120"/>
      </w:pPr>
      <w:r>
        <w:rPr>
          <w:b w:val="0"/>
          <w:i w:val="0"/>
          <w:sz w:val="21"/>
        </w:rPr>
        <w:t>Now that nothing reads the three legacy columns, they can be dropped. See section 11.</w:t>
      </w:r>
    </w:p>
    <w:p>
      <w:pPr>
        <w:pStyle w:val="Heading2"/>
      </w:pPr>
      <w:r>
        <w:t>5.2  Reference data</w:t>
      </w:r>
    </w:p>
    <w:p>
      <w:pPr>
        <w:spacing w:after="120"/>
      </w:pPr>
      <w:r>
        <w:rPr>
          <w:b w:val="0"/>
          <w:i w:val="0"/>
          <w:sz w:val="21"/>
        </w:rPr>
        <w:t>Each service seeds its own reference data. Orders seeds 12 order statuses, 2 billing types and 1 payment type. Identity seeds 4 roles, 54 permissions and 100 role-permission grants - and deliberately seeds no user accounts. See section 9.3.</w:t>
      </w:r>
    </w:p>
    <w:p>
      <w:pPr>
        <w:pStyle w:val="Heading1"/>
      </w:pPr>
      <w:r>
        <w:t>6  Cross-service integration</w:t>
      </w:r>
    </w:p>
    <w:p>
      <w:pPr>
        <w:spacing w:after="120"/>
      </w:pPr>
      <w:r>
        <w:rPr>
          <w:b w:val="0"/>
          <w:i w:val="0"/>
          <w:sz w:val="21"/>
        </w:rPr>
        <w:t>All cross-service access goes through a published contract. There are five contracts; three are remote and two are local to Orders.</w:t>
      </w:r>
    </w:p>
    <w:p>
      <w:pPr>
        <w:jc w:val="center"/>
      </w:pPr>
      <w:r>
        <w:drawing>
          <wp:inline xmlns:a="http://schemas.openxmlformats.org/drawingml/2006/main" xmlns:pic="http://schemas.openxmlformats.org/drawingml/2006/picture">
            <wp:extent cx="6035040" cy="3101218"/>
            <wp:docPr id="4" name="Picture 4"/>
            <wp:cNvGraphicFramePr>
              <a:graphicFrameLocks noChangeAspect="1"/>
            </wp:cNvGraphicFramePr>
            <a:graphic>
              <a:graphicData uri="http://schemas.openxmlformats.org/drawingml/2006/picture">
                <pic:pic>
                  <pic:nvPicPr>
                    <pic:cNvPr id="0" name="fig04_contracts.png"/>
                    <pic:cNvPicPr/>
                  </pic:nvPicPr>
                  <pic:blipFill>
                    <a:blip r:embed="rId12"/>
                    <a:stretch>
                      <a:fillRect/>
                    </a:stretch>
                  </pic:blipFill>
                  <pic:spPr>
                    <a:xfrm>
                      <a:off x="0" y="0"/>
                      <a:ext cx="6035040" cy="3101218"/>
                    </a:xfrm>
                    <a:prstGeom prst="rect"/>
                  </pic:spPr>
                </pic:pic>
              </a:graphicData>
            </a:graphic>
          </wp:inline>
        </w:drawing>
      </w:r>
    </w:p>
    <w:p>
      <w:pPr>
        <w:spacing w:after="240"/>
        <w:jc w:val="center"/>
      </w:pPr>
      <w:r>
        <w:rPr>
          <w:b w:val="0"/>
          <w:i/>
          <w:color w:val="595959"/>
          <w:sz w:val="18"/>
        </w:rPr>
        <w:t>Figure 4 - Contract seams. Only Orders consumes cross-service data, so the dependency graph is acyclic.</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736"/>
          </w:tcPr>
          <w:p>
            <w:r/>
            <w:r>
              <w:rPr>
                <w:b/>
                <w:sz w:val="18"/>
              </w:rPr>
              <w:t>Contract</w:t>
            </w:r>
          </w:p>
        </w:tc>
        <w:tc>
          <w:tcPr>
            <w:tcW w:type="dxa" w:w="1080"/>
          </w:tcPr>
          <w:p>
            <w:r/>
            <w:r>
              <w:rPr>
                <w:b/>
                <w:sz w:val="18"/>
              </w:rPr>
              <w:t>Kind</w:t>
            </w:r>
          </w:p>
        </w:tc>
        <w:tc>
          <w:tcPr>
            <w:tcW w:type="dxa" w:w="3456"/>
          </w:tcPr>
          <w:p>
            <w:r/>
            <w:r>
              <w:rPr>
                <w:b/>
                <w:sz w:val="18"/>
              </w:rPr>
              <w:t>Resolves</w:t>
            </w:r>
          </w:p>
        </w:tc>
        <w:tc>
          <w:tcPr>
            <w:tcW w:type="dxa" w:w="2016"/>
          </w:tcPr>
          <w:p>
            <w:r/>
            <w:r>
              <w:rPr>
                <w:b/>
                <w:sz w:val="18"/>
              </w:rPr>
              <w:t>Transport</w:t>
            </w:r>
          </w:p>
        </w:tc>
      </w:tr>
      <w:tr>
        <w:tc>
          <w:tcPr>
            <w:tcW w:type="dxa" w:w="2736"/>
          </w:tcPr>
          <w:p>
            <w:pPr>
              <w:spacing w:after="40"/>
            </w:pPr>
            <w:r/>
            <w:r>
              <w:rPr>
                <w:sz w:val="18"/>
              </w:rPr>
              <w:t>ProductLookupContract</w:t>
            </w:r>
          </w:p>
        </w:tc>
        <w:tc>
          <w:tcPr>
            <w:tcW w:type="dxa" w:w="1080"/>
          </w:tcPr>
          <w:p>
            <w:pPr>
              <w:spacing w:after="40"/>
            </w:pPr>
            <w:r/>
            <w:r>
              <w:rPr>
                <w:sz w:val="18"/>
              </w:rPr>
              <w:t>Remote</w:t>
            </w:r>
          </w:p>
        </w:tc>
        <w:tc>
          <w:tcPr>
            <w:tcW w:type="dxa" w:w="3456"/>
          </w:tcPr>
          <w:p>
            <w:pPr>
              <w:spacing w:after="40"/>
            </w:pPr>
            <w:r/>
            <w:r>
              <w:rPr>
                <w:sz w:val="18"/>
              </w:rPr>
              <w:t>Product barcode, name and price as a 3-field snapshot</w:t>
            </w:r>
          </w:p>
        </w:tc>
        <w:tc>
          <w:tcPr>
            <w:tcW w:type="dxa" w:w="2016"/>
          </w:tcPr>
          <w:p>
            <w:pPr>
              <w:spacing w:after="40"/>
            </w:pPr>
            <w:r/>
            <w:r>
              <w:rPr>
                <w:sz w:val="18"/>
              </w:rPr>
              <w:t>RestClient to Catalogue</w:t>
            </w:r>
          </w:p>
        </w:tc>
      </w:tr>
      <w:tr>
        <w:tc>
          <w:tcPr>
            <w:tcW w:type="dxa" w:w="2736"/>
          </w:tcPr>
          <w:p>
            <w:pPr>
              <w:spacing w:after="40"/>
            </w:pPr>
            <w:r/>
            <w:r>
              <w:rPr>
                <w:sz w:val="18"/>
              </w:rPr>
              <w:t>CustomerProvisioningContract</w:t>
            </w:r>
          </w:p>
        </w:tc>
        <w:tc>
          <w:tcPr>
            <w:tcW w:type="dxa" w:w="1080"/>
          </w:tcPr>
          <w:p>
            <w:pPr>
              <w:spacing w:after="40"/>
            </w:pPr>
            <w:r/>
            <w:r>
              <w:rPr>
                <w:sz w:val="18"/>
              </w:rPr>
              <w:t>Remote</w:t>
            </w:r>
          </w:p>
        </w:tc>
        <w:tc>
          <w:tcPr>
            <w:tcW w:type="dxa" w:w="3456"/>
          </w:tcPr>
          <w:p>
            <w:pPr>
              <w:spacing w:after="40"/>
            </w:pPr>
            <w:r/>
            <w:r>
              <w:rPr>
                <w:sz w:val="18"/>
              </w:rPr>
              <w:t>Resolve-or-create a customer; describe one by id number</w:t>
            </w:r>
          </w:p>
        </w:tc>
        <w:tc>
          <w:tcPr>
            <w:tcW w:type="dxa" w:w="2016"/>
          </w:tcPr>
          <w:p>
            <w:pPr>
              <w:spacing w:after="40"/>
            </w:pPr>
            <w:r/>
            <w:r>
              <w:rPr>
                <w:sz w:val="18"/>
              </w:rPr>
              <w:t>RestClient to Identity</w:t>
            </w:r>
          </w:p>
        </w:tc>
      </w:tr>
      <w:tr>
        <w:tc>
          <w:tcPr>
            <w:tcW w:type="dxa" w:w="2736"/>
          </w:tcPr>
          <w:p>
            <w:pPr>
              <w:spacing w:after="40"/>
            </w:pPr>
            <w:r/>
            <w:r>
              <w:rPr>
                <w:sz w:val="18"/>
              </w:rPr>
              <w:t>SalespersonLookupContract</w:t>
            </w:r>
          </w:p>
        </w:tc>
        <w:tc>
          <w:tcPr>
            <w:tcW w:type="dxa" w:w="1080"/>
          </w:tcPr>
          <w:p>
            <w:pPr>
              <w:spacing w:after="40"/>
            </w:pPr>
            <w:r/>
            <w:r>
              <w:rPr>
                <w:sz w:val="18"/>
              </w:rPr>
              <w:t>Remote</w:t>
            </w:r>
          </w:p>
        </w:tc>
        <w:tc>
          <w:tcPr>
            <w:tcW w:type="dxa" w:w="3456"/>
          </w:tcPr>
          <w:p>
            <w:pPr>
              <w:spacing w:after="40"/>
            </w:pPr>
            <w:r/>
            <w:r>
              <w:rPr>
                <w:sz w:val="18"/>
              </w:rPr>
              <w:t>Describe a salesperson by id number</w:t>
            </w:r>
          </w:p>
        </w:tc>
        <w:tc>
          <w:tcPr>
            <w:tcW w:type="dxa" w:w="2016"/>
          </w:tcPr>
          <w:p>
            <w:pPr>
              <w:spacing w:after="40"/>
            </w:pPr>
            <w:r/>
            <w:r>
              <w:rPr>
                <w:sz w:val="18"/>
              </w:rPr>
              <w:t>RestClient to Identity</w:t>
            </w:r>
          </w:p>
        </w:tc>
      </w:tr>
      <w:tr>
        <w:tc>
          <w:tcPr>
            <w:tcW w:type="dxa" w:w="2736"/>
          </w:tcPr>
          <w:p>
            <w:pPr>
              <w:spacing w:after="40"/>
            </w:pPr>
            <w:r/>
            <w:r>
              <w:rPr>
                <w:sz w:val="18"/>
              </w:rPr>
              <w:t>BillingContract</w:t>
            </w:r>
          </w:p>
        </w:tc>
        <w:tc>
          <w:tcPr>
            <w:tcW w:type="dxa" w:w="1080"/>
          </w:tcPr>
          <w:p>
            <w:pPr>
              <w:spacing w:after="40"/>
            </w:pPr>
            <w:r/>
            <w:r>
              <w:rPr>
                <w:sz w:val="18"/>
              </w:rPr>
              <w:t>Local</w:t>
            </w:r>
          </w:p>
        </w:tc>
        <w:tc>
          <w:tcPr>
            <w:tcW w:type="dxa" w:w="3456"/>
          </w:tcPr>
          <w:p>
            <w:pPr>
              <w:spacing w:after="40"/>
            </w:pPr>
            <w:r/>
            <w:r>
              <w:rPr>
                <w:sz w:val="18"/>
              </w:rPr>
              <w:t>Billing type, payment type, resolve-or-create billing company</w:t>
            </w:r>
          </w:p>
        </w:tc>
        <w:tc>
          <w:tcPr>
            <w:tcW w:type="dxa" w:w="2016"/>
          </w:tcPr>
          <w:p>
            <w:pPr>
              <w:spacing w:after="40"/>
            </w:pPr>
            <w:r/>
            <w:r>
              <w:rPr>
                <w:sz w:val="18"/>
              </w:rPr>
              <w:t>Own repositories</w:t>
            </w:r>
          </w:p>
        </w:tc>
      </w:tr>
      <w:tr>
        <w:tc>
          <w:tcPr>
            <w:tcW w:type="dxa" w:w="2736"/>
          </w:tcPr>
          <w:p>
            <w:pPr>
              <w:spacing w:after="40"/>
            </w:pPr>
            <w:r/>
            <w:r>
              <w:rPr>
                <w:sz w:val="18"/>
              </w:rPr>
              <w:t>ShipperLookupContract</w:t>
            </w:r>
          </w:p>
        </w:tc>
        <w:tc>
          <w:tcPr>
            <w:tcW w:type="dxa" w:w="1080"/>
          </w:tcPr>
          <w:p>
            <w:pPr>
              <w:spacing w:after="40"/>
            </w:pPr>
            <w:r/>
            <w:r>
              <w:rPr>
                <w:sz w:val="18"/>
              </w:rPr>
              <w:t>Local</w:t>
            </w:r>
          </w:p>
        </w:tc>
        <w:tc>
          <w:tcPr>
            <w:tcW w:type="dxa" w:w="3456"/>
          </w:tcPr>
          <w:p>
            <w:pPr>
              <w:spacing w:after="40"/>
            </w:pPr>
            <w:r/>
            <w:r>
              <w:rPr>
                <w:sz w:val="18"/>
              </w:rPr>
              <w:t>Shipper by name; read-only</w:t>
            </w:r>
          </w:p>
        </w:tc>
        <w:tc>
          <w:tcPr>
            <w:tcW w:type="dxa" w:w="2016"/>
          </w:tcPr>
          <w:p>
            <w:pPr>
              <w:spacing w:after="40"/>
            </w:pPr>
            <w:r/>
            <w:r>
              <w:rPr>
                <w:sz w:val="18"/>
              </w:rPr>
              <w:t>Own repository</w:t>
            </w:r>
          </w:p>
        </w:tc>
      </w:tr>
    </w:tbl>
    <w:p>
      <w:pPr>
        <w:spacing w:after="80"/>
      </w:pPr>
    </w:p>
    <w:p>
      <w:pPr>
        <w:spacing w:after="120"/>
      </w:pPr>
      <w:r>
        <w:rPr>
          <w:b w:val="0"/>
          <w:i/>
          <w:color w:val="595959"/>
          <w:sz w:val="19"/>
        </w:rPr>
        <w:t>An architecture test asserts the distinction, because conflating the two kinds is the mistake worth catching: the three remote implementations must hold a RestClient and must not import a repository, and the two local ones must delegate to a repository and must not make a network call.</w:t>
      </w:r>
    </w:p>
    <w:p>
      <w:pPr>
        <w:pStyle w:val="Heading2"/>
      </w:pPr>
      <w:r>
        <w:t>6.1  Authorisation across the hop</w:t>
      </w:r>
    </w:p>
    <w:p>
      <w:pPr>
        <w:spacing w:after="120"/>
      </w:pPr>
      <w:r>
        <w:rPr>
          <w:b w:val="0"/>
          <w:i w:val="0"/>
          <w:sz w:val="21"/>
        </w:rPr>
        <w:t>The caller's bearer token is relayed across the service hop. This is the conservative choice: the remote call receives exactly the authorisation a direct in-process call would have received, with no escalation to a service account.</w:t>
      </w:r>
    </w:p>
    <w:p>
      <w:pPr>
        <w:spacing w:after="120"/>
      </w:pPr>
      <w:r>
        <w:rPr>
          <w:b w:val="0"/>
          <w:i w:val="0"/>
          <w:sz w:val="21"/>
        </w:rPr>
        <w:t>It also surfaced a consequence that was invisible in the monolith. Guest checkout provisions a customer record, and in-process that write bypassed authorisation entirely. Remotely it becomes an HTTP call that Identity will authorise, and a guest token carries only the checkout authority. The resolution, taken in the previous phase, was to provision the guest customer at token issue, so that checkout resolves an existing customer rather than creating one.</w:t>
      </w:r>
    </w:p>
    <w:p>
      <w:pPr>
        <w:pStyle w:val="Heading2"/>
      </w:pPr>
      <w:r>
        <w:t>6.2  Consistency model</w:t>
      </w:r>
    </w:p>
    <w:p>
      <w:pPr>
        <w:spacing w:after="120"/>
      </w:pPr>
      <w:r>
        <w:rPr>
          <w:b w:val="0"/>
          <w:i w:val="0"/>
          <w:sz w:val="21"/>
        </w:rPr>
        <w:t>There is no distributed transaction and no compensating-action framework. The consistency position is recorded in ADR-001 and is deliberately narrow:</w:t>
      </w:r>
    </w:p>
    <w:p>
      <w:pPr>
        <w:pStyle w:val="ListBullet"/>
        <w:spacing w:after="60"/>
        <w:ind w:left="360"/>
      </w:pPr>
      <w:r>
        <w:rPr>
          <w:sz w:val="21"/>
        </w:rPr>
        <w:t>Within a service, the status transition, its outbox entry and its data changes commit in one local transaction.</w:t>
      </w:r>
    </w:p>
    <w:p>
      <w:pPr>
        <w:pStyle w:val="ListBullet"/>
        <w:spacing w:after="60"/>
        <w:ind w:left="360"/>
      </w:pPr>
      <w:r>
        <w:rPr>
          <w:sz w:val="21"/>
        </w:rPr>
        <w:t>Across services, the administrative order-create path performs two writes in two services with no shared commit. A failure between them can leave a customer record with no order. This is a recorded, accepted window - see section 11.</w:t>
      </w:r>
    </w:p>
    <w:p>
      <w:pPr>
        <w:pStyle w:val="ListBullet"/>
        <w:spacing w:after="60"/>
        <w:ind w:left="360"/>
      </w:pPr>
      <w:r>
        <w:rPr>
          <w:sz w:val="21"/>
        </w:rPr>
        <w:t>Guest and registered checkout are not exposed to that window, because the customer already exists by the time checkout runs.</w:t>
      </w:r>
    </w:p>
    <w:p>
      <w:r>
        <w:br w:type="page"/>
      </w:r>
    </w:p>
    <w:p>
      <w:pPr>
        <w:pStyle w:val="Heading1"/>
      </w:pPr>
      <w:r>
        <w:t>7  Security architecture</w:t>
      </w:r>
    </w:p>
    <w:p>
      <w:pPr>
        <w:pStyle w:val="Heading2"/>
      </w:pPr>
      <w:r>
        <w:t>7.1  Authentication</w:t>
      </w:r>
    </w:p>
    <w:p>
      <w:pPr>
        <w:spacing w:after="120"/>
      </w:pPr>
      <w:r>
        <w:rPr>
          <w:b w:val="0"/>
          <w:i w:val="0"/>
          <w:sz w:val="21"/>
        </w:rPr>
        <w:t>Identity is the sole issuer of tokens. Every other service verifies the signature locally using the shared signing key; no service calls Identity to validate a token. This is ADR-002.</w:t>
      </w:r>
    </w:p>
    <w:p>
      <w:pPr>
        <w:jc w:val="center"/>
      </w:pPr>
      <w:r>
        <w:drawing>
          <wp:inline xmlns:a="http://schemas.openxmlformats.org/drawingml/2006/main" xmlns:pic="http://schemas.openxmlformats.org/drawingml/2006/picture">
            <wp:extent cx="6035040" cy="2919139"/>
            <wp:docPr id="5" name="Picture 5"/>
            <wp:cNvGraphicFramePr>
              <a:graphicFrameLocks noChangeAspect="1"/>
            </wp:cNvGraphicFramePr>
            <a:graphic>
              <a:graphicData uri="http://schemas.openxmlformats.org/drawingml/2006/picture">
                <pic:pic>
                  <pic:nvPicPr>
                    <pic:cNvPr id="0" name="fig05_auth.png"/>
                    <pic:cNvPicPr/>
                  </pic:nvPicPr>
                  <pic:blipFill>
                    <a:blip r:embed="rId13"/>
                    <a:stretch>
                      <a:fillRect/>
                    </a:stretch>
                  </pic:blipFill>
                  <pic:spPr>
                    <a:xfrm>
                      <a:off x="0" y="0"/>
                      <a:ext cx="6035040" cy="2919139"/>
                    </a:xfrm>
                    <a:prstGeom prst="rect"/>
                  </pic:spPr>
                </pic:pic>
              </a:graphicData>
            </a:graphic>
          </wp:inline>
        </w:drawing>
      </w:r>
    </w:p>
    <w:p>
      <w:pPr>
        <w:spacing w:after="240"/>
        <w:jc w:val="center"/>
      </w:pPr>
      <w:r>
        <w:rPr>
          <w:b w:val="0"/>
          <w:i/>
          <w:color w:val="595959"/>
          <w:sz w:val="18"/>
        </w:rPr>
        <w:t>Figure 5 - Token issue and local verification. The two verify-only services carry no credential machinery at all.</w:t>
      </w:r>
    </w:p>
    <w:p>
      <w:pPr>
        <w:spacing w:after="120"/>
      </w:pPr>
      <w:r>
        <w:rPr>
          <w:b w:val="0"/>
          <w:i w:val="0"/>
          <w:sz w:val="21"/>
        </w:rPr>
        <w:t>The practical consequences are worth stating explicitly, because they are easy to undo by accident:</w:t>
      </w:r>
    </w:p>
    <w:p>
      <w:pPr>
        <w:pStyle w:val="ListBullet"/>
        <w:spacing w:after="60"/>
        <w:ind w:left="360"/>
      </w:pPr>
      <w:r>
        <w:rPr>
          <w:sz w:val="21"/>
        </w:rPr>
        <w:t>Catalogue and Orders have no login route, no UserDetailsService, no authentication manager and no password encoder. Their context tests assert the absence of those beans by type, not by omission.</w:t>
      </w:r>
    </w:p>
    <w:p>
      <w:pPr>
        <w:pStyle w:val="ListBullet"/>
        <w:spacing w:after="60"/>
        <w:ind w:left="360"/>
      </w:pPr>
      <w:r>
        <w:rPr>
          <w:sz w:val="21"/>
        </w:rPr>
        <w:t>The token verification filter passes a request with no Authorization header through unauthenticated rather than rejecting it. Anonymous routes depend on that behaviour.</w:t>
      </w:r>
    </w:p>
    <w:p>
      <w:pPr>
        <w:pStyle w:val="ListBullet"/>
        <w:spacing w:after="60"/>
        <w:ind w:left="360"/>
      </w:pPr>
      <w:r>
        <w:rPr>
          <w:sz w:val="21"/>
        </w:rPr>
        <w:t>The signing key is supplied by the environment with no default in any service.</w:t>
      </w:r>
    </w:p>
    <w:p>
      <w:pPr>
        <w:pStyle w:val="Heading2"/>
      </w:pPr>
      <w:r>
        <w:t>7.2  Authorisation</w:t>
      </w:r>
    </w:p>
    <w:p>
      <w:pPr>
        <w:spacing w:after="120"/>
      </w:pPr>
      <w:r>
        <w:rPr>
          <w:b w:val="0"/>
          <w:i w:val="0"/>
          <w:sz w:val="21"/>
        </w:rPr>
        <w:t>Authorisation is entirely method-level. No service declares any request-matcher rule, which means an un-annotated controller method is reachable by anyone - so the class-level and method-level annotations are the whole of the access control model, and both are asserted by tests.</w:t>
      </w:r>
    </w:p>
    <w:p>
      <w:pPr>
        <w:spacing w:after="120"/>
      </w:pPr>
      <w:r>
        <w:rPr>
          <w:b w:val="0"/>
          <w:i w:val="0"/>
          <w:sz w:val="21"/>
        </w:rPr>
        <w:t>The 54 authority codes are generated from the seed data into a single versioned artefact in the shared library. There are zero authority string literals in any service. An integrity test regenerates the catalogue on every build and fails on any drift, and a per-service architecture test fails if any @PreAuthorize demands an authority that is not in the catalogue, or if the number of authority checks ever falls.</w:t>
      </w:r>
    </w:p>
    <w:tbl>
      <w:tblPr>
        <w:tblStyle w:val="LightGrid-Accent1"/>
        <w:tblW w:type="auto" w:w="0"/>
        <w:jc w:val="center"/>
        <w:tblLook w:firstColumn="1" w:firstRow="1" w:lastColumn="0" w:lastRow="0" w:noHBand="0" w:noVBand="1" w:val="04A0"/>
      </w:tblPr>
      <w:tblGrid>
        <w:gridCol w:w="3216"/>
        <w:gridCol w:w="3216"/>
        <w:gridCol w:w="3216"/>
      </w:tblGrid>
      <w:tr>
        <w:tc>
          <w:tcPr>
            <w:tcW w:type="dxa" w:w="1872"/>
          </w:tcPr>
          <w:p>
            <w:r/>
            <w:r>
              <w:rPr>
                <w:b/>
                <w:sz w:val="19"/>
              </w:rPr>
              <w:t>Service</w:t>
            </w:r>
          </w:p>
        </w:tc>
        <w:tc>
          <w:tcPr>
            <w:tcW w:type="dxa" w:w="2160"/>
          </w:tcPr>
          <w:p>
            <w:r/>
            <w:r>
              <w:rPr>
                <w:b/>
                <w:sz w:val="19"/>
              </w:rPr>
              <w:t>Authority checks</w:t>
            </w:r>
          </w:p>
        </w:tc>
        <w:tc>
          <w:tcPr>
            <w:tcW w:type="dxa" w:w="5328"/>
          </w:tcPr>
          <w:p>
            <w:r/>
            <w:r>
              <w:rPr>
                <w:b/>
                <w:sz w:val="19"/>
              </w:rPr>
              <w:t>Notes</w:t>
            </w:r>
          </w:p>
        </w:tc>
      </w:tr>
      <w:tr>
        <w:tc>
          <w:tcPr>
            <w:tcW w:type="dxa" w:w="1872"/>
          </w:tcPr>
          <w:p>
            <w:pPr>
              <w:spacing w:after="40"/>
            </w:pPr>
            <w:r/>
            <w:r>
              <w:rPr>
                <w:sz w:val="19"/>
              </w:rPr>
              <w:t>Catalogue</w:t>
            </w:r>
          </w:p>
        </w:tc>
        <w:tc>
          <w:tcPr>
            <w:tcW w:type="dxa" w:w="2160"/>
          </w:tcPr>
          <w:p>
            <w:pPr>
              <w:spacing w:after="40"/>
            </w:pPr>
            <w:r/>
            <w:r>
              <w:rPr>
                <w:sz w:val="19"/>
              </w:rPr>
              <w:t>20</w:t>
            </w:r>
          </w:p>
        </w:tc>
        <w:tc>
          <w:tcPr>
            <w:tcW w:type="dxa" w:w="5328"/>
          </w:tcPr>
          <w:p>
            <w:pPr>
              <w:spacing w:after="40"/>
            </w:pPr>
            <w:r/>
            <w:r>
              <w:rPr>
                <w:sz w:val="19"/>
              </w:rPr>
              <w:t>Most reads anonymous; images require authentication</w:t>
            </w:r>
          </w:p>
        </w:tc>
      </w:tr>
      <w:tr>
        <w:tc>
          <w:tcPr>
            <w:tcW w:type="dxa" w:w="1872"/>
          </w:tcPr>
          <w:p>
            <w:pPr>
              <w:spacing w:after="40"/>
            </w:pPr>
            <w:r/>
            <w:r>
              <w:rPr>
                <w:sz w:val="19"/>
              </w:rPr>
              <w:t>Identity</w:t>
            </w:r>
          </w:p>
        </w:tc>
        <w:tc>
          <w:tcPr>
            <w:tcW w:type="dxa" w:w="2160"/>
          </w:tcPr>
          <w:p>
            <w:pPr>
              <w:spacing w:after="40"/>
            </w:pPr>
            <w:r/>
            <w:r>
              <w:rPr>
                <w:sz w:val="19"/>
              </w:rPr>
              <w:t>17</w:t>
            </w:r>
          </w:p>
        </w:tc>
        <w:tc>
          <w:tcPr>
            <w:tcW w:type="dxa" w:w="5328"/>
          </w:tcPr>
          <w:p>
            <w:pPr>
              <w:spacing w:after="40"/>
            </w:pPr>
            <w:r/>
            <w:r>
              <w:rPr>
                <w:sz w:val="19"/>
              </w:rPr>
              <w:t>Four each on users, roles, customers, salespeople, plus one people read</w:t>
            </w:r>
          </w:p>
        </w:tc>
      </w:tr>
      <w:tr>
        <w:tc>
          <w:tcPr>
            <w:tcW w:type="dxa" w:w="1872"/>
          </w:tcPr>
          <w:p>
            <w:pPr>
              <w:spacing w:after="40"/>
            </w:pPr>
            <w:r/>
            <w:r>
              <w:rPr>
                <w:sz w:val="19"/>
              </w:rPr>
              <w:t>Orders</w:t>
            </w:r>
          </w:p>
        </w:tc>
        <w:tc>
          <w:tcPr>
            <w:tcW w:type="dxa" w:w="2160"/>
          </w:tcPr>
          <w:p>
            <w:pPr>
              <w:spacing w:after="40"/>
            </w:pPr>
            <w:r/>
            <w:r>
              <w:rPr>
                <w:sz w:val="19"/>
              </w:rPr>
              <w:t>14</w:t>
            </w:r>
          </w:p>
        </w:tc>
        <w:tc>
          <w:tcPr>
            <w:tcW w:type="dxa" w:w="5328"/>
          </w:tcPr>
          <w:p>
            <w:pPr>
              <w:spacing w:after="40"/>
            </w:pPr>
            <w:r/>
            <w:r>
              <w:rPr>
                <w:sz w:val="19"/>
              </w:rPr>
              <w:t>Eight on orders, four on shippers, one on statuses, one on checkout</w:t>
            </w:r>
          </w:p>
        </w:tc>
      </w:tr>
    </w:tbl>
    <w:p>
      <w:pPr>
        <w:spacing w:after="80"/>
      </w:pPr>
    </w:p>
    <w:p>
      <w:pPr>
        <w:pStyle w:val="Heading2"/>
      </w:pPr>
      <w:r>
        <w:t>7.3  The two anonymous write paths</w:t>
      </w:r>
    </w:p>
    <w:p>
      <w:pPr>
        <w:spacing w:after="120"/>
      </w:pPr>
      <w:r>
        <w:rPr>
          <w:b w:val="0"/>
          <w:i w:val="0"/>
          <w:sz w:val="21"/>
        </w:rPr>
        <w:t>These are the highest-risk surfaces in the platform and they are anonymous by necessity rather than by oversight:</w:t>
      </w:r>
    </w:p>
    <w:p>
      <w:pPr>
        <w:pStyle w:val="ListBullet"/>
        <w:spacing w:after="60"/>
        <w:ind w:left="360"/>
      </w:pPr>
      <w:r>
        <w:rPr>
          <w:sz w:val="21"/>
        </w:rPr>
        <w:t>POST /public/checkout - requires the checkout authority, which a guest token carries. A guest token is itself issued anonymously.</w:t>
      </w:r>
    </w:p>
    <w:p>
      <w:pPr>
        <w:pStyle w:val="ListBullet"/>
        <w:spacing w:after="60"/>
        <w:ind w:left="360"/>
      </w:pPr>
      <w:r>
        <w:rPr>
          <w:sz w:val="21"/>
        </w:rPr>
        <w:t>GET and POST /public/checkout/validate - the payment callbacks. These carry no authority because Transbank sends no credential. Their protection is a per-order nonce plus idempotency, described in section 8.1. A well-intentioned change adding an authority check here would make payment confirmation permanently unreachable, which is why a test asserts their anonymity explicitly.</w:t>
      </w:r>
    </w:p>
    <w:p>
      <w:pPr>
        <w:pStyle w:val="ListBullet"/>
        <w:spacing w:after="60"/>
        <w:ind w:left="360"/>
      </w:pPr>
      <w:r>
        <w:rPr>
          <w:sz w:val="21"/>
        </w:rPr>
        <w:t>GET /public/receipt/{token} - anonymous and token-addressed: the token is the credential.</w:t>
      </w:r>
    </w:p>
    <w:p>
      <w:pPr>
        <w:pStyle w:val="Heading2"/>
      </w:pPr>
      <w:r>
        <w:t>7.4  Secrets and configuration</w:t>
      </w:r>
    </w:p>
    <w:p>
      <w:pPr>
        <w:spacing w:after="120"/>
      </w:pPr>
      <w:r>
        <w:rPr>
          <w:b w:val="0"/>
          <w:i w:val="0"/>
          <w:sz w:val="21"/>
        </w:rPr>
        <w:t>No secret is committed in any service. The signing key and every database password are environment placeholders with no default, so a service fails to start rather than starting with a weak default. The payment API key defaults to empty and must be supplied by an operator.</w:t>
      </w:r>
    </w:p>
    <w:p>
      <w:pPr>
        <w:spacing w:after="120"/>
      </w:pPr>
      <w:r>
        <w:rPr>
          <w:b w:val="0"/>
          <w:i w:val="0"/>
          <w:sz w:val="21"/>
        </w:rPr>
        <w:t>One finding from the final phase is worth recording here. Spring Boot auto-configures an in-memory user with a randomly generated password whenever an application declares no UserDetailsService - exactly the state of a verify-only service. Both Catalogue and Orders were therefore starting with an auto-configured account and printing a credential to the log on every boot. It was inert, because neither filter chain configures form login or basic authentication, so the account had no way to authenticate over HTTP. It was nonetheless excluded on both services, because that inertness depended on an absence elsewhere: adding basic authentication for any reason would have promoted it silently to a working account.</w:t>
      </w:r>
    </w:p>
    <w:p>
      <w:r>
        <w:br w:type="page"/>
      </w:r>
    </w:p>
    <w:p>
      <w:pPr>
        <w:pStyle w:val="Heading1"/>
      </w:pPr>
      <w:r>
        <w:t>8  Key behavioural flows</w:t>
      </w:r>
    </w:p>
    <w:p>
      <w:pPr>
        <w:pStyle w:val="Heading2"/>
      </w:pPr>
      <w:r>
        <w:t>8.1  Checkout and the payment callback</w:t>
      </w:r>
    </w:p>
    <w:p>
      <w:pPr>
        <w:spacing w:after="120"/>
      </w:pPr>
      <w:r>
        <w:rPr>
          <w:b w:val="0"/>
          <w:i w:val="0"/>
          <w:sz w:val="21"/>
        </w:rPr>
        <w:t>This is the critical path and the one that changed most. Three defects were fixed here before extraction.</w:t>
      </w:r>
    </w:p>
    <w:p>
      <w:pPr>
        <w:jc w:val="center"/>
      </w:pPr>
      <w:r>
        <w:drawing>
          <wp:inline xmlns:a="http://schemas.openxmlformats.org/drawingml/2006/main" xmlns:pic="http://schemas.openxmlformats.org/drawingml/2006/picture">
            <wp:extent cx="6035040" cy="2754201"/>
            <wp:docPr id="6" name="Picture 6"/>
            <wp:cNvGraphicFramePr>
              <a:graphicFrameLocks noChangeAspect="1"/>
            </wp:cNvGraphicFramePr>
            <a:graphic>
              <a:graphicData uri="http://schemas.openxmlformats.org/drawingml/2006/picture">
                <pic:pic>
                  <pic:nvPicPr>
                    <pic:cNvPr id="0" name="fig06_checkout.png"/>
                    <pic:cNvPicPr/>
                  </pic:nvPicPr>
                  <pic:blipFill>
                    <a:blip r:embed="rId14"/>
                    <a:stretch>
                      <a:fillRect/>
                    </a:stretch>
                  </pic:blipFill>
                  <pic:spPr>
                    <a:xfrm>
                      <a:off x="0" y="0"/>
                      <a:ext cx="6035040" cy="2754201"/>
                    </a:xfrm>
                    <a:prstGeom prst="rect"/>
                  </pic:spPr>
                </pic:pic>
              </a:graphicData>
            </a:graphic>
          </wp:inline>
        </w:drawing>
      </w:r>
    </w:p>
    <w:p>
      <w:pPr>
        <w:spacing w:after="240"/>
        <w:jc w:val="center"/>
      </w:pPr>
      <w:r>
        <w:rPr>
          <w:b w:val="0"/>
          <w:i/>
          <w:color w:val="595959"/>
          <w:sz w:val="18"/>
        </w:rPr>
        <w:t>Figure 6 - Checkout through to notification. Steps 7 and 8 are what make a replayed callback safe.</w:t>
      </w:r>
    </w:p>
    <w:tbl>
      <w:tblPr>
        <w:tblStyle w:val="LightGrid-Accent1"/>
        <w:tblW w:type="auto" w:w="0"/>
        <w:jc w:val="center"/>
        <w:tblLook w:firstColumn="1" w:firstRow="1" w:lastColumn="0" w:lastRow="0" w:noHBand="0" w:noVBand="1" w:val="04A0"/>
      </w:tblPr>
      <w:tblGrid>
        <w:gridCol w:w="3216"/>
        <w:gridCol w:w="3216"/>
        <w:gridCol w:w="3216"/>
      </w:tblGrid>
      <w:tr>
        <w:tc>
          <w:tcPr>
            <w:tcW w:type="dxa" w:w="1872"/>
          </w:tcPr>
          <w:p>
            <w:r/>
            <w:r>
              <w:rPr>
                <w:b/>
                <w:sz w:val="18"/>
              </w:rPr>
              <w:t>Property</w:t>
            </w:r>
          </w:p>
        </w:tc>
        <w:tc>
          <w:tcPr>
            <w:tcW w:type="dxa" w:w="3744"/>
          </w:tcPr>
          <w:p>
            <w:r/>
            <w:r>
              <w:rPr>
                <w:b/>
                <w:sz w:val="18"/>
              </w:rPr>
              <w:t>Before</w:t>
            </w:r>
          </w:p>
        </w:tc>
        <w:tc>
          <w:tcPr>
            <w:tcW w:type="dxa" w:w="3744"/>
          </w:tcPr>
          <w:p>
            <w:r/>
            <w:r>
              <w:rPr>
                <w:b/>
                <w:sz w:val="18"/>
              </w:rPr>
              <w:t>Now</w:t>
            </w:r>
          </w:p>
        </w:tc>
      </w:tr>
      <w:tr>
        <w:tc>
          <w:tcPr>
            <w:tcW w:type="dxa" w:w="1872"/>
          </w:tcPr>
          <w:p>
            <w:pPr>
              <w:spacing w:after="40"/>
            </w:pPr>
            <w:r/>
            <w:r>
              <w:rPr>
                <w:sz w:val="18"/>
              </w:rPr>
              <w:t>Callback authentication</w:t>
            </w:r>
          </w:p>
        </w:tc>
        <w:tc>
          <w:tcPr>
            <w:tcW w:type="dxa" w:w="3744"/>
          </w:tcPr>
          <w:p>
            <w:pPr>
              <w:spacing w:after="40"/>
            </w:pPr>
            <w:r/>
            <w:r>
              <w:rPr>
                <w:sz w:val="18"/>
              </w:rPr>
              <w:t>None. Any caller who knew a token could confirm an order.</w:t>
            </w:r>
          </w:p>
        </w:tc>
        <w:tc>
          <w:tcPr>
            <w:tcW w:type="dxa" w:w="3744"/>
          </w:tcPr>
          <w:p>
            <w:pPr>
              <w:spacing w:after="40"/>
            </w:pPr>
            <w:r/>
            <w:r>
              <w:rPr>
                <w:sz w:val="18"/>
              </w:rPr>
              <w:t>A per-order nonce is generated at payment start and must match on callback.</w:t>
            </w:r>
          </w:p>
        </w:tc>
      </w:tr>
      <w:tr>
        <w:tc>
          <w:tcPr>
            <w:tcW w:type="dxa" w:w="1872"/>
          </w:tcPr>
          <w:p>
            <w:pPr>
              <w:spacing w:after="40"/>
            </w:pPr>
            <w:r/>
            <w:r>
              <w:rPr>
                <w:sz w:val="18"/>
              </w:rPr>
              <w:t>Replay</w:t>
            </w:r>
          </w:p>
        </w:tc>
        <w:tc>
          <w:tcPr>
            <w:tcW w:type="dxa" w:w="3744"/>
          </w:tcPr>
          <w:p>
            <w:pPr>
              <w:spacing w:after="40"/>
            </w:pPr>
            <w:r/>
            <w:r>
              <w:rPr>
                <w:sz w:val="18"/>
              </w:rPr>
              <w:t>A replayed callback re-processed the order. The status filter credited with preventing this never worked - the query used an unrecognised parameter name and was silently dropped.</w:t>
            </w:r>
          </w:p>
        </w:tc>
        <w:tc>
          <w:tcPr>
            <w:tcW w:type="dxa" w:w="3744"/>
          </w:tcPr>
          <w:p>
            <w:pPr>
              <w:spacing w:after="40"/>
            </w:pPr>
            <w:r/>
            <w:r>
              <w:rPr>
                <w:sz w:val="18"/>
              </w:rPr>
              <w:t>An already-resolved order short-circuits to a no-op.</w:t>
            </w:r>
          </w:p>
        </w:tc>
      </w:tr>
      <w:tr>
        <w:tc>
          <w:tcPr>
            <w:tcW w:type="dxa" w:w="1872"/>
          </w:tcPr>
          <w:p>
            <w:pPr>
              <w:spacing w:after="40"/>
            </w:pPr>
            <w:r/>
            <w:r>
              <w:rPr>
                <w:sz w:val="18"/>
              </w:rPr>
              <w:t>Provider outage</w:t>
            </w:r>
          </w:p>
        </w:tc>
        <w:tc>
          <w:tcPr>
            <w:tcW w:type="dxa" w:w="3744"/>
          </w:tcPr>
          <w:p>
            <w:pPr>
              <w:spacing w:after="40"/>
            </w:pPr>
            <w:r/>
            <w:r>
              <w:rPr>
                <w:sz w:val="18"/>
              </w:rPr>
              <w:t>Returned HTTP 200 and marked the order Payment Failed - a customer decline was recorded for an infrastructure fault.</w:t>
            </w:r>
          </w:p>
        </w:tc>
        <w:tc>
          <w:tcPr>
            <w:tcW w:type="dxa" w:w="3744"/>
          </w:tcPr>
          <w:p>
            <w:pPr>
              <w:spacing w:after="40"/>
            </w:pPr>
            <w:r/>
            <w:r>
              <w:rPr>
                <w:sz w:val="18"/>
              </w:rPr>
              <w:t>Raises an error and leaves the order at Payment Started, so the later legitimate callback is still accepted.</w:t>
            </w:r>
          </w:p>
        </w:tc>
      </w:tr>
    </w:tbl>
    <w:p>
      <w:pPr>
        <w:spacing w:after="80"/>
      </w:pPr>
    </w:p>
    <w:p>
      <w:pPr>
        <w:pStyle w:val="Heading2"/>
      </w:pPr>
      <w:r>
        <w:t>8.2  Order status lifecycle</w:t>
      </w:r>
    </w:p>
    <w:p>
      <w:pPr>
        <w:spacing w:after="120"/>
      </w:pPr>
      <w:r>
        <w:rPr>
          <w:b w:val="0"/>
          <w:i w:val="0"/>
          <w:sz w:val="21"/>
        </w:rPr>
        <w:t>Twelve statuses are seeded; eight are reachable and seven transitions are legal. One transition table is the single source of truth, and all seven transition methods consult it.</w:t>
      </w:r>
    </w:p>
    <w:p>
      <w:pPr>
        <w:jc w:val="center"/>
      </w:pPr>
      <w:r>
        <w:drawing>
          <wp:inline xmlns:a="http://schemas.openxmlformats.org/drawingml/2006/main" xmlns:pic="http://schemas.openxmlformats.org/drawingml/2006/picture">
            <wp:extent cx="6035040" cy="3010178"/>
            <wp:docPr id="7" name="Picture 7"/>
            <wp:cNvGraphicFramePr>
              <a:graphicFrameLocks noChangeAspect="1"/>
            </wp:cNvGraphicFramePr>
            <a:graphic>
              <a:graphicData uri="http://schemas.openxmlformats.org/drawingml/2006/picture">
                <pic:pic>
                  <pic:nvPicPr>
                    <pic:cNvPr id="0" name="fig07_status_machine.png"/>
                    <pic:cNvPicPr/>
                  </pic:nvPicPr>
                  <pic:blipFill>
                    <a:blip r:embed="rId15"/>
                    <a:stretch>
                      <a:fillRect/>
                    </a:stretch>
                  </pic:blipFill>
                  <pic:spPr>
                    <a:xfrm>
                      <a:off x="0" y="0"/>
                      <a:ext cx="6035040" cy="3010178"/>
                    </a:xfrm>
                    <a:prstGeom prst="rect"/>
                  </pic:spPr>
                </pic:pic>
              </a:graphicData>
            </a:graphic>
          </wp:inline>
        </w:drawing>
      </w:r>
    </w:p>
    <w:p>
      <w:pPr>
        <w:spacing w:after="240"/>
        <w:jc w:val="center"/>
      </w:pPr>
      <w:r>
        <w:rPr>
          <w:b w:val="0"/>
          <w:i/>
          <w:color w:val="595959"/>
          <w:sz w:val="18"/>
        </w:rPr>
        <w:t>Figure 7 - The order status machine. Red states are terminal.</w:t>
      </w:r>
    </w:p>
    <w:p>
      <w:pPr>
        <w:spacing w:after="120"/>
      </w:pPr>
      <w:r>
        <w:rPr>
          <w:b w:val="0"/>
          <w:i w:val="0"/>
          <w:sz w:val="21"/>
        </w:rPr>
        <w:t>Two findings here were not what the defect register originally recorded, and both were established by probing behaviour rather than by re-reading the code:</w:t>
      </w:r>
    </w:p>
    <w:p>
      <w:pPr>
        <w:pStyle w:val="ListBullet"/>
        <w:spacing w:after="60"/>
        <w:ind w:left="360"/>
      </w:pPr>
      <w:r>
        <w:rPr>
          <w:sz w:val="21"/>
        </w:rPr>
        <w:t>The order status is not patchable at all. The association is mapped non-updatable, so the column is excluded from every generated UPDATE. A patched status was silently discarded while the request reported success - an invisible no-op rather than a state-machine bypass, and arguably worse, because a bypass would at least appear in the data.</w:t>
      </w:r>
    </w:p>
    <w:p>
      <w:pPr>
        <w:pStyle w:val="ListBullet"/>
        <w:spacing w:after="60"/>
        <w:ind w:left="360"/>
      </w:pPr>
      <w:r>
        <w:rPr>
          <w:sz w:val="21"/>
        </w:rPr>
        <w:t>Four seeded statuses - Returned, Delivery Failed, Delivery Cancelled, Delivery On Route - are reached by no code at all. They are now rejected explicitly as transition targets.</w:t>
      </w:r>
    </w:p>
    <w:p>
      <w:pPr>
        <w:pStyle w:val="Heading2"/>
      </w:pPr>
      <w:r>
        <w:t>8.3  Notification outbox</w:t>
      </w:r>
    </w:p>
    <w:p>
      <w:pPr>
        <w:spacing w:after="120"/>
      </w:pPr>
      <w:r>
        <w:rPr>
          <w:b w:val="0"/>
          <w:i w:val="0"/>
          <w:sz w:val="21"/>
        </w:rPr>
        <w:t>Mail was previously sent after the transaction had already committed, with no retry: a failed send meant a silently lost notification. It is now a transactional outbox - the only genuinely new infrastructure in the programme, since no broker, queue or scheduled work existed anywhere before.</w:t>
      </w:r>
    </w:p>
    <w:p>
      <w:pPr>
        <w:jc w:val="center"/>
      </w:pPr>
      <w:r>
        <w:drawing>
          <wp:inline xmlns:a="http://schemas.openxmlformats.org/drawingml/2006/main" xmlns:pic="http://schemas.openxmlformats.org/drawingml/2006/picture">
            <wp:extent cx="6035040" cy="2378775"/>
            <wp:docPr id="8" name="Picture 8"/>
            <wp:cNvGraphicFramePr>
              <a:graphicFrameLocks noChangeAspect="1"/>
            </wp:cNvGraphicFramePr>
            <a:graphic>
              <a:graphicData uri="http://schemas.openxmlformats.org/drawingml/2006/picture">
                <pic:pic>
                  <pic:nvPicPr>
                    <pic:cNvPr id="0" name="fig08_outbox.png"/>
                    <pic:cNvPicPr/>
                  </pic:nvPicPr>
                  <pic:blipFill>
                    <a:blip r:embed="rId16"/>
                    <a:stretch>
                      <a:fillRect/>
                    </a:stretch>
                  </pic:blipFill>
                  <pic:spPr>
                    <a:xfrm>
                      <a:off x="0" y="0"/>
                      <a:ext cx="6035040" cy="2378775"/>
                    </a:xfrm>
                    <a:prstGeom prst="rect"/>
                  </pic:spPr>
                </pic:pic>
              </a:graphicData>
            </a:graphic>
          </wp:inline>
        </w:drawing>
      </w:r>
    </w:p>
    <w:p>
      <w:pPr>
        <w:spacing w:after="240"/>
        <w:jc w:val="center"/>
      </w:pPr>
      <w:r>
        <w:rPr>
          <w:b w:val="0"/>
          <w:i/>
          <w:color w:val="595959"/>
          <w:sz w:val="18"/>
        </w:rPr>
        <w:t>Figure 8 - The outbox. The enqueue is inside the transition transaction by design.</w:t>
      </w:r>
    </w:p>
    <w:p>
      <w:pPr>
        <w:spacing w:after="120"/>
      </w:pPr>
      <w:r>
        <w:rPr>
          <w:b w:val="0"/>
          <w:i w:val="0"/>
          <w:sz w:val="21"/>
        </w:rPr>
        <w:t>The design decision that makes this an outbox rather than a renamed queue is the placement of the enqueue. It had to be inside the transactional service method so the entry and the status change commit or roll back together. Placing it in the controller - which is not transactional - would have reproduced the original failure mode one layer out. Mandatory transaction propagation enforces this structurally: a caller outside a transaction fails fast instead of silently opening its own.</w:t>
      </w:r>
    </w:p>
    <w:p>
      <w:r>
        <w:br w:type="page"/>
      </w:r>
    </w:p>
    <w:p>
      <w:pPr>
        <w:pStyle w:val="Heading1"/>
      </w:pPr>
      <w:r>
        <w:t>9  Build, verification and deployment</w:t>
      </w:r>
    </w:p>
    <w:p>
      <w:pPr>
        <w:pStyle w:val="Heading2"/>
      </w:pPr>
      <w:r>
        <w:t>9.1  Build</w:t>
      </w:r>
    </w:p>
    <w:p>
      <w:pPr>
        <w:jc w:val="center"/>
      </w:pPr>
      <w:r>
        <w:drawing>
          <wp:inline xmlns:a="http://schemas.openxmlformats.org/drawingml/2006/main" xmlns:pic="http://schemas.openxmlformats.org/drawingml/2006/picture">
            <wp:extent cx="5669280" cy="2402892"/>
            <wp:docPr id="9" name="Picture 9"/>
            <wp:cNvGraphicFramePr>
              <a:graphicFrameLocks noChangeAspect="1"/>
            </wp:cNvGraphicFramePr>
            <a:graphic>
              <a:graphicData uri="http://schemas.openxmlformats.org/drawingml/2006/picture">
                <pic:pic>
                  <pic:nvPicPr>
                    <pic:cNvPr id="0" name="fig09_build.png"/>
                    <pic:cNvPicPr/>
                  </pic:nvPicPr>
                  <pic:blipFill>
                    <a:blip r:embed="rId17"/>
                    <a:stretch>
                      <a:fillRect/>
                    </a:stretch>
                  </pic:blipFill>
                  <pic:spPr>
                    <a:xfrm>
                      <a:off x="0" y="0"/>
                      <a:ext cx="5669280" cy="2402892"/>
                    </a:xfrm>
                    <a:prstGeom prst="rect"/>
                  </pic:spPr>
                </pic:pic>
              </a:graphicData>
            </a:graphic>
          </wp:inline>
        </w:drawing>
      </w:r>
    </w:p>
    <w:p>
      <w:pPr>
        <w:spacing w:after="240"/>
        <w:jc w:val="center"/>
      </w:pPr>
      <w:r>
        <w:rPr>
          <w:b w:val="0"/>
          <w:i/>
          <w:color w:val="595959"/>
          <w:sz w:val="18"/>
        </w:rPr>
        <w:t>Figure 9 - Four-module reactor. shared-contracts builds first because every service consumes the generated authority catalogue.</w:t>
      </w:r>
    </w:p>
    <w:p>
      <w:pPr>
        <w:spacing w:after="160"/>
        <w:ind w:left="288"/>
        <w:shd w:fill="F4F6F8"/>
      </w:pPr>
      <w:r>
        <w:rPr>
          <w:rFonts w:ascii="Consolas" w:hAnsi="Consolas"/>
          <w:sz w:val="18"/>
        </w:rPr>
        <w:t>. ~/opt/env.sh &amp;&amp; mvn -B -fae clean verify      # from the repository root</w:t>
      </w:r>
    </w:p>
    <w:tbl>
      <w:tblPr>
        <w:tblStyle w:val="LightGrid-Accent1"/>
        <w:tblW w:type="auto" w:w="0"/>
        <w:jc w:val="center"/>
        <w:tblLook w:firstColumn="1" w:firstRow="1" w:lastColumn="0" w:lastRow="0" w:noHBand="0" w:noVBand="1" w:val="04A0"/>
      </w:tblPr>
      <w:tblGrid>
        <w:gridCol w:w="4824"/>
        <w:gridCol w:w="4824"/>
      </w:tblGrid>
      <w:tr>
        <w:tc>
          <w:tcPr>
            <w:tcW w:type="dxa" w:w="1872"/>
          </w:tcPr>
          <w:p>
            <w:r/>
            <w:r>
              <w:rPr>
                <w:b/>
                <w:sz w:val="19"/>
              </w:rPr>
              <w:t>Item</w:t>
            </w:r>
          </w:p>
        </w:tc>
        <w:tc>
          <w:tcPr>
            <w:tcW w:type="dxa" w:w="7344"/>
          </w:tcPr>
          <w:p>
            <w:r/>
            <w:r>
              <w:rPr>
                <w:b/>
                <w:sz w:val="19"/>
              </w:rPr>
              <w:t>Value</w:t>
            </w:r>
          </w:p>
        </w:tc>
      </w:tr>
      <w:tr>
        <w:tc>
          <w:tcPr>
            <w:tcW w:type="dxa" w:w="1872"/>
          </w:tcPr>
          <w:p>
            <w:pPr>
              <w:spacing w:after="40"/>
            </w:pPr>
            <w:r/>
            <w:r>
              <w:rPr>
                <w:sz w:val="19"/>
              </w:rPr>
              <w:t>Java</w:t>
            </w:r>
          </w:p>
        </w:tc>
        <w:tc>
          <w:tcPr>
            <w:tcW w:type="dxa" w:w="7344"/>
          </w:tcPr>
          <w:p>
            <w:pPr>
              <w:spacing w:after="40"/>
            </w:pPr>
            <w:r/>
            <w:r>
              <w:rPr>
                <w:sz w:val="19"/>
              </w:rPr>
              <w:t>21 (Amazon Corretto 21.0.12 used for verification)</w:t>
            </w:r>
          </w:p>
        </w:tc>
      </w:tr>
      <w:tr>
        <w:tc>
          <w:tcPr>
            <w:tcW w:type="dxa" w:w="1872"/>
          </w:tcPr>
          <w:p>
            <w:pPr>
              <w:spacing w:after="40"/>
            </w:pPr>
            <w:r/>
            <w:r>
              <w:rPr>
                <w:sz w:val="19"/>
              </w:rPr>
              <w:t>Maven</w:t>
            </w:r>
          </w:p>
        </w:tc>
        <w:tc>
          <w:tcPr>
            <w:tcW w:type="dxa" w:w="7344"/>
          </w:tcPr>
          <w:p>
            <w:pPr>
              <w:spacing w:after="40"/>
            </w:pPr>
            <w:r/>
            <w:r>
              <w:rPr>
                <w:sz w:val="19"/>
              </w:rPr>
              <w:t>3.9</w:t>
            </w:r>
          </w:p>
        </w:tc>
      </w:tr>
      <w:tr>
        <w:tc>
          <w:tcPr>
            <w:tcW w:type="dxa" w:w="1872"/>
          </w:tcPr>
          <w:p>
            <w:pPr>
              <w:spacing w:after="40"/>
            </w:pPr>
            <w:r/>
            <w:r>
              <w:rPr>
                <w:sz w:val="19"/>
              </w:rPr>
              <w:t>Spring Boot</w:t>
            </w:r>
          </w:p>
        </w:tc>
        <w:tc>
          <w:tcPr>
            <w:tcW w:type="dxa" w:w="7344"/>
          </w:tcPr>
          <w:p>
            <w:pPr>
              <w:spacing w:after="40"/>
            </w:pPr>
            <w:r/>
            <w:r>
              <w:rPr>
                <w:sz w:val="19"/>
              </w:rPr>
              <w:t>3.2.12</w:t>
            </w:r>
          </w:p>
        </w:tc>
      </w:tr>
      <w:tr>
        <w:tc>
          <w:tcPr>
            <w:tcW w:type="dxa" w:w="1872"/>
          </w:tcPr>
          <w:p>
            <w:pPr>
              <w:spacing w:after="40"/>
            </w:pPr>
            <w:r/>
            <w:r>
              <w:rPr>
                <w:sz w:val="19"/>
              </w:rPr>
              <w:t>Modules</w:t>
            </w:r>
          </w:p>
        </w:tc>
        <w:tc>
          <w:tcPr>
            <w:tcW w:type="dxa" w:w="7344"/>
          </w:tcPr>
          <w:p>
            <w:pPr>
              <w:spacing w:after="40"/>
            </w:pPr>
            <w:r/>
            <w:r>
              <w:rPr>
                <w:sz w:val="19"/>
              </w:rPr>
              <w:t>trebol-platform (aggregator), trebol-shared-contracts, and the three services</w:t>
            </w:r>
          </w:p>
        </w:tc>
      </w:tr>
      <w:tr>
        <w:tc>
          <w:tcPr>
            <w:tcW w:type="dxa" w:w="1872"/>
          </w:tcPr>
          <w:p>
            <w:pPr>
              <w:spacing w:after="40"/>
            </w:pPr>
            <w:r/>
            <w:r>
              <w:rPr>
                <w:sz w:val="19"/>
              </w:rPr>
              <w:t>Build time</w:t>
            </w:r>
          </w:p>
        </w:tc>
        <w:tc>
          <w:tcPr>
            <w:tcW w:type="dxa" w:w="7344"/>
          </w:tcPr>
          <w:p>
            <w:pPr>
              <w:spacing w:after="40"/>
            </w:pPr>
            <w:r/>
            <w:r>
              <w:rPr>
                <w:sz w:val="19"/>
              </w:rPr>
              <w:t>approximately 10 minutes</w:t>
            </w:r>
          </w:p>
        </w:tc>
      </w:tr>
      <w:tr>
        <w:tc>
          <w:tcPr>
            <w:tcW w:type="dxa" w:w="1872"/>
          </w:tcPr>
          <w:p>
            <w:pPr>
              <w:spacing w:after="40"/>
            </w:pPr>
            <w:r/>
            <w:r>
              <w:rPr>
                <w:sz w:val="19"/>
              </w:rPr>
              <w:t>Result</w:t>
            </w:r>
          </w:p>
        </w:tc>
        <w:tc>
          <w:tcPr>
            <w:tcW w:type="dxa" w:w="7344"/>
          </w:tcPr>
          <w:p>
            <w:pPr>
              <w:spacing w:after="40"/>
            </w:pPr>
            <w:r/>
            <w:r>
              <w:rPr>
                <w:sz w:val="19"/>
              </w:rPr>
              <w:t>495 tests, 0 failures, 0 errors, BUILD SUCCESS</w:t>
            </w:r>
          </w:p>
        </w:tc>
      </w:tr>
      <w:tr>
        <w:tc>
          <w:tcPr>
            <w:tcW w:type="dxa" w:w="1872"/>
          </w:tcPr>
          <w:p>
            <w:pPr>
              <w:spacing w:after="40"/>
            </w:pPr>
            <w:r/>
            <w:r>
              <w:rPr>
                <w:sz w:val="19"/>
              </w:rPr>
              <w:t>Artefacts</w:t>
            </w:r>
          </w:p>
        </w:tc>
        <w:tc>
          <w:tcPr>
            <w:tcW w:type="dxa" w:w="7344"/>
          </w:tcPr>
          <w:p>
            <w:pPr>
              <w:spacing w:after="40"/>
            </w:pPr>
            <w:r/>
            <w:r>
              <w:rPr>
                <w:sz w:val="19"/>
              </w:rPr>
              <w:t>3 Spring Boot executable jars + 1 library jar</w:t>
            </w:r>
          </w:p>
        </w:tc>
      </w:tr>
    </w:tbl>
    <w:p>
      <w:pPr>
        <w:spacing w:after="80"/>
      </w:pPr>
    </w:p>
    <w:p>
      <w:pPr>
        <w:spacing w:after="120"/>
      </w:pPr>
      <w:r>
        <w:rPr>
          <w:b w:val="0"/>
          <w:i/>
          <w:color w:val="595959"/>
          <w:sz w:val="19"/>
        </w:rPr>
        <w:t>Two practical notes. The -fae flag no longer changes the outcome and is retained only so that a future failure still reports every module. Do not add -o (offline): the build resolves plugins from the network and an offline root build fails at packaging. Also, Surefire prints an [ERROR] line about killing its fork JVM on successful runs; it is a shutdown-timing message, not a test result.</w:t>
      </w:r>
    </w:p>
    <w:p>
      <w:pPr>
        <w:pStyle w:val="Heading2"/>
      </w:pPr>
      <w:r>
        <w:t>9.2  Verification approach</w:t>
      </w:r>
    </w:p>
    <w:tbl>
      <w:tblPr>
        <w:tblStyle w:val="LightGrid-Accent1"/>
        <w:tblW w:type="auto" w:w="0"/>
        <w:jc w:val="center"/>
        <w:tblLook w:firstColumn="1" w:firstRow="1" w:lastColumn="0" w:lastRow="0" w:noHBand="0" w:noVBand="1" w:val="04A0"/>
      </w:tblPr>
      <w:tblGrid>
        <w:gridCol w:w="4824"/>
        <w:gridCol w:w="4824"/>
      </w:tblGrid>
      <w:tr>
        <w:tc>
          <w:tcPr>
            <w:tcW w:type="dxa" w:w="2160"/>
          </w:tcPr>
          <w:p>
            <w:r/>
            <w:r>
              <w:rPr>
                <w:b/>
                <w:sz w:val="18"/>
              </w:rPr>
              <w:t>Guarantee</w:t>
            </w:r>
          </w:p>
        </w:tc>
        <w:tc>
          <w:tcPr>
            <w:tcW w:type="dxa" w:w="7056"/>
          </w:tcPr>
          <w:p>
            <w:r/>
            <w:r>
              <w:rPr>
                <w:b/>
                <w:sz w:val="18"/>
              </w:rPr>
              <w:t>How it is verified</w:t>
            </w:r>
          </w:p>
        </w:tc>
      </w:tr>
      <w:tr>
        <w:tc>
          <w:tcPr>
            <w:tcW w:type="dxa" w:w="2160"/>
          </w:tcPr>
          <w:p>
            <w:pPr>
              <w:spacing w:after="40"/>
            </w:pPr>
            <w:r/>
            <w:r>
              <w:rPr>
                <w:sz w:val="18"/>
              </w:rPr>
              <w:t>Route parity</w:t>
            </w:r>
          </w:p>
        </w:tc>
        <w:tc>
          <w:tcPr>
            <w:tcW w:type="dxa" w:w="7056"/>
          </w:tcPr>
          <w:p>
            <w:pPr>
              <w:spacing w:after="40"/>
            </w:pPr>
            <w:r/>
            <w:r>
              <w:rPr>
                <w:sz w:val="18"/>
              </w:rPr>
              <w:t>Each service has a route parity test pinning its HTTP surface - path, method and authority value - against the monolith's. Authorities are asserted by value, not by constant name, because the strings are the client-observable contract.</w:t>
            </w:r>
          </w:p>
        </w:tc>
      </w:tr>
      <w:tr>
        <w:tc>
          <w:tcPr>
            <w:tcW w:type="dxa" w:w="2160"/>
          </w:tcPr>
          <w:p>
            <w:pPr>
              <w:spacing w:after="40"/>
            </w:pPr>
            <w:r/>
            <w:r>
              <w:rPr>
                <w:sz w:val="18"/>
              </w:rPr>
              <w:t>Service boundaries</w:t>
            </w:r>
          </w:p>
        </w:tc>
        <w:tc>
          <w:tcPr>
            <w:tcW w:type="dxa" w:w="7056"/>
          </w:tcPr>
          <w:p>
            <w:pPr>
              <w:spacing w:after="40"/>
            </w:pPr>
            <w:r/>
            <w:r>
              <w:rPr>
                <w:sz w:val="18"/>
              </w:rPr>
              <w:t>Architecture tests fail the build on a cross-domain repository import or a foreign JPA entity import.</w:t>
            </w:r>
          </w:p>
        </w:tc>
      </w:tr>
      <w:tr>
        <w:tc>
          <w:tcPr>
            <w:tcW w:type="dxa" w:w="2160"/>
          </w:tcPr>
          <w:p>
            <w:pPr>
              <w:spacing w:after="40"/>
            </w:pPr>
            <w:r/>
            <w:r>
              <w:rPr>
                <w:sz w:val="18"/>
              </w:rPr>
              <w:t>Authority catalogue</w:t>
            </w:r>
          </w:p>
        </w:tc>
        <w:tc>
          <w:tcPr>
            <w:tcW w:type="dxa" w:w="7056"/>
          </w:tcPr>
          <w:p>
            <w:pPr>
              <w:spacing w:after="40"/>
            </w:pPr>
            <w:r/>
            <w:r>
              <w:rPr>
                <w:sz w:val="18"/>
              </w:rPr>
              <w:t>Regenerated and compared on every build; any drift or unknown code fails.</w:t>
            </w:r>
          </w:p>
        </w:tc>
      </w:tr>
      <w:tr>
        <w:tc>
          <w:tcPr>
            <w:tcW w:type="dxa" w:w="2160"/>
          </w:tcPr>
          <w:p>
            <w:pPr>
              <w:spacing w:after="40"/>
            </w:pPr>
            <w:r/>
            <w:r>
              <w:rPr>
                <w:sz w:val="18"/>
              </w:rPr>
              <w:t>Context startup</w:t>
            </w:r>
          </w:p>
        </w:tc>
        <w:tc>
          <w:tcPr>
            <w:tcW w:type="dxa" w:w="7056"/>
          </w:tcPr>
          <w:p>
            <w:pPr>
              <w:spacing w:after="40"/>
            </w:pPr>
            <w:r/>
            <w:r>
              <w:rPr>
                <w:sz w:val="18"/>
              </w:rPr>
              <w:t>Each service has a context-load test. These are disproportionately valuable: they caught a property-prefix error that made a service unstartable, and the auto-configured credential described in section 7.4. No unit test touches either.</w:t>
            </w:r>
          </w:p>
        </w:tc>
      </w:tr>
      <w:tr>
        <w:tc>
          <w:tcPr>
            <w:tcW w:type="dxa" w:w="2160"/>
          </w:tcPr>
          <w:p>
            <w:pPr>
              <w:spacing w:after="40"/>
            </w:pPr>
            <w:r/>
            <w:r>
              <w:rPr>
                <w:sz w:val="18"/>
              </w:rPr>
              <w:t>Behaviour</w:t>
            </w:r>
          </w:p>
        </w:tc>
        <w:tc>
          <w:tcPr>
            <w:tcW w:type="dxa" w:w="7056"/>
          </w:tcPr>
          <w:p>
            <w:pPr>
              <w:spacing w:after="40"/>
            </w:pPr>
            <w:r/>
            <w:r>
              <w:rPr>
                <w:sz w:val="18"/>
              </w:rPr>
              <w:t>495 tests, including 15 on checkout alone and a full cross-product of the status transition table.</w:t>
            </w:r>
          </w:p>
        </w:tc>
      </w:tr>
    </w:tbl>
    <w:p>
      <w:pPr>
        <w:spacing w:after="80"/>
      </w:pPr>
    </w:p>
    <w:p>
      <w:pPr>
        <w:pStyle w:val="Heading2"/>
      </w:pPr>
      <w:r>
        <w:t>9.3  Deployment and the mandatory operator step</w:t>
      </w:r>
    </w:p>
    <w:p>
      <w:pPr>
        <w:spacing w:after="120"/>
      </w:pPr>
      <w:r>
        <w:rPr>
          <w:b w:val="0"/>
          <w:i w:val="0"/>
          <w:sz w:val="21"/>
        </w:rPr>
        <w:t>Each service is a self-contained executable jar requiring its own database and its own environment configuration. There is no shared runtime state, no sticky session and no inter-service discovery beyond the two base URLs Orders needs.</w:t>
      </w:r>
    </w:p>
    <w:p>
      <w:pPr>
        <w:spacing w:after="120"/>
      </w:pPr>
      <w:r>
        <w:rPr>
          <w:b/>
          <w:i w:val="0"/>
          <w:sz w:val="21"/>
        </w:rPr>
        <w:t>One step is mandatory and easy to miss:</w:t>
      </w:r>
    </w:p>
    <w:p>
      <w:pPr>
        <w:spacing w:after="120"/>
      </w:pPr>
      <w:r>
        <w:rPr>
          <w:b w:val="0"/>
          <w:i w:val="0"/>
          <w:color w:val="A61C1C"/>
          <w:sz w:val="21"/>
        </w:rPr>
        <w:t>Identity's seed data deliberately contains no user accounts. The original monolith shipped four demonstration accounts with committed bcrypt hashes; those were removed rather than carried into a deployable service. A freshly migrated deployment therefore has all four roles and all 54 authorities, but no account to log in with. An operator must create the first administrator directly in the database before the platform can be administered. The SQL for that step is recorded in the phase 2 exit record.</w:t>
      </w:r>
    </w:p>
    <w:p>
      <w:pPr>
        <w:spacing w:after="120"/>
      </w:pPr>
      <w:r>
        <w:rPr>
          <w:b w:val="0"/>
          <w:i w:val="0"/>
          <w:sz w:val="21"/>
        </w:rPr>
        <w:t>Service-to-service configuration: Orders needs the Catalogue and Identity base URLs and a request timeout. These are plain configuration with code defaults pointing at localhost, so they must be set for any non-local deployment. See Appendix B.</w:t>
      </w:r>
    </w:p>
    <w:p>
      <w:r>
        <w:br w:type="page"/>
      </w:r>
    </w:p>
    <w:p>
      <w:pPr>
        <w:pStyle w:val="Heading1"/>
      </w:pPr>
      <w:r>
        <w:t>10  Intentional changes in observable behaviour</w:t>
      </w:r>
    </w:p>
    <w:p>
      <w:pPr>
        <w:spacing w:after="120"/>
      </w:pPr>
      <w:r>
        <w:rPr>
          <w:b w:val="0"/>
          <w:i w:val="0"/>
          <w:sz w:val="21"/>
        </w:rPr>
        <w:t>The programme's default was to preserve behaviour exactly, including defects, unless a change was explicitly ruled. The following are the changes that were ruled, and they are the differences a client or an operator can actually observe.</w:t>
      </w:r>
    </w:p>
    <w:tbl>
      <w:tblPr>
        <w:tblStyle w:val="LightGrid-Accent1"/>
        <w:tblW w:type="auto" w:w="0"/>
        <w:jc w:val="center"/>
        <w:tblLook w:firstColumn="1" w:firstRow="1" w:lastColumn="0" w:lastRow="0" w:noHBand="0" w:noVBand="1" w:val="04A0"/>
      </w:tblPr>
      <w:tblGrid>
        <w:gridCol w:w="3216"/>
        <w:gridCol w:w="3216"/>
        <w:gridCol w:w="3216"/>
      </w:tblGrid>
      <w:tr>
        <w:tc>
          <w:tcPr>
            <w:tcW w:type="dxa" w:w="432"/>
          </w:tcPr>
          <w:p>
            <w:r/>
            <w:r>
              <w:rPr>
                <w:b/>
                <w:sz w:val="18"/>
              </w:rPr>
              <w:t>#</w:t>
            </w:r>
          </w:p>
        </w:tc>
        <w:tc>
          <w:tcPr>
            <w:tcW w:type="dxa" w:w="4464"/>
          </w:tcPr>
          <w:p>
            <w:r/>
            <w:r>
              <w:rPr>
                <w:b/>
                <w:sz w:val="18"/>
              </w:rPr>
              <w:t>Change</w:t>
            </w:r>
          </w:p>
        </w:tc>
        <w:tc>
          <w:tcPr>
            <w:tcW w:type="dxa" w:w="4320"/>
          </w:tcPr>
          <w:p>
            <w:r/>
            <w:r>
              <w:rPr>
                <w:b/>
                <w:sz w:val="18"/>
              </w:rPr>
              <w:t>Rationale</w:t>
            </w:r>
          </w:p>
        </w:tc>
      </w:tr>
      <w:tr>
        <w:tc>
          <w:tcPr>
            <w:tcW w:type="dxa" w:w="432"/>
          </w:tcPr>
          <w:p>
            <w:pPr>
              <w:spacing w:after="40"/>
            </w:pPr>
            <w:r/>
            <w:r>
              <w:rPr>
                <w:sz w:val="18"/>
              </w:rPr>
              <w:t>1</w:t>
            </w:r>
          </w:p>
        </w:tc>
        <w:tc>
          <w:tcPr>
            <w:tcW w:type="dxa" w:w="4464"/>
          </w:tcPr>
          <w:p>
            <w:pPr>
              <w:spacing w:after="40"/>
            </w:pPr>
            <w:r/>
            <w:r>
              <w:rPr>
                <w:sz w:val="18"/>
              </w:rPr>
              <w:t>A payment-infrastructure failure now returns an error instead of HTTP 200, and the order stays at Payment Started rather than moving to Payment Failed.</w:t>
            </w:r>
          </w:p>
        </w:tc>
        <w:tc>
          <w:tcPr>
            <w:tcW w:type="dxa" w:w="4320"/>
          </w:tcPr>
          <w:p>
            <w:pPr>
              <w:spacing w:after="40"/>
            </w:pPr>
            <w:r/>
            <w:r>
              <w:rPr>
                <w:sz w:val="18"/>
              </w:rPr>
              <w:t>An outage is not a customer decline. The order remains eligible for the legitimate callback.</w:t>
            </w:r>
          </w:p>
        </w:tc>
      </w:tr>
      <w:tr>
        <w:tc>
          <w:tcPr>
            <w:tcW w:type="dxa" w:w="432"/>
          </w:tcPr>
          <w:p>
            <w:pPr>
              <w:spacing w:after="40"/>
            </w:pPr>
            <w:r/>
            <w:r>
              <w:rPr>
                <w:sz w:val="18"/>
              </w:rPr>
              <w:t>2</w:t>
            </w:r>
          </w:p>
        </w:tc>
        <w:tc>
          <w:tcPr>
            <w:tcW w:type="dxa" w:w="4464"/>
          </w:tcPr>
          <w:p>
            <w:pPr>
              <w:spacing w:after="40"/>
            </w:pPr>
            <w:r/>
            <w:r>
              <w:rPr>
                <w:sz w:val="18"/>
              </w:rPr>
              <w:t>A payment callback without a valid nonce is rejected with HTTP 400.</w:t>
            </w:r>
          </w:p>
        </w:tc>
        <w:tc>
          <w:tcPr>
            <w:tcW w:type="dxa" w:w="4320"/>
          </w:tcPr>
          <w:p>
            <w:pPr>
              <w:spacing w:after="40"/>
            </w:pPr>
            <w:r/>
            <w:r>
              <w:rPr>
                <w:sz w:val="18"/>
              </w:rPr>
              <w:t>Callbacks were previously unauthenticated.</w:t>
            </w:r>
          </w:p>
        </w:tc>
      </w:tr>
      <w:tr>
        <w:tc>
          <w:tcPr>
            <w:tcW w:type="dxa" w:w="432"/>
          </w:tcPr>
          <w:p>
            <w:pPr>
              <w:spacing w:after="40"/>
            </w:pPr>
            <w:r/>
            <w:r>
              <w:rPr>
                <w:sz w:val="18"/>
              </w:rPr>
              <w:t>3</w:t>
            </w:r>
          </w:p>
        </w:tc>
        <w:tc>
          <w:tcPr>
            <w:tcW w:type="dxa" w:w="4464"/>
          </w:tcPr>
          <w:p>
            <w:pPr>
              <w:spacing w:after="40"/>
            </w:pPr>
            <w:r/>
            <w:r>
              <w:rPr>
                <w:sz w:val="18"/>
              </w:rPr>
              <w:t>A replayed callback is a no-op instead of being re-processed.</w:t>
            </w:r>
          </w:p>
        </w:tc>
        <w:tc>
          <w:tcPr>
            <w:tcW w:type="dxa" w:w="4320"/>
          </w:tcPr>
          <w:p>
            <w:pPr>
              <w:spacing w:after="40"/>
            </w:pPr>
            <w:r/>
            <w:r>
              <w:rPr>
                <w:sz w:val="18"/>
              </w:rPr>
              <w:t>Idempotency.</w:t>
            </w:r>
          </w:p>
        </w:tc>
      </w:tr>
      <w:tr>
        <w:tc>
          <w:tcPr>
            <w:tcW w:type="dxa" w:w="432"/>
          </w:tcPr>
          <w:p>
            <w:pPr>
              <w:spacing w:after="40"/>
            </w:pPr>
            <w:r/>
            <w:r>
              <w:rPr>
                <w:sz w:val="18"/>
              </w:rPr>
              <w:t>4</w:t>
            </w:r>
          </w:p>
        </w:tc>
        <w:tc>
          <w:tcPr>
            <w:tcW w:type="dxa" w:w="4464"/>
          </w:tcPr>
          <w:p>
            <w:pPr>
              <w:spacing w:after="40"/>
            </w:pPr>
            <w:r/>
            <w:r>
              <w:rPr>
                <w:sz w:val="18"/>
              </w:rPr>
              <w:t>Illegal order status transitions are rejected; the four unreachable statuses are rejected as targets.</w:t>
            </w:r>
          </w:p>
        </w:tc>
        <w:tc>
          <w:tcPr>
            <w:tcW w:type="dxa" w:w="4320"/>
          </w:tcPr>
          <w:p>
            <w:pPr>
              <w:spacing w:after="40"/>
            </w:pPr>
            <w:r/>
            <w:r>
              <w:rPr>
                <w:sz w:val="18"/>
              </w:rPr>
              <w:t>The status machine is now authoritative.</w:t>
            </w:r>
          </w:p>
        </w:tc>
      </w:tr>
      <w:tr>
        <w:tc>
          <w:tcPr>
            <w:tcW w:type="dxa" w:w="432"/>
          </w:tcPr>
          <w:p>
            <w:pPr>
              <w:spacing w:after="40"/>
            </w:pPr>
            <w:r/>
            <w:r>
              <w:rPr>
                <w:sz w:val="18"/>
              </w:rPr>
              <w:t>5</w:t>
            </w:r>
          </w:p>
        </w:tc>
        <w:tc>
          <w:tcPr>
            <w:tcW w:type="dxa" w:w="4464"/>
          </w:tcPr>
          <w:p>
            <w:pPr>
              <w:spacing w:after="40"/>
            </w:pPr>
            <w:r/>
            <w:r>
              <w:rPr>
                <w:sz w:val="18"/>
              </w:rPr>
              <w:t>Order confirmation mail is sent asynchronously, shortly after the status change, instead of synchronously during the request.</w:t>
            </w:r>
          </w:p>
        </w:tc>
        <w:tc>
          <w:tcPr>
            <w:tcW w:type="dxa" w:w="4320"/>
          </w:tcPr>
          <w:p>
            <w:pPr>
              <w:spacing w:after="40"/>
            </w:pPr>
            <w:r/>
            <w:r>
              <w:rPr>
                <w:sz w:val="18"/>
              </w:rPr>
              <w:t>Mail is no longer lost when a send fails.</w:t>
            </w:r>
          </w:p>
        </w:tc>
      </w:tr>
      <w:tr>
        <w:tc>
          <w:tcPr>
            <w:tcW w:type="dxa" w:w="432"/>
          </w:tcPr>
          <w:p>
            <w:pPr>
              <w:spacing w:after="40"/>
            </w:pPr>
            <w:r/>
            <w:r>
              <w:rPr>
                <w:sz w:val="18"/>
              </w:rPr>
              <w:t>6</w:t>
            </w:r>
          </w:p>
        </w:tc>
        <w:tc>
          <w:tcPr>
            <w:tcW w:type="dxa" w:w="4464"/>
          </w:tcPr>
          <w:p>
            <w:pPr>
              <w:spacing w:after="40"/>
            </w:pPr>
            <w:r/>
            <w:r>
              <w:rPr>
                <w:sz w:val="18"/>
              </w:rPr>
              <w:t>Sorting orders by customer surname is no longer supported. Eight sort keys remain.</w:t>
            </w:r>
          </w:p>
        </w:tc>
        <w:tc>
          <w:tcPr>
            <w:tcW w:type="dxa" w:w="4320"/>
          </w:tcPr>
          <w:p>
            <w:pPr>
              <w:spacing w:after="40"/>
            </w:pPr>
            <w:r/>
            <w:r>
              <w:rPr>
                <w:sz w:val="18"/>
              </w:rPr>
              <w:t>The key required a database join from orders into Identity's people table, which cannot survive the boundary. This is the only capability the conversion removed.</w:t>
            </w:r>
          </w:p>
        </w:tc>
      </w:tr>
      <w:tr>
        <w:tc>
          <w:tcPr>
            <w:tcW w:type="dxa" w:w="432"/>
          </w:tcPr>
          <w:p>
            <w:pPr>
              <w:spacing w:after="40"/>
            </w:pPr>
            <w:r/>
            <w:r>
              <w:rPr>
                <w:sz w:val="18"/>
              </w:rPr>
              <w:t>7</w:t>
            </w:r>
          </w:p>
        </w:tc>
        <w:tc>
          <w:tcPr>
            <w:tcW w:type="dxa" w:w="4464"/>
          </w:tcPr>
          <w:p>
            <w:pPr>
              <w:spacing w:after="40"/>
            </w:pPr>
            <w:r/>
            <w:r>
              <w:rPr>
                <w:sz w:val="18"/>
              </w:rPr>
              <w:t>Registration is now transactional and rolls back fully on failure.</w:t>
            </w:r>
          </w:p>
        </w:tc>
        <w:tc>
          <w:tcPr>
            <w:tcW w:type="dxa" w:w="4320"/>
          </w:tcPr>
          <w:p>
            <w:pPr>
              <w:spacing w:after="40"/>
            </w:pPr>
            <w:r/>
            <w:r>
              <w:rPr>
                <w:sz w:val="18"/>
              </w:rPr>
              <w:t>It previously could leave a partial record.</w:t>
            </w:r>
          </w:p>
        </w:tc>
      </w:tr>
      <w:tr>
        <w:tc>
          <w:tcPr>
            <w:tcW w:type="dxa" w:w="432"/>
          </w:tcPr>
          <w:p>
            <w:pPr>
              <w:spacing w:after="40"/>
            </w:pPr>
            <w:r/>
            <w:r>
              <w:rPr>
                <w:sz w:val="18"/>
              </w:rPr>
              <w:t>8</w:t>
            </w:r>
          </w:p>
        </w:tc>
        <w:tc>
          <w:tcPr>
            <w:tcW w:type="dxa" w:w="4464"/>
          </w:tcPr>
          <w:p>
            <w:pPr>
              <w:spacing w:after="40"/>
            </w:pPr>
            <w:r/>
            <w:r>
              <w:rPr>
                <w:sz w:val="18"/>
              </w:rPr>
              <w:t>A DELETE with no recognised filter parameter is rejected instead of matching all rows.</w:t>
            </w:r>
          </w:p>
        </w:tc>
        <w:tc>
          <w:tcPr>
            <w:tcW w:type="dxa" w:w="4320"/>
          </w:tcPr>
          <w:p>
            <w:pPr>
              <w:spacing w:after="40"/>
            </w:pPr>
            <w:r/>
            <w:r>
              <w:rPr>
                <w:sz w:val="18"/>
              </w:rPr>
              <w:t>A match-all delete was reachable.</w:t>
            </w:r>
          </w:p>
        </w:tc>
      </w:tr>
      <w:tr>
        <w:tc>
          <w:tcPr>
            <w:tcW w:type="dxa" w:w="432"/>
          </w:tcPr>
          <w:p>
            <w:pPr>
              <w:spacing w:after="40"/>
            </w:pPr>
            <w:r/>
            <w:r>
              <w:rPr>
                <w:sz w:val="18"/>
              </w:rPr>
              <w:t>9</w:t>
            </w:r>
          </w:p>
        </w:tc>
        <w:tc>
          <w:tcPr>
            <w:tcW w:type="dxa" w:w="4464"/>
          </w:tcPr>
          <w:p>
            <w:pPr>
              <w:spacing w:after="40"/>
            </w:pPr>
            <w:r/>
            <w:r>
              <w:rPr>
                <w:sz w:val="18"/>
              </w:rPr>
              <w:t>Identity ships with no user accounts.</w:t>
            </w:r>
          </w:p>
        </w:tc>
        <w:tc>
          <w:tcPr>
            <w:tcW w:type="dxa" w:w="4320"/>
          </w:tcPr>
          <w:p>
            <w:pPr>
              <w:spacing w:after="40"/>
            </w:pPr>
            <w:r/>
            <w:r>
              <w:rPr>
                <w:sz w:val="18"/>
              </w:rPr>
              <w:t>Credentials are no longer committed. See section 9.3.</w:t>
            </w:r>
          </w:p>
        </w:tc>
      </w:tr>
    </w:tbl>
    <w:p>
      <w:pPr>
        <w:spacing w:after="80"/>
      </w:pPr>
    </w:p>
    <w:p>
      <w:pPr>
        <w:spacing w:after="120"/>
      </w:pPr>
      <w:r>
        <w:rPr>
          <w:b w:val="0"/>
          <w:i/>
          <w:color w:val="595959"/>
          <w:sz w:val="19"/>
        </w:rPr>
        <w:t>Two client-observable oddities were deliberately preserved rather than fixed, because they are visible contracts and changing them was outside the conversion's remit: a shipper validation error reports the wrong domain name in its message, and company profile fields serialise as explicit nulls rather than being omitted.</w:t>
      </w:r>
    </w:p>
    <w:p>
      <w:pPr>
        <w:pStyle w:val="Heading1"/>
      </w:pPr>
      <w:r>
        <w:t>11  Known issues and outstanding work</w:t>
      </w:r>
    </w:p>
    <w:p>
      <w:pPr>
        <w:spacing w:after="120"/>
      </w:pPr>
      <w:r>
        <w:rPr>
          <w:b w:val="0"/>
          <w:i w:val="0"/>
          <w:sz w:val="21"/>
        </w:rPr>
        <w:t>Nothing here blocks the architecture, but the first item should be read before any production migration.</w:t>
      </w:r>
    </w:p>
    <w:p>
      <w:pPr>
        <w:pStyle w:val="Heading2"/>
      </w:pPr>
      <w:r>
        <w:t>11.1  Live database migration - not performed</w:t>
      </w:r>
    </w:p>
    <w:p>
      <w:pPr>
        <w:spacing w:after="120"/>
      </w:pPr>
      <w:r>
        <w:rPr>
          <w:b w:val="0"/>
          <w:i w:val="0"/>
          <w:color w:val="A61C1C"/>
          <w:sz w:val="21"/>
        </w:rPr>
        <w:t>This programme removed schema definition files from the repository. It did not touch any live database. Retiring the shared schema against a populated database destroys data that version control never held, and it is the one genuinely irreversible step in the whole migration. Sequence it against a verified backup and a tested migration into the three service schemas.</w:t>
      </w:r>
    </w:p>
    <w:p>
      <w:pPr>
        <w:pStyle w:val="Heading2"/>
      </w:pPr>
      <w:r>
        <w:t>11.2  Carried-forward items</w:t>
      </w:r>
    </w:p>
    <w:tbl>
      <w:tblPr>
        <w:tblStyle w:val="LightGrid-Accent1"/>
        <w:tblW w:type="auto" w:w="0"/>
        <w:jc w:val="center"/>
        <w:tblLook w:firstColumn="1" w:firstRow="1" w:lastColumn="0" w:lastRow="0" w:noHBand="0" w:noVBand="1" w:val="04A0"/>
      </w:tblPr>
      <w:tblGrid>
        <w:gridCol w:w="3216"/>
        <w:gridCol w:w="3216"/>
        <w:gridCol w:w="3216"/>
      </w:tblGrid>
      <w:tr>
        <w:tc>
          <w:tcPr>
            <w:tcW w:type="dxa" w:w="2016"/>
          </w:tcPr>
          <w:p>
            <w:r/>
            <w:r>
              <w:rPr>
                <w:b/>
                <w:sz w:val="18"/>
              </w:rPr>
              <w:t>Item</w:t>
            </w:r>
          </w:p>
        </w:tc>
        <w:tc>
          <w:tcPr>
            <w:tcW w:type="dxa" w:w="5904"/>
          </w:tcPr>
          <w:p>
            <w:r/>
            <w:r>
              <w:rPr>
                <w:b/>
                <w:sz w:val="18"/>
              </w:rPr>
              <w:t>Description</w:t>
            </w:r>
          </w:p>
        </w:tc>
        <w:tc>
          <w:tcPr>
            <w:tcW w:type="dxa" w:w="1296"/>
          </w:tcPr>
          <w:p>
            <w:r/>
            <w:r>
              <w:rPr>
                <w:b/>
                <w:sz w:val="18"/>
              </w:rPr>
              <w:t>Severity</w:t>
            </w:r>
          </w:p>
        </w:tc>
      </w:tr>
      <w:tr>
        <w:tc>
          <w:tcPr>
            <w:tcW w:type="dxa" w:w="2016"/>
          </w:tcPr>
          <w:p>
            <w:pPr>
              <w:spacing w:after="40"/>
            </w:pPr>
            <w:r/>
            <w:r>
              <w:rPr>
                <w:sz w:val="18"/>
              </w:rPr>
              <w:t>Orphaned-customer window</w:t>
            </w:r>
          </w:p>
        </w:tc>
        <w:tc>
          <w:tcPr>
            <w:tcW w:type="dxa" w:w="5904"/>
          </w:tcPr>
          <w:p>
            <w:pPr>
              <w:spacing w:after="40"/>
            </w:pPr>
            <w:r/>
            <w:r>
              <w:rPr>
                <w:sz w:val="18"/>
              </w:rPr>
              <w:t>Administrative order-create path only. Identity writes the customer, Orders writes the order, two transactions with no shared commit. Guest and registered checkout are unaffected.</w:t>
            </w:r>
          </w:p>
        </w:tc>
        <w:tc>
          <w:tcPr>
            <w:tcW w:type="dxa" w:w="1296"/>
          </w:tcPr>
          <w:p>
            <w:pPr>
              <w:spacing w:after="40"/>
            </w:pPr>
            <w:r/>
            <w:r>
              <w:rPr>
                <w:sz w:val="18"/>
              </w:rPr>
              <w:t>Medium</w:t>
            </w:r>
          </w:p>
        </w:tc>
      </w:tr>
      <w:tr>
        <w:tc>
          <w:tcPr>
            <w:tcW w:type="dxa" w:w="2016"/>
          </w:tcPr>
          <w:p>
            <w:pPr>
              <w:spacing w:after="40"/>
            </w:pPr>
            <w:r/>
            <w:r>
              <w:rPr>
                <w:sz w:val="18"/>
              </w:rPr>
              <w:t>Bearer token in an exception message</w:t>
            </w:r>
          </w:p>
        </w:tc>
        <w:tc>
          <w:tcPr>
            <w:tcW w:type="dxa" w:w="5904"/>
          </w:tcPr>
          <w:p>
            <w:pPr>
              <w:spacing w:after="40"/>
            </w:pPr>
            <w:r/>
            <w:r>
              <w:rPr>
                <w:sz w:val="18"/>
              </w:rPr>
              <w:t>An untrusted-token exception interpolates the whole bearer token into its message. Nothing emits that message today - verified - but the first handler that logs it leaks a live credential.</w:t>
            </w:r>
          </w:p>
        </w:tc>
        <w:tc>
          <w:tcPr>
            <w:tcW w:type="dxa" w:w="1296"/>
          </w:tcPr>
          <w:p>
            <w:pPr>
              <w:spacing w:after="40"/>
            </w:pPr>
            <w:r/>
            <w:r>
              <w:rPr>
                <w:sz w:val="18"/>
              </w:rPr>
              <w:t>Medium - security</w:t>
            </w:r>
          </w:p>
        </w:tc>
      </w:tr>
      <w:tr>
        <w:tc>
          <w:tcPr>
            <w:tcW w:type="dxa" w:w="2016"/>
          </w:tcPr>
          <w:p>
            <w:pPr>
              <w:spacing w:after="40"/>
            </w:pPr>
            <w:r/>
            <w:r>
              <w:rPr>
                <w:sz w:val="18"/>
              </w:rPr>
              <w:t>Legacy surrogate columns</w:t>
            </w:r>
          </w:p>
        </w:tc>
        <w:tc>
          <w:tcPr>
            <w:tcW w:type="dxa" w:w="5904"/>
          </w:tcPr>
          <w:p>
            <w:pPr>
              <w:spacing w:after="40"/>
            </w:pPr>
            <w:r/>
            <w:r>
              <w:rPr>
                <w:sz w:val="18"/>
              </w:rPr>
              <w:t>Three retained nullable, unmapped columns on orders and order_details. Nothing reads them; they can now be dropped.</w:t>
            </w:r>
          </w:p>
        </w:tc>
        <w:tc>
          <w:tcPr>
            <w:tcW w:type="dxa" w:w="1296"/>
          </w:tcPr>
          <w:p>
            <w:pPr>
              <w:spacing w:after="40"/>
            </w:pPr>
            <w:r/>
            <w:r>
              <w:rPr>
                <w:sz w:val="18"/>
              </w:rPr>
              <w:t>Low</w:t>
            </w:r>
          </w:p>
        </w:tc>
      </w:tr>
      <w:tr>
        <w:tc>
          <w:tcPr>
            <w:tcW w:type="dxa" w:w="2016"/>
          </w:tcPr>
          <w:p>
            <w:pPr>
              <w:spacing w:after="40"/>
            </w:pPr>
            <w:r/>
            <w:r>
              <w:rPr>
                <w:sz w:val="18"/>
              </w:rPr>
              <w:t>Silent no-op patch fields</w:t>
            </w:r>
          </w:p>
        </w:tc>
        <w:tc>
          <w:tcPr>
            <w:tcW w:type="dxa" w:w="5904"/>
          </w:tcPr>
          <w:p>
            <w:pPr>
              <w:spacing w:after="40"/>
            </w:pPr>
            <w:r/>
            <w:r>
              <w:rPr>
                <w:sz w:val="18"/>
              </w:rPr>
              <w:t>Payment type and shipper patches are discarded by the same non-updatable mapping that affected status. The request reports success.</w:t>
            </w:r>
          </w:p>
        </w:tc>
        <w:tc>
          <w:tcPr>
            <w:tcW w:type="dxa" w:w="1296"/>
          </w:tcPr>
          <w:p>
            <w:pPr>
              <w:spacing w:after="40"/>
            </w:pPr>
            <w:r/>
            <w:r>
              <w:rPr>
                <w:sz w:val="18"/>
              </w:rPr>
              <w:t>Low</w:t>
            </w:r>
          </w:p>
        </w:tc>
      </w:tr>
      <w:tr>
        <w:tc>
          <w:tcPr>
            <w:tcW w:type="dxa" w:w="2016"/>
          </w:tcPr>
          <w:p>
            <w:pPr>
              <w:spacing w:after="40"/>
            </w:pPr>
            <w:r/>
            <w:r>
              <w:rPr>
                <w:sz w:val="18"/>
              </w:rPr>
              <w:t>Shared mutable mail request</w:t>
            </w:r>
          </w:p>
        </w:tc>
        <w:tc>
          <w:tcPr>
            <w:tcW w:type="dxa" w:w="5904"/>
          </w:tcPr>
          <w:p>
            <w:pPr>
              <w:spacing w:after="40"/>
            </w:pPr>
            <w:r/>
            <w:r>
              <w:rPr>
                <w:sz w:val="18"/>
              </w:rPr>
              <w:t>The Mailgun adapter builds one mutable request object and mutates it per call. Safe only while the dispatcher is single-threaded. Raising dispatcher concurrency makes it live.</w:t>
            </w:r>
          </w:p>
        </w:tc>
        <w:tc>
          <w:tcPr>
            <w:tcW w:type="dxa" w:w="1296"/>
          </w:tcPr>
          <w:p>
            <w:pPr>
              <w:spacing w:after="40"/>
            </w:pPr>
            <w:r/>
            <w:r>
              <w:rPr>
                <w:sz w:val="18"/>
              </w:rPr>
              <w:t>Low - latent</w:t>
            </w:r>
          </w:p>
        </w:tc>
      </w:tr>
      <w:tr>
        <w:tc>
          <w:tcPr>
            <w:tcW w:type="dxa" w:w="2016"/>
          </w:tcPr>
          <w:p>
            <w:pPr>
              <w:spacing w:after="40"/>
            </w:pPr>
            <w:r/>
            <w:r>
              <w:rPr>
                <w:sz w:val="18"/>
              </w:rPr>
              <w:t>Guest name as credential</w:t>
            </w:r>
          </w:p>
        </w:tc>
        <w:tc>
          <w:tcPr>
            <w:tcW w:type="dxa" w:w="5904"/>
          </w:tcPr>
          <w:p>
            <w:pPr>
              <w:spacing w:after="40"/>
            </w:pPr>
            <w:r/>
            <w:r>
              <w:rPr>
                <w:sz w:val="18"/>
              </w:rPr>
              <w:t>The guest account name is itself the credential. A product decision, preserved deliberately.</w:t>
            </w:r>
          </w:p>
        </w:tc>
        <w:tc>
          <w:tcPr>
            <w:tcW w:type="dxa" w:w="1296"/>
          </w:tcPr>
          <w:p>
            <w:pPr>
              <w:spacing w:after="40"/>
            </w:pPr>
            <w:r/>
            <w:r>
              <w:rPr>
                <w:sz w:val="18"/>
              </w:rPr>
              <w:t>Low</w:t>
            </w:r>
          </w:p>
        </w:tc>
      </w:tr>
      <w:tr>
        <w:tc>
          <w:tcPr>
            <w:tcW w:type="dxa" w:w="2016"/>
          </w:tcPr>
          <w:p>
            <w:pPr>
              <w:spacing w:after="40"/>
            </w:pPr>
            <w:r/>
            <w:r>
              <w:rPr>
                <w:sz w:val="18"/>
              </w:rPr>
              <w:t>Inert configuration</w:t>
            </w:r>
          </w:p>
        </w:tc>
        <w:tc>
          <w:tcPr>
            <w:tcW w:type="dxa" w:w="5904"/>
          </w:tcPr>
          <w:p>
            <w:pPr>
              <w:spacing w:after="40"/>
            </w:pPr>
            <w:r/>
            <w:r>
              <w:rPr>
                <w:sz w:val="18"/>
              </w:rPr>
              <w:t>Two validation regex properties remain in Orders but bind to nothing.</w:t>
            </w:r>
          </w:p>
        </w:tc>
        <w:tc>
          <w:tcPr>
            <w:tcW w:type="dxa" w:w="1296"/>
          </w:tcPr>
          <w:p>
            <w:pPr>
              <w:spacing w:after="40"/>
            </w:pPr>
            <w:r/>
            <w:r>
              <w:rPr>
                <w:sz w:val="18"/>
              </w:rPr>
              <w:t>Cosmetic</w:t>
            </w:r>
          </w:p>
        </w:tc>
      </w:tr>
      <w:tr>
        <w:tc>
          <w:tcPr>
            <w:tcW w:type="dxa" w:w="2016"/>
          </w:tcPr>
          <w:p>
            <w:pPr>
              <w:spacing w:after="40"/>
            </w:pPr>
            <w:r/>
            <w:r>
              <w:rPr>
                <w:sz w:val="18"/>
              </w:rPr>
              <w:t>Repository hygiene</w:t>
            </w:r>
          </w:p>
        </w:tc>
        <w:tc>
          <w:tcPr>
            <w:tcW w:type="dxa" w:w="5904"/>
          </w:tcPr>
          <w:p>
            <w:pPr>
              <w:spacing w:after="40"/>
            </w:pPr>
            <w:r/>
            <w:r>
              <w:rPr>
                <w:sz w:val="18"/>
              </w:rPr>
              <w:t>Build output is tracked in version control and .gitignore covers only log files. Pre-existing; deliberately not changed during a conversion phase.</w:t>
            </w:r>
          </w:p>
        </w:tc>
        <w:tc>
          <w:tcPr>
            <w:tcW w:type="dxa" w:w="1296"/>
          </w:tcPr>
          <w:p>
            <w:pPr>
              <w:spacing w:after="40"/>
            </w:pPr>
            <w:r/>
            <w:r>
              <w:rPr>
                <w:sz w:val="18"/>
              </w:rPr>
              <w:t>Cosmetic</w:t>
            </w:r>
          </w:p>
        </w:tc>
      </w:tr>
    </w:tbl>
    <w:p>
      <w:pPr>
        <w:spacing w:after="80"/>
      </w:pPr>
    </w:p>
    <w:p>
      <w:pPr>
        <w:pStyle w:val="Heading2"/>
      </w:pPr>
      <w:r>
        <w:t>11.3  Dependency vulnerabilities</w:t>
      </w:r>
    </w:p>
    <w:p>
      <w:pPr>
        <w:spacing w:after="120"/>
      </w:pPr>
      <w:r>
        <w:rPr>
          <w:b w:val="0"/>
          <w:i w:val="0"/>
          <w:sz w:val="21"/>
        </w:rPr>
        <w:t>QueryDSL 5.0.0 carries CVE-2024-49203 (HIGH) and has no fixed release available, including 5.1.0. It is inherited from the original application, not introduced. The accepted mitigation is that the sort expression passed to the query builder is always drawn from a closed, enumerated map rather than from user input - and that property is now asserted by a test rather than argued from reading the code. It should be re-reviewed whenever a fixed release appears.</w:t>
      </w:r>
    </w:p>
    <w:p>
      <w:pPr>
        <w:spacing w:after="120"/>
      </w:pPr>
      <w:r>
        <w:rPr>
          <w:b w:val="0"/>
          <w:i w:val="0"/>
          <w:sz w:val="21"/>
        </w:rPr>
        <w:t>Decommissioning the monolith resolved a split that had been open since the first extraction: it was the last module shipping vulnerable versions of the MariaDB client and Apache Commons Lang. All three services pin the fixed versions, so the platform is no longer internally inconsistent on those two.</w:t>
      </w:r>
    </w:p>
    <w:p>
      <w:pPr>
        <w:pStyle w:val="Heading1"/>
      </w:pPr>
      <w:r>
        <w:t>12  Architecture decision records</w:t>
      </w:r>
    </w:p>
    <w:tbl>
      <w:tblPr>
        <w:tblStyle w:val="LightGrid-Accent1"/>
        <w:tblW w:type="auto" w:w="0"/>
        <w:jc w:val="center"/>
        <w:tblLook w:firstColumn="1" w:firstRow="1" w:lastColumn="0" w:lastRow="0" w:noHBand="0" w:noVBand="1" w:val="04A0"/>
      </w:tblPr>
      <w:tblGrid>
        <w:gridCol w:w="3216"/>
        <w:gridCol w:w="3216"/>
        <w:gridCol w:w="3216"/>
      </w:tblGrid>
      <w:tr>
        <w:tc>
          <w:tcPr>
            <w:tcW w:type="dxa" w:w="1296"/>
          </w:tcPr>
          <w:p>
            <w:r/>
            <w:r>
              <w:rPr>
                <w:b/>
                <w:sz w:val="19"/>
              </w:rPr>
              <w:t>ADR</w:t>
            </w:r>
          </w:p>
        </w:tc>
        <w:tc>
          <w:tcPr>
            <w:tcW w:type="dxa" w:w="6624"/>
          </w:tcPr>
          <w:p>
            <w:r/>
            <w:r>
              <w:rPr>
                <w:b/>
                <w:sz w:val="19"/>
              </w:rPr>
              <w:t>Decision</w:t>
            </w:r>
          </w:p>
        </w:tc>
        <w:tc>
          <w:tcPr>
            <w:tcW w:type="dxa" w:w="1296"/>
          </w:tcPr>
          <w:p>
            <w:r/>
            <w:r>
              <w:rPr>
                <w:b/>
                <w:sz w:val="19"/>
              </w:rPr>
              <w:t>Status</w:t>
            </w:r>
          </w:p>
        </w:tc>
      </w:tr>
      <w:tr>
        <w:tc>
          <w:tcPr>
            <w:tcW w:type="dxa" w:w="1296"/>
          </w:tcPr>
          <w:p>
            <w:pPr>
              <w:spacing w:after="40"/>
            </w:pPr>
            <w:r/>
            <w:r>
              <w:rPr>
                <w:sz w:val="19"/>
              </w:rPr>
              <w:t>ADR-001</w:t>
            </w:r>
          </w:p>
        </w:tc>
        <w:tc>
          <w:tcPr>
            <w:tcW w:type="dxa" w:w="6624"/>
          </w:tcPr>
          <w:p>
            <w:pPr>
              <w:spacing w:after="40"/>
            </w:pPr>
            <w:r/>
            <w:r>
              <w:rPr>
                <w:sz w:val="19"/>
              </w:rPr>
              <w:t>Consistency model for registration and checkout. No distributed transactions; local transactions plus explicitly accepted windows.</w:t>
            </w:r>
          </w:p>
        </w:tc>
        <w:tc>
          <w:tcPr>
            <w:tcW w:type="dxa" w:w="1296"/>
          </w:tcPr>
          <w:p>
            <w:pPr>
              <w:spacing w:after="40"/>
            </w:pPr>
            <w:r/>
            <w:r>
              <w:rPr>
                <w:sz w:val="19"/>
              </w:rPr>
              <w:t>Accepted</w:t>
            </w:r>
          </w:p>
        </w:tc>
      </w:tr>
      <w:tr>
        <w:tc>
          <w:tcPr>
            <w:tcW w:type="dxa" w:w="1296"/>
          </w:tcPr>
          <w:p>
            <w:pPr>
              <w:spacing w:after="40"/>
            </w:pPr>
            <w:r/>
            <w:r>
              <w:rPr>
                <w:sz w:val="19"/>
              </w:rPr>
              <w:t>ADR-002</w:t>
            </w:r>
          </w:p>
        </w:tc>
        <w:tc>
          <w:tcPr>
            <w:tcW w:type="dxa" w:w="6624"/>
          </w:tcPr>
          <w:p>
            <w:pPr>
              <w:spacing w:after="40"/>
            </w:pPr>
            <w:r/>
            <w:r>
              <w:rPr>
                <w:sz w:val="19"/>
              </w:rPr>
              <w:t>Authentication propagation. Identity is the sole issuer; every service verifies locally with the shared key.</w:t>
            </w:r>
          </w:p>
        </w:tc>
        <w:tc>
          <w:tcPr>
            <w:tcW w:type="dxa" w:w="1296"/>
          </w:tcPr>
          <w:p>
            <w:pPr>
              <w:spacing w:after="40"/>
            </w:pPr>
            <w:r/>
            <w:r>
              <w:rPr>
                <w:sz w:val="19"/>
              </w:rPr>
              <w:t>Accepted</w:t>
            </w:r>
          </w:p>
        </w:tc>
      </w:tr>
      <w:tr>
        <w:tc>
          <w:tcPr>
            <w:tcW w:type="dxa" w:w="1296"/>
          </w:tcPr>
          <w:p>
            <w:pPr>
              <w:spacing w:after="40"/>
            </w:pPr>
            <w:r/>
            <w:r>
              <w:rPr>
                <w:sz w:val="19"/>
              </w:rPr>
              <w:t>ADR-003</w:t>
            </w:r>
          </w:p>
        </w:tc>
        <w:tc>
          <w:tcPr>
            <w:tcW w:type="dxa" w:w="6624"/>
          </w:tcPr>
          <w:p>
            <w:pPr>
              <w:spacing w:after="40"/>
            </w:pPr>
            <w:r/>
            <w:r>
              <w:rPr>
                <w:sz w:val="19"/>
              </w:rPr>
              <w:t>Target architecture. Three services, chosen over a modular monolith.</w:t>
            </w:r>
          </w:p>
        </w:tc>
        <w:tc>
          <w:tcPr>
            <w:tcW w:type="dxa" w:w="1296"/>
          </w:tcPr>
          <w:p>
            <w:pPr>
              <w:spacing w:after="40"/>
            </w:pPr>
            <w:r/>
            <w:r>
              <w:rPr>
                <w:sz w:val="19"/>
              </w:rPr>
              <w:t>Accepted</w:t>
            </w:r>
          </w:p>
        </w:tc>
      </w:tr>
    </w:tbl>
    <w:p>
      <w:pPr>
        <w:spacing w:after="80"/>
      </w:pPr>
    </w:p>
    <w:p>
      <w:pPr>
        <w:spacing w:after="120"/>
      </w:pPr>
      <w:r>
        <w:rPr>
          <w:b w:val="0"/>
          <w:i w:val="0"/>
          <w:sz w:val="21"/>
        </w:rPr>
        <w:t>The decision records, the full defect register with 31 numbered items and their rulings, the five phase exit records and the porting-depth specifications for all twelve domains are in the repository under microservices-conversion/ and detailed-business-specification/. They were moved to the repository root during decommissioning, because they had been stored inside the monolith module and would otherwise have been deleted with it.</w:t>
      </w:r>
    </w:p>
    <w:p>
      <w:r>
        <w:br w:type="page"/>
      </w:r>
    </w:p>
    <w:p>
      <w:pPr>
        <w:pStyle w:val="Heading1"/>
      </w:pPr>
      <w:r>
        <w:t>Appendix A  Route inventory</w:t>
      </w:r>
    </w:p>
    <w:p>
      <w:pPr>
        <w:spacing w:after="120"/>
      </w:pPr>
      <w:r>
        <w:rPr>
          <w:b w:val="0"/>
          <w:i/>
          <w:color w:val="595959"/>
          <w:sz w:val="19"/>
        </w:rPr>
        <w:t>All 67 distinct routes, grouped by owning service. GET / is served by all three services as a liveness endpoint and is listed once per service.</w:t>
      </w:r>
    </w:p>
    <w:p>
      <w:pPr>
        <w:pStyle w:val="Heading2"/>
      </w:pPr>
      <w:r>
        <w:t>Catalogue Service  -  26 routes</w:t>
      </w:r>
    </w:p>
    <w:tbl>
      <w:tblPr>
        <w:tblStyle w:val="LightGrid-Accent1"/>
        <w:tblW w:type="auto" w:w="0"/>
        <w:jc w:val="center"/>
        <w:tblLook w:firstColumn="1" w:firstRow="1" w:lastColumn="0" w:lastRow="0" w:noHBand="0" w:noVBand="1" w:val="04A0"/>
      </w:tblPr>
      <w:tblGrid>
        <w:gridCol w:w="3216"/>
        <w:gridCol w:w="3216"/>
        <w:gridCol w:w="3216"/>
      </w:tblGrid>
      <w:tr>
        <w:tc>
          <w:tcPr>
            <w:tcW w:type="dxa" w:w="1152"/>
          </w:tcPr>
          <w:p>
            <w:r/>
            <w:r>
              <w:rPr>
                <w:b/>
                <w:sz w:val="17"/>
              </w:rPr>
              <w:t>Method</w:t>
            </w:r>
          </w:p>
        </w:tc>
        <w:tc>
          <w:tcPr>
            <w:tcW w:type="dxa" w:w="4176"/>
          </w:tcPr>
          <w:p>
            <w:r/>
            <w:r>
              <w:rPr>
                <w:b/>
                <w:sz w:val="17"/>
              </w:rPr>
              <w:t>Path</w:t>
            </w:r>
          </w:p>
        </w:tc>
        <w:tc>
          <w:tcPr>
            <w:tcW w:type="dxa" w:w="3888"/>
          </w:tcPr>
          <w:p>
            <w:r/>
            <w:r>
              <w:rPr>
                <w:b/>
                <w:sz w:val="17"/>
              </w:rPr>
              <w:t>Controller</w:t>
            </w:r>
          </w:p>
        </w:tc>
      </w:tr>
      <w:tr>
        <w:tc>
          <w:tcPr>
            <w:tcW w:type="dxa" w:w="1152"/>
          </w:tcPr>
          <w:p>
            <w:pPr>
              <w:spacing w:after="40"/>
            </w:pPr>
            <w:r/>
            <w:r>
              <w:rPr>
                <w:sz w:val="17"/>
              </w:rPr>
              <w:t>GET</w:t>
            </w:r>
          </w:p>
        </w:tc>
        <w:tc>
          <w:tcPr>
            <w:tcW w:type="dxa" w:w="4176"/>
          </w:tcPr>
          <w:p>
            <w:pPr>
              <w:spacing w:after="40"/>
            </w:pPr>
            <w:r/>
            <w:r>
              <w:rPr>
                <w:sz w:val="17"/>
              </w:rPr>
              <w:t>/</w:t>
            </w:r>
          </w:p>
        </w:tc>
        <w:tc>
          <w:tcPr>
            <w:tcW w:type="dxa" w:w="3888"/>
          </w:tcPr>
          <w:p>
            <w:pPr>
              <w:spacing w:after="40"/>
            </w:pPr>
            <w:r/>
            <w:r>
              <w:rPr>
                <w:sz w:val="17"/>
              </w:rPr>
              <w:t>RootController</w:t>
            </w:r>
          </w:p>
        </w:tc>
      </w:tr>
      <w:tr>
        <w:tc>
          <w:tcPr>
            <w:tcW w:type="dxa" w:w="1152"/>
          </w:tcPr>
          <w:p>
            <w:pPr>
              <w:spacing w:after="40"/>
            </w:pPr>
            <w:r/>
            <w:r>
              <w:rPr>
                <w:sz w:val="17"/>
              </w:rPr>
              <w:t>DELETE</w:t>
            </w:r>
          </w:p>
        </w:tc>
        <w:tc>
          <w:tcPr>
            <w:tcW w:type="dxa" w:w="4176"/>
          </w:tcPr>
          <w:p>
            <w:pPr>
              <w:spacing w:after="40"/>
            </w:pPr>
            <w:r/>
            <w:r>
              <w:rPr>
                <w:sz w:val="17"/>
              </w:rPr>
              <w:t>/data/images</w:t>
            </w:r>
          </w:p>
        </w:tc>
        <w:tc>
          <w:tcPr>
            <w:tcW w:type="dxa" w:w="3888"/>
          </w:tcPr>
          <w:p>
            <w:pPr>
              <w:spacing w:after="40"/>
            </w:pPr>
            <w:r/>
            <w:r>
              <w:rPr>
                <w:sz w:val="17"/>
              </w:rPr>
              <w:t>DataImagesController</w:t>
            </w:r>
          </w:p>
        </w:tc>
      </w:tr>
      <w:tr>
        <w:tc>
          <w:tcPr>
            <w:tcW w:type="dxa" w:w="1152"/>
          </w:tcPr>
          <w:p>
            <w:pPr>
              <w:spacing w:after="40"/>
            </w:pPr>
            <w:r/>
            <w:r>
              <w:rPr>
                <w:sz w:val="17"/>
              </w:rPr>
              <w:t>GET</w:t>
            </w:r>
          </w:p>
        </w:tc>
        <w:tc>
          <w:tcPr>
            <w:tcW w:type="dxa" w:w="4176"/>
          </w:tcPr>
          <w:p>
            <w:pPr>
              <w:spacing w:after="40"/>
            </w:pPr>
            <w:r/>
            <w:r>
              <w:rPr>
                <w:sz w:val="17"/>
              </w:rPr>
              <w:t>/data/images</w:t>
            </w:r>
          </w:p>
        </w:tc>
        <w:tc>
          <w:tcPr>
            <w:tcW w:type="dxa" w:w="3888"/>
          </w:tcPr>
          <w:p>
            <w:pPr>
              <w:spacing w:after="40"/>
            </w:pPr>
            <w:r/>
            <w:r>
              <w:rPr>
                <w:sz w:val="17"/>
              </w:rPr>
              <w:t>DataImagesController</w:t>
            </w:r>
          </w:p>
        </w:tc>
      </w:tr>
      <w:tr>
        <w:tc>
          <w:tcPr>
            <w:tcW w:type="dxa" w:w="1152"/>
          </w:tcPr>
          <w:p>
            <w:pPr>
              <w:spacing w:after="40"/>
            </w:pPr>
            <w:r/>
            <w:r>
              <w:rPr>
                <w:sz w:val="17"/>
              </w:rPr>
              <w:t>PATCH</w:t>
            </w:r>
          </w:p>
        </w:tc>
        <w:tc>
          <w:tcPr>
            <w:tcW w:type="dxa" w:w="4176"/>
          </w:tcPr>
          <w:p>
            <w:pPr>
              <w:spacing w:after="40"/>
            </w:pPr>
            <w:r/>
            <w:r>
              <w:rPr>
                <w:sz w:val="17"/>
              </w:rPr>
              <w:t>/data/images</w:t>
            </w:r>
          </w:p>
        </w:tc>
        <w:tc>
          <w:tcPr>
            <w:tcW w:type="dxa" w:w="3888"/>
          </w:tcPr>
          <w:p>
            <w:pPr>
              <w:spacing w:after="40"/>
            </w:pPr>
            <w:r/>
            <w:r>
              <w:rPr>
                <w:sz w:val="17"/>
              </w:rPr>
              <w:t>DataImagesController</w:t>
            </w:r>
          </w:p>
        </w:tc>
      </w:tr>
      <w:tr>
        <w:tc>
          <w:tcPr>
            <w:tcW w:type="dxa" w:w="1152"/>
          </w:tcPr>
          <w:p>
            <w:pPr>
              <w:spacing w:after="40"/>
            </w:pPr>
            <w:r/>
            <w:r>
              <w:rPr>
                <w:sz w:val="17"/>
              </w:rPr>
              <w:t>POST</w:t>
            </w:r>
          </w:p>
        </w:tc>
        <w:tc>
          <w:tcPr>
            <w:tcW w:type="dxa" w:w="4176"/>
          </w:tcPr>
          <w:p>
            <w:pPr>
              <w:spacing w:after="40"/>
            </w:pPr>
            <w:r/>
            <w:r>
              <w:rPr>
                <w:sz w:val="17"/>
              </w:rPr>
              <w:t>/data/images</w:t>
            </w:r>
          </w:p>
        </w:tc>
        <w:tc>
          <w:tcPr>
            <w:tcW w:type="dxa" w:w="3888"/>
          </w:tcPr>
          <w:p>
            <w:pPr>
              <w:spacing w:after="40"/>
            </w:pPr>
            <w:r/>
            <w:r>
              <w:rPr>
                <w:sz w:val="17"/>
              </w:rPr>
              <w:t>DataImagesController</w:t>
            </w:r>
          </w:p>
        </w:tc>
      </w:tr>
      <w:tr>
        <w:tc>
          <w:tcPr>
            <w:tcW w:type="dxa" w:w="1152"/>
          </w:tcPr>
          <w:p>
            <w:pPr>
              <w:spacing w:after="40"/>
            </w:pPr>
            <w:r/>
            <w:r>
              <w:rPr>
                <w:sz w:val="17"/>
              </w:rPr>
              <w:t>PUT</w:t>
            </w:r>
          </w:p>
        </w:tc>
        <w:tc>
          <w:tcPr>
            <w:tcW w:type="dxa" w:w="4176"/>
          </w:tcPr>
          <w:p>
            <w:pPr>
              <w:spacing w:after="40"/>
            </w:pPr>
            <w:r/>
            <w:r>
              <w:rPr>
                <w:sz w:val="17"/>
              </w:rPr>
              <w:t>/data/images</w:t>
            </w:r>
          </w:p>
        </w:tc>
        <w:tc>
          <w:tcPr>
            <w:tcW w:type="dxa" w:w="3888"/>
          </w:tcPr>
          <w:p>
            <w:pPr>
              <w:spacing w:after="40"/>
            </w:pPr>
            <w:r/>
            <w:r>
              <w:rPr>
                <w:sz w:val="17"/>
              </w:rPr>
              <w:t>DataImagesController</w:t>
            </w:r>
          </w:p>
        </w:tc>
      </w:tr>
      <w:tr>
        <w:tc>
          <w:tcPr>
            <w:tcW w:type="dxa" w:w="1152"/>
          </w:tcPr>
          <w:p>
            <w:pPr>
              <w:spacing w:after="40"/>
            </w:pPr>
            <w:r/>
            <w:r>
              <w:rPr>
                <w:sz w:val="17"/>
              </w:rPr>
              <w:t>DELETE</w:t>
            </w:r>
          </w:p>
        </w:tc>
        <w:tc>
          <w:tcPr>
            <w:tcW w:type="dxa" w:w="4176"/>
          </w:tcPr>
          <w:p>
            <w:pPr>
              <w:spacing w:after="40"/>
            </w:pPr>
            <w:r/>
            <w:r>
              <w:rPr>
                <w:sz w:val="17"/>
              </w:rPr>
              <w:t>/data/product_categories</w:t>
            </w:r>
          </w:p>
        </w:tc>
        <w:tc>
          <w:tcPr>
            <w:tcW w:type="dxa" w:w="3888"/>
          </w:tcPr>
          <w:p>
            <w:pPr>
              <w:spacing w:after="40"/>
            </w:pPr>
            <w:r/>
            <w:r>
              <w:rPr>
                <w:sz w:val="17"/>
              </w:rPr>
              <w:t>DataProductCategoriesController</w:t>
            </w:r>
          </w:p>
        </w:tc>
      </w:tr>
      <w:tr>
        <w:tc>
          <w:tcPr>
            <w:tcW w:type="dxa" w:w="1152"/>
          </w:tcPr>
          <w:p>
            <w:pPr>
              <w:spacing w:after="40"/>
            </w:pPr>
            <w:r/>
            <w:r>
              <w:rPr>
                <w:sz w:val="17"/>
              </w:rPr>
              <w:t>GET</w:t>
            </w:r>
          </w:p>
        </w:tc>
        <w:tc>
          <w:tcPr>
            <w:tcW w:type="dxa" w:w="4176"/>
          </w:tcPr>
          <w:p>
            <w:pPr>
              <w:spacing w:after="40"/>
            </w:pPr>
            <w:r/>
            <w:r>
              <w:rPr>
                <w:sz w:val="17"/>
              </w:rPr>
              <w:t>/data/product_categories</w:t>
            </w:r>
          </w:p>
        </w:tc>
        <w:tc>
          <w:tcPr>
            <w:tcW w:type="dxa" w:w="3888"/>
          </w:tcPr>
          <w:p>
            <w:pPr>
              <w:spacing w:after="40"/>
            </w:pPr>
            <w:r/>
            <w:r>
              <w:rPr>
                <w:sz w:val="17"/>
              </w:rPr>
              <w:t>DataProductCategoriesController</w:t>
            </w:r>
          </w:p>
        </w:tc>
      </w:tr>
      <w:tr>
        <w:tc>
          <w:tcPr>
            <w:tcW w:type="dxa" w:w="1152"/>
          </w:tcPr>
          <w:p>
            <w:pPr>
              <w:spacing w:after="40"/>
            </w:pPr>
            <w:r/>
            <w:r>
              <w:rPr>
                <w:sz w:val="17"/>
              </w:rPr>
              <w:t>PATCH</w:t>
            </w:r>
          </w:p>
        </w:tc>
        <w:tc>
          <w:tcPr>
            <w:tcW w:type="dxa" w:w="4176"/>
          </w:tcPr>
          <w:p>
            <w:pPr>
              <w:spacing w:after="40"/>
            </w:pPr>
            <w:r/>
            <w:r>
              <w:rPr>
                <w:sz w:val="17"/>
              </w:rPr>
              <w:t>/data/product_categories</w:t>
            </w:r>
          </w:p>
        </w:tc>
        <w:tc>
          <w:tcPr>
            <w:tcW w:type="dxa" w:w="3888"/>
          </w:tcPr>
          <w:p>
            <w:pPr>
              <w:spacing w:after="40"/>
            </w:pPr>
            <w:r/>
            <w:r>
              <w:rPr>
                <w:sz w:val="17"/>
              </w:rPr>
              <w:t>DataProductCategoriesController</w:t>
            </w:r>
          </w:p>
        </w:tc>
      </w:tr>
      <w:tr>
        <w:tc>
          <w:tcPr>
            <w:tcW w:type="dxa" w:w="1152"/>
          </w:tcPr>
          <w:p>
            <w:pPr>
              <w:spacing w:after="40"/>
            </w:pPr>
            <w:r/>
            <w:r>
              <w:rPr>
                <w:sz w:val="17"/>
              </w:rPr>
              <w:t>POST</w:t>
            </w:r>
          </w:p>
        </w:tc>
        <w:tc>
          <w:tcPr>
            <w:tcW w:type="dxa" w:w="4176"/>
          </w:tcPr>
          <w:p>
            <w:pPr>
              <w:spacing w:after="40"/>
            </w:pPr>
            <w:r/>
            <w:r>
              <w:rPr>
                <w:sz w:val="17"/>
              </w:rPr>
              <w:t>/data/product_categories</w:t>
            </w:r>
          </w:p>
        </w:tc>
        <w:tc>
          <w:tcPr>
            <w:tcW w:type="dxa" w:w="3888"/>
          </w:tcPr>
          <w:p>
            <w:pPr>
              <w:spacing w:after="40"/>
            </w:pPr>
            <w:r/>
            <w:r>
              <w:rPr>
                <w:sz w:val="17"/>
              </w:rPr>
              <w:t>DataProductCategoriesController</w:t>
            </w:r>
          </w:p>
        </w:tc>
      </w:tr>
      <w:tr>
        <w:tc>
          <w:tcPr>
            <w:tcW w:type="dxa" w:w="1152"/>
          </w:tcPr>
          <w:p>
            <w:pPr>
              <w:spacing w:after="40"/>
            </w:pPr>
            <w:r/>
            <w:r>
              <w:rPr>
                <w:sz w:val="17"/>
              </w:rPr>
              <w:t>PUT</w:t>
            </w:r>
          </w:p>
        </w:tc>
        <w:tc>
          <w:tcPr>
            <w:tcW w:type="dxa" w:w="4176"/>
          </w:tcPr>
          <w:p>
            <w:pPr>
              <w:spacing w:after="40"/>
            </w:pPr>
            <w:r/>
            <w:r>
              <w:rPr>
                <w:sz w:val="17"/>
              </w:rPr>
              <w:t>/data/product_categories</w:t>
            </w:r>
          </w:p>
        </w:tc>
        <w:tc>
          <w:tcPr>
            <w:tcW w:type="dxa" w:w="3888"/>
          </w:tcPr>
          <w:p>
            <w:pPr>
              <w:spacing w:after="40"/>
            </w:pPr>
            <w:r/>
            <w:r>
              <w:rPr>
                <w:sz w:val="17"/>
              </w:rPr>
              <w:t>DataProductCategoriesController</w:t>
            </w:r>
          </w:p>
        </w:tc>
      </w:tr>
      <w:tr>
        <w:tc>
          <w:tcPr>
            <w:tcW w:type="dxa" w:w="1152"/>
          </w:tcPr>
          <w:p>
            <w:pPr>
              <w:spacing w:after="40"/>
            </w:pPr>
            <w:r/>
            <w:r>
              <w:rPr>
                <w:sz w:val="17"/>
              </w:rPr>
              <w:t>DELETE</w:t>
            </w:r>
          </w:p>
        </w:tc>
        <w:tc>
          <w:tcPr>
            <w:tcW w:type="dxa" w:w="4176"/>
          </w:tcPr>
          <w:p>
            <w:pPr>
              <w:spacing w:after="40"/>
            </w:pPr>
            <w:r/>
            <w:r>
              <w:rPr>
                <w:sz w:val="17"/>
              </w:rPr>
              <w:t>/data/product_list_contents</w:t>
            </w:r>
          </w:p>
        </w:tc>
        <w:tc>
          <w:tcPr>
            <w:tcW w:type="dxa" w:w="3888"/>
          </w:tcPr>
          <w:p>
            <w:pPr>
              <w:spacing w:after="40"/>
            </w:pPr>
            <w:r/>
            <w:r>
              <w:rPr>
                <w:sz w:val="17"/>
              </w:rPr>
              <w:t>DataProductListContentsController</w:t>
            </w:r>
          </w:p>
        </w:tc>
      </w:tr>
      <w:tr>
        <w:tc>
          <w:tcPr>
            <w:tcW w:type="dxa" w:w="1152"/>
          </w:tcPr>
          <w:p>
            <w:pPr>
              <w:spacing w:after="40"/>
            </w:pPr>
            <w:r/>
            <w:r>
              <w:rPr>
                <w:sz w:val="17"/>
              </w:rPr>
              <w:t>GET</w:t>
            </w:r>
          </w:p>
        </w:tc>
        <w:tc>
          <w:tcPr>
            <w:tcW w:type="dxa" w:w="4176"/>
          </w:tcPr>
          <w:p>
            <w:pPr>
              <w:spacing w:after="40"/>
            </w:pPr>
            <w:r/>
            <w:r>
              <w:rPr>
                <w:sz w:val="17"/>
              </w:rPr>
              <w:t>/data/product_list_contents</w:t>
            </w:r>
          </w:p>
        </w:tc>
        <w:tc>
          <w:tcPr>
            <w:tcW w:type="dxa" w:w="3888"/>
          </w:tcPr>
          <w:p>
            <w:pPr>
              <w:spacing w:after="40"/>
            </w:pPr>
            <w:r/>
            <w:r>
              <w:rPr>
                <w:sz w:val="17"/>
              </w:rPr>
              <w:t>DataProductListContentsController</w:t>
            </w:r>
          </w:p>
        </w:tc>
      </w:tr>
      <w:tr>
        <w:tc>
          <w:tcPr>
            <w:tcW w:type="dxa" w:w="1152"/>
          </w:tcPr>
          <w:p>
            <w:pPr>
              <w:spacing w:after="40"/>
            </w:pPr>
            <w:r/>
            <w:r>
              <w:rPr>
                <w:sz w:val="17"/>
              </w:rPr>
              <w:t>POST</w:t>
            </w:r>
          </w:p>
        </w:tc>
        <w:tc>
          <w:tcPr>
            <w:tcW w:type="dxa" w:w="4176"/>
          </w:tcPr>
          <w:p>
            <w:pPr>
              <w:spacing w:after="40"/>
            </w:pPr>
            <w:r/>
            <w:r>
              <w:rPr>
                <w:sz w:val="17"/>
              </w:rPr>
              <w:t>/data/product_list_contents</w:t>
            </w:r>
          </w:p>
        </w:tc>
        <w:tc>
          <w:tcPr>
            <w:tcW w:type="dxa" w:w="3888"/>
          </w:tcPr>
          <w:p>
            <w:pPr>
              <w:spacing w:after="40"/>
            </w:pPr>
            <w:r/>
            <w:r>
              <w:rPr>
                <w:sz w:val="17"/>
              </w:rPr>
              <w:t>DataProductListContentsController</w:t>
            </w:r>
          </w:p>
        </w:tc>
      </w:tr>
      <w:tr>
        <w:tc>
          <w:tcPr>
            <w:tcW w:type="dxa" w:w="1152"/>
          </w:tcPr>
          <w:p>
            <w:pPr>
              <w:spacing w:after="40"/>
            </w:pPr>
            <w:r/>
            <w:r>
              <w:rPr>
                <w:sz w:val="17"/>
              </w:rPr>
              <w:t>PUT</w:t>
            </w:r>
          </w:p>
        </w:tc>
        <w:tc>
          <w:tcPr>
            <w:tcW w:type="dxa" w:w="4176"/>
          </w:tcPr>
          <w:p>
            <w:pPr>
              <w:spacing w:after="40"/>
            </w:pPr>
            <w:r/>
            <w:r>
              <w:rPr>
                <w:sz w:val="17"/>
              </w:rPr>
              <w:t>/data/product_list_contents</w:t>
            </w:r>
          </w:p>
        </w:tc>
        <w:tc>
          <w:tcPr>
            <w:tcW w:type="dxa" w:w="3888"/>
          </w:tcPr>
          <w:p>
            <w:pPr>
              <w:spacing w:after="40"/>
            </w:pPr>
            <w:r/>
            <w:r>
              <w:rPr>
                <w:sz w:val="17"/>
              </w:rPr>
              <w:t>DataProductListContentsController</w:t>
            </w:r>
          </w:p>
        </w:tc>
      </w:tr>
      <w:tr>
        <w:tc>
          <w:tcPr>
            <w:tcW w:type="dxa" w:w="1152"/>
          </w:tcPr>
          <w:p>
            <w:pPr>
              <w:spacing w:after="40"/>
            </w:pPr>
            <w:r/>
            <w:r>
              <w:rPr>
                <w:sz w:val="17"/>
              </w:rPr>
              <w:t>DELETE</w:t>
            </w:r>
          </w:p>
        </w:tc>
        <w:tc>
          <w:tcPr>
            <w:tcW w:type="dxa" w:w="4176"/>
          </w:tcPr>
          <w:p>
            <w:pPr>
              <w:spacing w:after="40"/>
            </w:pPr>
            <w:r/>
            <w:r>
              <w:rPr>
                <w:sz w:val="17"/>
              </w:rPr>
              <w:t>/data/product_lists</w:t>
            </w:r>
          </w:p>
        </w:tc>
        <w:tc>
          <w:tcPr>
            <w:tcW w:type="dxa" w:w="3888"/>
          </w:tcPr>
          <w:p>
            <w:pPr>
              <w:spacing w:after="40"/>
            </w:pPr>
            <w:r/>
            <w:r>
              <w:rPr>
                <w:sz w:val="17"/>
              </w:rPr>
              <w:t>DataProductListsController</w:t>
            </w:r>
          </w:p>
        </w:tc>
      </w:tr>
      <w:tr>
        <w:tc>
          <w:tcPr>
            <w:tcW w:type="dxa" w:w="1152"/>
          </w:tcPr>
          <w:p>
            <w:pPr>
              <w:spacing w:after="40"/>
            </w:pPr>
            <w:r/>
            <w:r>
              <w:rPr>
                <w:sz w:val="17"/>
              </w:rPr>
              <w:t>GET</w:t>
            </w:r>
          </w:p>
        </w:tc>
        <w:tc>
          <w:tcPr>
            <w:tcW w:type="dxa" w:w="4176"/>
          </w:tcPr>
          <w:p>
            <w:pPr>
              <w:spacing w:after="40"/>
            </w:pPr>
            <w:r/>
            <w:r>
              <w:rPr>
                <w:sz w:val="17"/>
              </w:rPr>
              <w:t>/data/product_lists</w:t>
            </w:r>
          </w:p>
        </w:tc>
        <w:tc>
          <w:tcPr>
            <w:tcW w:type="dxa" w:w="3888"/>
          </w:tcPr>
          <w:p>
            <w:pPr>
              <w:spacing w:after="40"/>
            </w:pPr>
            <w:r/>
            <w:r>
              <w:rPr>
                <w:sz w:val="17"/>
              </w:rPr>
              <w:t>DataProductListsController</w:t>
            </w:r>
          </w:p>
        </w:tc>
      </w:tr>
      <w:tr>
        <w:tc>
          <w:tcPr>
            <w:tcW w:type="dxa" w:w="1152"/>
          </w:tcPr>
          <w:p>
            <w:pPr>
              <w:spacing w:after="40"/>
            </w:pPr>
            <w:r/>
            <w:r>
              <w:rPr>
                <w:sz w:val="17"/>
              </w:rPr>
              <w:t>PATCH</w:t>
            </w:r>
          </w:p>
        </w:tc>
        <w:tc>
          <w:tcPr>
            <w:tcW w:type="dxa" w:w="4176"/>
          </w:tcPr>
          <w:p>
            <w:pPr>
              <w:spacing w:after="40"/>
            </w:pPr>
            <w:r/>
            <w:r>
              <w:rPr>
                <w:sz w:val="17"/>
              </w:rPr>
              <w:t>/data/product_lists</w:t>
            </w:r>
          </w:p>
        </w:tc>
        <w:tc>
          <w:tcPr>
            <w:tcW w:type="dxa" w:w="3888"/>
          </w:tcPr>
          <w:p>
            <w:pPr>
              <w:spacing w:after="40"/>
            </w:pPr>
            <w:r/>
            <w:r>
              <w:rPr>
                <w:sz w:val="17"/>
              </w:rPr>
              <w:t>DataProductListsController</w:t>
            </w:r>
          </w:p>
        </w:tc>
      </w:tr>
      <w:tr>
        <w:tc>
          <w:tcPr>
            <w:tcW w:type="dxa" w:w="1152"/>
          </w:tcPr>
          <w:p>
            <w:pPr>
              <w:spacing w:after="40"/>
            </w:pPr>
            <w:r/>
            <w:r>
              <w:rPr>
                <w:sz w:val="17"/>
              </w:rPr>
              <w:t>POST</w:t>
            </w:r>
          </w:p>
        </w:tc>
        <w:tc>
          <w:tcPr>
            <w:tcW w:type="dxa" w:w="4176"/>
          </w:tcPr>
          <w:p>
            <w:pPr>
              <w:spacing w:after="40"/>
            </w:pPr>
            <w:r/>
            <w:r>
              <w:rPr>
                <w:sz w:val="17"/>
              </w:rPr>
              <w:t>/data/product_lists</w:t>
            </w:r>
          </w:p>
        </w:tc>
        <w:tc>
          <w:tcPr>
            <w:tcW w:type="dxa" w:w="3888"/>
          </w:tcPr>
          <w:p>
            <w:pPr>
              <w:spacing w:after="40"/>
            </w:pPr>
            <w:r/>
            <w:r>
              <w:rPr>
                <w:sz w:val="17"/>
              </w:rPr>
              <w:t>DataProductListsController</w:t>
            </w:r>
          </w:p>
        </w:tc>
      </w:tr>
      <w:tr>
        <w:tc>
          <w:tcPr>
            <w:tcW w:type="dxa" w:w="1152"/>
          </w:tcPr>
          <w:p>
            <w:pPr>
              <w:spacing w:after="40"/>
            </w:pPr>
            <w:r/>
            <w:r>
              <w:rPr>
                <w:sz w:val="17"/>
              </w:rPr>
              <w:t>PUT</w:t>
            </w:r>
          </w:p>
        </w:tc>
        <w:tc>
          <w:tcPr>
            <w:tcW w:type="dxa" w:w="4176"/>
          </w:tcPr>
          <w:p>
            <w:pPr>
              <w:spacing w:after="40"/>
            </w:pPr>
            <w:r/>
            <w:r>
              <w:rPr>
                <w:sz w:val="17"/>
              </w:rPr>
              <w:t>/data/product_lists</w:t>
            </w:r>
          </w:p>
        </w:tc>
        <w:tc>
          <w:tcPr>
            <w:tcW w:type="dxa" w:w="3888"/>
          </w:tcPr>
          <w:p>
            <w:pPr>
              <w:spacing w:after="40"/>
            </w:pPr>
            <w:r/>
            <w:r>
              <w:rPr>
                <w:sz w:val="17"/>
              </w:rPr>
              <w:t>DataProductListsController</w:t>
            </w:r>
          </w:p>
        </w:tc>
      </w:tr>
      <w:tr>
        <w:tc>
          <w:tcPr>
            <w:tcW w:type="dxa" w:w="1152"/>
          </w:tcPr>
          <w:p>
            <w:pPr>
              <w:spacing w:after="40"/>
            </w:pPr>
            <w:r/>
            <w:r>
              <w:rPr>
                <w:sz w:val="17"/>
              </w:rPr>
              <w:t>DELETE</w:t>
            </w:r>
          </w:p>
        </w:tc>
        <w:tc>
          <w:tcPr>
            <w:tcW w:type="dxa" w:w="4176"/>
          </w:tcPr>
          <w:p>
            <w:pPr>
              <w:spacing w:after="40"/>
            </w:pPr>
            <w:r/>
            <w:r>
              <w:rPr>
                <w:sz w:val="17"/>
              </w:rPr>
              <w:t>/data/products</w:t>
            </w:r>
          </w:p>
        </w:tc>
        <w:tc>
          <w:tcPr>
            <w:tcW w:type="dxa" w:w="3888"/>
          </w:tcPr>
          <w:p>
            <w:pPr>
              <w:spacing w:after="40"/>
            </w:pPr>
            <w:r/>
            <w:r>
              <w:rPr>
                <w:sz w:val="17"/>
              </w:rPr>
              <w:t>DataProductsController</w:t>
            </w:r>
          </w:p>
        </w:tc>
      </w:tr>
      <w:tr>
        <w:tc>
          <w:tcPr>
            <w:tcW w:type="dxa" w:w="1152"/>
          </w:tcPr>
          <w:p>
            <w:pPr>
              <w:spacing w:after="40"/>
            </w:pPr>
            <w:r/>
            <w:r>
              <w:rPr>
                <w:sz w:val="17"/>
              </w:rPr>
              <w:t>GET</w:t>
            </w:r>
          </w:p>
        </w:tc>
        <w:tc>
          <w:tcPr>
            <w:tcW w:type="dxa" w:w="4176"/>
          </w:tcPr>
          <w:p>
            <w:pPr>
              <w:spacing w:after="40"/>
            </w:pPr>
            <w:r/>
            <w:r>
              <w:rPr>
                <w:sz w:val="17"/>
              </w:rPr>
              <w:t>/data/products</w:t>
            </w:r>
          </w:p>
        </w:tc>
        <w:tc>
          <w:tcPr>
            <w:tcW w:type="dxa" w:w="3888"/>
          </w:tcPr>
          <w:p>
            <w:pPr>
              <w:spacing w:after="40"/>
            </w:pPr>
            <w:r/>
            <w:r>
              <w:rPr>
                <w:sz w:val="17"/>
              </w:rPr>
              <w:t>DataProductsController</w:t>
            </w:r>
          </w:p>
        </w:tc>
      </w:tr>
      <w:tr>
        <w:tc>
          <w:tcPr>
            <w:tcW w:type="dxa" w:w="1152"/>
          </w:tcPr>
          <w:p>
            <w:pPr>
              <w:spacing w:after="40"/>
            </w:pPr>
            <w:r/>
            <w:r>
              <w:rPr>
                <w:sz w:val="17"/>
              </w:rPr>
              <w:t>PATCH</w:t>
            </w:r>
          </w:p>
        </w:tc>
        <w:tc>
          <w:tcPr>
            <w:tcW w:type="dxa" w:w="4176"/>
          </w:tcPr>
          <w:p>
            <w:pPr>
              <w:spacing w:after="40"/>
            </w:pPr>
            <w:r/>
            <w:r>
              <w:rPr>
                <w:sz w:val="17"/>
              </w:rPr>
              <w:t>/data/products</w:t>
            </w:r>
          </w:p>
        </w:tc>
        <w:tc>
          <w:tcPr>
            <w:tcW w:type="dxa" w:w="3888"/>
          </w:tcPr>
          <w:p>
            <w:pPr>
              <w:spacing w:after="40"/>
            </w:pPr>
            <w:r/>
            <w:r>
              <w:rPr>
                <w:sz w:val="17"/>
              </w:rPr>
              <w:t>DataProductsController</w:t>
            </w:r>
          </w:p>
        </w:tc>
      </w:tr>
      <w:tr>
        <w:tc>
          <w:tcPr>
            <w:tcW w:type="dxa" w:w="1152"/>
          </w:tcPr>
          <w:p>
            <w:pPr>
              <w:spacing w:after="40"/>
            </w:pPr>
            <w:r/>
            <w:r>
              <w:rPr>
                <w:sz w:val="17"/>
              </w:rPr>
              <w:t>POST</w:t>
            </w:r>
          </w:p>
        </w:tc>
        <w:tc>
          <w:tcPr>
            <w:tcW w:type="dxa" w:w="4176"/>
          </w:tcPr>
          <w:p>
            <w:pPr>
              <w:spacing w:after="40"/>
            </w:pPr>
            <w:r/>
            <w:r>
              <w:rPr>
                <w:sz w:val="17"/>
              </w:rPr>
              <w:t>/data/products</w:t>
            </w:r>
          </w:p>
        </w:tc>
        <w:tc>
          <w:tcPr>
            <w:tcW w:type="dxa" w:w="3888"/>
          </w:tcPr>
          <w:p>
            <w:pPr>
              <w:spacing w:after="40"/>
            </w:pPr>
            <w:r/>
            <w:r>
              <w:rPr>
                <w:sz w:val="17"/>
              </w:rPr>
              <w:t>DataProductsController</w:t>
            </w:r>
          </w:p>
        </w:tc>
      </w:tr>
      <w:tr>
        <w:tc>
          <w:tcPr>
            <w:tcW w:type="dxa" w:w="1152"/>
          </w:tcPr>
          <w:p>
            <w:pPr>
              <w:spacing w:after="40"/>
            </w:pPr>
            <w:r/>
            <w:r>
              <w:rPr>
                <w:sz w:val="17"/>
              </w:rPr>
              <w:t>PUT</w:t>
            </w:r>
          </w:p>
        </w:tc>
        <w:tc>
          <w:tcPr>
            <w:tcW w:type="dxa" w:w="4176"/>
          </w:tcPr>
          <w:p>
            <w:pPr>
              <w:spacing w:after="40"/>
            </w:pPr>
            <w:r/>
            <w:r>
              <w:rPr>
                <w:sz w:val="17"/>
              </w:rPr>
              <w:t>/data/products</w:t>
            </w:r>
          </w:p>
        </w:tc>
        <w:tc>
          <w:tcPr>
            <w:tcW w:type="dxa" w:w="3888"/>
          </w:tcPr>
          <w:p>
            <w:pPr>
              <w:spacing w:after="40"/>
            </w:pPr>
            <w:r/>
            <w:r>
              <w:rPr>
                <w:sz w:val="17"/>
              </w:rPr>
              <w:t>DataProductsController</w:t>
            </w:r>
          </w:p>
        </w:tc>
      </w:tr>
      <w:tr>
        <w:tc>
          <w:tcPr>
            <w:tcW w:type="dxa" w:w="1152"/>
          </w:tcPr>
          <w:p>
            <w:pPr>
              <w:spacing w:after="40"/>
            </w:pPr>
            <w:r/>
            <w:r>
              <w:rPr>
                <w:sz w:val="17"/>
              </w:rPr>
              <w:t>GET</w:t>
            </w:r>
          </w:p>
        </w:tc>
        <w:tc>
          <w:tcPr>
            <w:tcW w:type="dxa" w:w="4176"/>
          </w:tcPr>
          <w:p>
            <w:pPr>
              <w:spacing w:after="40"/>
            </w:pPr>
            <w:r/>
            <w:r>
              <w:rPr>
                <w:sz w:val="17"/>
              </w:rPr>
              <w:t>/public/about</w:t>
            </w:r>
          </w:p>
        </w:tc>
        <w:tc>
          <w:tcPr>
            <w:tcW w:type="dxa" w:w="3888"/>
          </w:tcPr>
          <w:p>
            <w:pPr>
              <w:spacing w:after="40"/>
            </w:pPr>
            <w:r/>
            <w:r>
              <w:rPr>
                <w:sz w:val="17"/>
              </w:rPr>
              <w:t>PublicAboutController</w:t>
            </w:r>
          </w:p>
        </w:tc>
      </w:tr>
    </w:tbl>
    <w:p>
      <w:pPr>
        <w:spacing w:after="80"/>
      </w:pPr>
    </w:p>
    <w:p>
      <w:pPr>
        <w:pStyle w:val="Heading2"/>
      </w:pPr>
      <w:r>
        <w:t>Identity Service  -  23 routes</w:t>
      </w:r>
    </w:p>
    <w:tbl>
      <w:tblPr>
        <w:tblStyle w:val="LightGrid-Accent1"/>
        <w:tblW w:type="auto" w:w="0"/>
        <w:jc w:val="center"/>
        <w:tblLook w:firstColumn="1" w:firstRow="1" w:lastColumn="0" w:lastRow="0" w:noHBand="0" w:noVBand="1" w:val="04A0"/>
      </w:tblPr>
      <w:tblGrid>
        <w:gridCol w:w="3216"/>
        <w:gridCol w:w="3216"/>
        <w:gridCol w:w="3216"/>
      </w:tblGrid>
      <w:tr>
        <w:tc>
          <w:tcPr>
            <w:tcW w:type="dxa" w:w="1152"/>
          </w:tcPr>
          <w:p>
            <w:r/>
            <w:r>
              <w:rPr>
                <w:b/>
                <w:sz w:val="17"/>
              </w:rPr>
              <w:t>Method</w:t>
            </w:r>
          </w:p>
        </w:tc>
        <w:tc>
          <w:tcPr>
            <w:tcW w:type="dxa" w:w="4176"/>
          </w:tcPr>
          <w:p>
            <w:r/>
            <w:r>
              <w:rPr>
                <w:b/>
                <w:sz w:val="17"/>
              </w:rPr>
              <w:t>Path</w:t>
            </w:r>
          </w:p>
        </w:tc>
        <w:tc>
          <w:tcPr>
            <w:tcW w:type="dxa" w:w="3888"/>
          </w:tcPr>
          <w:p>
            <w:r/>
            <w:r>
              <w:rPr>
                <w:b/>
                <w:sz w:val="17"/>
              </w:rPr>
              <w:t>Controller</w:t>
            </w:r>
          </w:p>
        </w:tc>
      </w:tr>
      <w:tr>
        <w:tc>
          <w:tcPr>
            <w:tcW w:type="dxa" w:w="1152"/>
          </w:tcPr>
          <w:p>
            <w:pPr>
              <w:spacing w:after="40"/>
            </w:pPr>
            <w:r/>
            <w:r>
              <w:rPr>
                <w:sz w:val="17"/>
              </w:rPr>
              <w:t>GET</w:t>
            </w:r>
          </w:p>
        </w:tc>
        <w:tc>
          <w:tcPr>
            <w:tcW w:type="dxa" w:w="4176"/>
          </w:tcPr>
          <w:p>
            <w:pPr>
              <w:spacing w:after="40"/>
            </w:pPr>
            <w:r/>
            <w:r>
              <w:rPr>
                <w:sz w:val="17"/>
              </w:rPr>
              <w:t>/</w:t>
            </w:r>
          </w:p>
        </w:tc>
        <w:tc>
          <w:tcPr>
            <w:tcW w:type="dxa" w:w="3888"/>
          </w:tcPr>
          <w:p>
            <w:pPr>
              <w:spacing w:after="40"/>
            </w:pPr>
            <w:r/>
            <w:r>
              <w:rPr>
                <w:sz w:val="17"/>
              </w:rPr>
              <w:t>RootController</w:t>
            </w:r>
          </w:p>
        </w:tc>
      </w:tr>
      <w:tr>
        <w:tc>
          <w:tcPr>
            <w:tcW w:type="dxa" w:w="1152"/>
          </w:tcPr>
          <w:p>
            <w:pPr>
              <w:spacing w:after="40"/>
            </w:pPr>
            <w:r/>
            <w:r>
              <w:rPr>
                <w:sz w:val="17"/>
              </w:rPr>
              <w:t>GET</w:t>
            </w:r>
          </w:p>
        </w:tc>
        <w:tc>
          <w:tcPr>
            <w:tcW w:type="dxa" w:w="4176"/>
          </w:tcPr>
          <w:p>
            <w:pPr>
              <w:spacing w:after="40"/>
            </w:pPr>
            <w:r/>
            <w:r>
              <w:rPr>
                <w:sz w:val="17"/>
              </w:rPr>
              <w:t>/access</w:t>
            </w:r>
          </w:p>
        </w:tc>
        <w:tc>
          <w:tcPr>
            <w:tcW w:type="dxa" w:w="3888"/>
          </w:tcPr>
          <w:p>
            <w:pPr>
              <w:spacing w:after="40"/>
            </w:pPr>
            <w:r/>
            <w:r>
              <w:rPr>
                <w:sz w:val="17"/>
              </w:rPr>
              <w:t>AccessController</w:t>
            </w:r>
          </w:p>
        </w:tc>
      </w:tr>
      <w:tr>
        <w:tc>
          <w:tcPr>
            <w:tcW w:type="dxa" w:w="1152"/>
          </w:tcPr>
          <w:p>
            <w:pPr>
              <w:spacing w:after="40"/>
            </w:pPr>
            <w:r/>
            <w:r>
              <w:rPr>
                <w:sz w:val="17"/>
              </w:rPr>
              <w:t>GET</w:t>
            </w:r>
          </w:p>
        </w:tc>
        <w:tc>
          <w:tcPr>
            <w:tcW w:type="dxa" w:w="4176"/>
          </w:tcPr>
          <w:p>
            <w:pPr>
              <w:spacing w:after="40"/>
            </w:pPr>
            <w:r/>
            <w:r>
              <w:rPr>
                <w:sz w:val="17"/>
              </w:rPr>
              <w:t>/access/{apiRoute}</w:t>
            </w:r>
          </w:p>
        </w:tc>
        <w:tc>
          <w:tcPr>
            <w:tcW w:type="dxa" w:w="3888"/>
          </w:tcPr>
          <w:p>
            <w:pPr>
              <w:spacing w:after="40"/>
            </w:pPr>
            <w:r/>
            <w:r>
              <w:rPr>
                <w:sz w:val="17"/>
              </w:rPr>
              <w:t>AccessController</w:t>
            </w:r>
          </w:p>
        </w:tc>
      </w:tr>
      <w:tr>
        <w:tc>
          <w:tcPr>
            <w:tcW w:type="dxa" w:w="1152"/>
          </w:tcPr>
          <w:p>
            <w:pPr>
              <w:spacing w:after="40"/>
            </w:pPr>
            <w:r/>
            <w:r>
              <w:rPr>
                <w:sz w:val="17"/>
              </w:rPr>
              <w:t>GET</w:t>
            </w:r>
          </w:p>
        </w:tc>
        <w:tc>
          <w:tcPr>
            <w:tcW w:type="dxa" w:w="4176"/>
          </w:tcPr>
          <w:p>
            <w:pPr>
              <w:spacing w:after="40"/>
            </w:pPr>
            <w:r/>
            <w:r>
              <w:rPr>
                <w:sz w:val="17"/>
              </w:rPr>
              <w:t>/account/profile</w:t>
            </w:r>
          </w:p>
        </w:tc>
        <w:tc>
          <w:tcPr>
            <w:tcW w:type="dxa" w:w="3888"/>
          </w:tcPr>
          <w:p>
            <w:pPr>
              <w:spacing w:after="40"/>
            </w:pPr>
            <w:r/>
            <w:r>
              <w:rPr>
                <w:sz w:val="17"/>
              </w:rPr>
              <w:t>AccountProfileController</w:t>
            </w:r>
          </w:p>
        </w:tc>
      </w:tr>
      <w:tr>
        <w:tc>
          <w:tcPr>
            <w:tcW w:type="dxa" w:w="1152"/>
          </w:tcPr>
          <w:p>
            <w:pPr>
              <w:spacing w:after="40"/>
            </w:pPr>
            <w:r/>
            <w:r>
              <w:rPr>
                <w:sz w:val="17"/>
              </w:rPr>
              <w:t>PUT</w:t>
            </w:r>
          </w:p>
        </w:tc>
        <w:tc>
          <w:tcPr>
            <w:tcW w:type="dxa" w:w="4176"/>
          </w:tcPr>
          <w:p>
            <w:pPr>
              <w:spacing w:after="40"/>
            </w:pPr>
            <w:r/>
            <w:r>
              <w:rPr>
                <w:sz w:val="17"/>
              </w:rPr>
              <w:t>/account/profile</w:t>
            </w:r>
          </w:p>
        </w:tc>
        <w:tc>
          <w:tcPr>
            <w:tcW w:type="dxa" w:w="3888"/>
          </w:tcPr>
          <w:p>
            <w:pPr>
              <w:spacing w:after="40"/>
            </w:pPr>
            <w:r/>
            <w:r>
              <w:rPr>
                <w:sz w:val="17"/>
              </w:rPr>
              <w:t>AccountProfileController</w:t>
            </w:r>
          </w:p>
        </w:tc>
      </w:tr>
      <w:tr>
        <w:tc>
          <w:tcPr>
            <w:tcW w:type="dxa" w:w="1152"/>
          </w:tcPr>
          <w:p>
            <w:pPr>
              <w:spacing w:after="40"/>
            </w:pPr>
            <w:r/>
            <w:r>
              <w:rPr>
                <w:sz w:val="17"/>
              </w:rPr>
              <w:t>DELETE</w:t>
            </w:r>
          </w:p>
        </w:tc>
        <w:tc>
          <w:tcPr>
            <w:tcW w:type="dxa" w:w="4176"/>
          </w:tcPr>
          <w:p>
            <w:pPr>
              <w:spacing w:after="40"/>
            </w:pPr>
            <w:r/>
            <w:r>
              <w:rPr>
                <w:sz w:val="17"/>
              </w:rPr>
              <w:t>/data/customers</w:t>
            </w:r>
          </w:p>
        </w:tc>
        <w:tc>
          <w:tcPr>
            <w:tcW w:type="dxa" w:w="3888"/>
          </w:tcPr>
          <w:p>
            <w:pPr>
              <w:spacing w:after="40"/>
            </w:pPr>
            <w:r/>
            <w:r>
              <w:rPr>
                <w:sz w:val="17"/>
              </w:rPr>
              <w:t>DataCustomersController</w:t>
            </w:r>
          </w:p>
        </w:tc>
      </w:tr>
      <w:tr>
        <w:tc>
          <w:tcPr>
            <w:tcW w:type="dxa" w:w="1152"/>
          </w:tcPr>
          <w:p>
            <w:pPr>
              <w:spacing w:after="40"/>
            </w:pPr>
            <w:r/>
            <w:r>
              <w:rPr>
                <w:sz w:val="17"/>
              </w:rPr>
              <w:t>GET</w:t>
            </w:r>
          </w:p>
        </w:tc>
        <w:tc>
          <w:tcPr>
            <w:tcW w:type="dxa" w:w="4176"/>
          </w:tcPr>
          <w:p>
            <w:pPr>
              <w:spacing w:after="40"/>
            </w:pPr>
            <w:r/>
            <w:r>
              <w:rPr>
                <w:sz w:val="17"/>
              </w:rPr>
              <w:t>/data/customers</w:t>
            </w:r>
          </w:p>
        </w:tc>
        <w:tc>
          <w:tcPr>
            <w:tcW w:type="dxa" w:w="3888"/>
          </w:tcPr>
          <w:p>
            <w:pPr>
              <w:spacing w:after="40"/>
            </w:pPr>
            <w:r/>
            <w:r>
              <w:rPr>
                <w:sz w:val="17"/>
              </w:rPr>
              <w:t>DataCustomersController</w:t>
            </w:r>
          </w:p>
        </w:tc>
      </w:tr>
      <w:tr>
        <w:tc>
          <w:tcPr>
            <w:tcW w:type="dxa" w:w="1152"/>
          </w:tcPr>
          <w:p>
            <w:pPr>
              <w:spacing w:after="40"/>
            </w:pPr>
            <w:r/>
            <w:r>
              <w:rPr>
                <w:sz w:val="17"/>
              </w:rPr>
              <w:t>POST</w:t>
            </w:r>
          </w:p>
        </w:tc>
        <w:tc>
          <w:tcPr>
            <w:tcW w:type="dxa" w:w="4176"/>
          </w:tcPr>
          <w:p>
            <w:pPr>
              <w:spacing w:after="40"/>
            </w:pPr>
            <w:r/>
            <w:r>
              <w:rPr>
                <w:sz w:val="17"/>
              </w:rPr>
              <w:t>/data/customers</w:t>
            </w:r>
          </w:p>
        </w:tc>
        <w:tc>
          <w:tcPr>
            <w:tcW w:type="dxa" w:w="3888"/>
          </w:tcPr>
          <w:p>
            <w:pPr>
              <w:spacing w:after="40"/>
            </w:pPr>
            <w:r/>
            <w:r>
              <w:rPr>
                <w:sz w:val="17"/>
              </w:rPr>
              <w:t>DataCustomersController</w:t>
            </w:r>
          </w:p>
        </w:tc>
      </w:tr>
      <w:tr>
        <w:tc>
          <w:tcPr>
            <w:tcW w:type="dxa" w:w="1152"/>
          </w:tcPr>
          <w:p>
            <w:pPr>
              <w:spacing w:after="40"/>
            </w:pPr>
            <w:r/>
            <w:r>
              <w:rPr>
                <w:sz w:val="17"/>
              </w:rPr>
              <w:t>PUT</w:t>
            </w:r>
          </w:p>
        </w:tc>
        <w:tc>
          <w:tcPr>
            <w:tcW w:type="dxa" w:w="4176"/>
          </w:tcPr>
          <w:p>
            <w:pPr>
              <w:spacing w:after="40"/>
            </w:pPr>
            <w:r/>
            <w:r>
              <w:rPr>
                <w:sz w:val="17"/>
              </w:rPr>
              <w:t>/data/customers</w:t>
            </w:r>
          </w:p>
        </w:tc>
        <w:tc>
          <w:tcPr>
            <w:tcW w:type="dxa" w:w="3888"/>
          </w:tcPr>
          <w:p>
            <w:pPr>
              <w:spacing w:after="40"/>
            </w:pPr>
            <w:r/>
            <w:r>
              <w:rPr>
                <w:sz w:val="17"/>
              </w:rPr>
              <w:t>DataCustomersController</w:t>
            </w:r>
          </w:p>
        </w:tc>
      </w:tr>
      <w:tr>
        <w:tc>
          <w:tcPr>
            <w:tcW w:type="dxa" w:w="1152"/>
          </w:tcPr>
          <w:p>
            <w:pPr>
              <w:spacing w:after="40"/>
            </w:pPr>
            <w:r/>
            <w:r>
              <w:rPr>
                <w:sz w:val="17"/>
              </w:rPr>
              <w:t>GET</w:t>
            </w:r>
          </w:p>
        </w:tc>
        <w:tc>
          <w:tcPr>
            <w:tcW w:type="dxa" w:w="4176"/>
          </w:tcPr>
          <w:p>
            <w:pPr>
              <w:spacing w:after="40"/>
            </w:pPr>
            <w:r/>
            <w:r>
              <w:rPr>
                <w:sz w:val="17"/>
              </w:rPr>
              <w:t>/data/people</w:t>
            </w:r>
          </w:p>
        </w:tc>
        <w:tc>
          <w:tcPr>
            <w:tcW w:type="dxa" w:w="3888"/>
          </w:tcPr>
          <w:p>
            <w:pPr>
              <w:spacing w:after="40"/>
            </w:pPr>
            <w:r/>
            <w:r>
              <w:rPr>
                <w:sz w:val="17"/>
              </w:rPr>
              <w:t>DataPeopleController</w:t>
            </w:r>
          </w:p>
        </w:tc>
      </w:tr>
      <w:tr>
        <w:tc>
          <w:tcPr>
            <w:tcW w:type="dxa" w:w="1152"/>
          </w:tcPr>
          <w:p>
            <w:pPr>
              <w:spacing w:after="40"/>
            </w:pPr>
            <w:r/>
            <w:r>
              <w:rPr>
                <w:sz w:val="17"/>
              </w:rPr>
              <w:t>DELETE</w:t>
            </w:r>
          </w:p>
        </w:tc>
        <w:tc>
          <w:tcPr>
            <w:tcW w:type="dxa" w:w="4176"/>
          </w:tcPr>
          <w:p>
            <w:pPr>
              <w:spacing w:after="40"/>
            </w:pPr>
            <w:r/>
            <w:r>
              <w:rPr>
                <w:sz w:val="17"/>
              </w:rPr>
              <w:t>/data/salespeople</w:t>
            </w:r>
          </w:p>
        </w:tc>
        <w:tc>
          <w:tcPr>
            <w:tcW w:type="dxa" w:w="3888"/>
          </w:tcPr>
          <w:p>
            <w:pPr>
              <w:spacing w:after="40"/>
            </w:pPr>
            <w:r/>
            <w:r>
              <w:rPr>
                <w:sz w:val="17"/>
              </w:rPr>
              <w:t>DataSalespeopleController</w:t>
            </w:r>
          </w:p>
        </w:tc>
      </w:tr>
      <w:tr>
        <w:tc>
          <w:tcPr>
            <w:tcW w:type="dxa" w:w="1152"/>
          </w:tcPr>
          <w:p>
            <w:pPr>
              <w:spacing w:after="40"/>
            </w:pPr>
            <w:r/>
            <w:r>
              <w:rPr>
                <w:sz w:val="17"/>
              </w:rPr>
              <w:t>GET</w:t>
            </w:r>
          </w:p>
        </w:tc>
        <w:tc>
          <w:tcPr>
            <w:tcW w:type="dxa" w:w="4176"/>
          </w:tcPr>
          <w:p>
            <w:pPr>
              <w:spacing w:after="40"/>
            </w:pPr>
            <w:r/>
            <w:r>
              <w:rPr>
                <w:sz w:val="17"/>
              </w:rPr>
              <w:t>/data/salespeople</w:t>
            </w:r>
          </w:p>
        </w:tc>
        <w:tc>
          <w:tcPr>
            <w:tcW w:type="dxa" w:w="3888"/>
          </w:tcPr>
          <w:p>
            <w:pPr>
              <w:spacing w:after="40"/>
            </w:pPr>
            <w:r/>
            <w:r>
              <w:rPr>
                <w:sz w:val="17"/>
              </w:rPr>
              <w:t>DataSalespeopleController</w:t>
            </w:r>
          </w:p>
        </w:tc>
      </w:tr>
      <w:tr>
        <w:tc>
          <w:tcPr>
            <w:tcW w:type="dxa" w:w="1152"/>
          </w:tcPr>
          <w:p>
            <w:pPr>
              <w:spacing w:after="40"/>
            </w:pPr>
            <w:r/>
            <w:r>
              <w:rPr>
                <w:sz w:val="17"/>
              </w:rPr>
              <w:t>POST</w:t>
            </w:r>
          </w:p>
        </w:tc>
        <w:tc>
          <w:tcPr>
            <w:tcW w:type="dxa" w:w="4176"/>
          </w:tcPr>
          <w:p>
            <w:pPr>
              <w:spacing w:after="40"/>
            </w:pPr>
            <w:r/>
            <w:r>
              <w:rPr>
                <w:sz w:val="17"/>
              </w:rPr>
              <w:t>/data/salespeople</w:t>
            </w:r>
          </w:p>
        </w:tc>
        <w:tc>
          <w:tcPr>
            <w:tcW w:type="dxa" w:w="3888"/>
          </w:tcPr>
          <w:p>
            <w:pPr>
              <w:spacing w:after="40"/>
            </w:pPr>
            <w:r/>
            <w:r>
              <w:rPr>
                <w:sz w:val="17"/>
              </w:rPr>
              <w:t>DataSalespeopleController</w:t>
            </w:r>
          </w:p>
        </w:tc>
      </w:tr>
      <w:tr>
        <w:tc>
          <w:tcPr>
            <w:tcW w:type="dxa" w:w="1152"/>
          </w:tcPr>
          <w:p>
            <w:pPr>
              <w:spacing w:after="40"/>
            </w:pPr>
            <w:r/>
            <w:r>
              <w:rPr>
                <w:sz w:val="17"/>
              </w:rPr>
              <w:t>PUT</w:t>
            </w:r>
          </w:p>
        </w:tc>
        <w:tc>
          <w:tcPr>
            <w:tcW w:type="dxa" w:w="4176"/>
          </w:tcPr>
          <w:p>
            <w:pPr>
              <w:spacing w:after="40"/>
            </w:pPr>
            <w:r/>
            <w:r>
              <w:rPr>
                <w:sz w:val="17"/>
              </w:rPr>
              <w:t>/data/salespeople</w:t>
            </w:r>
          </w:p>
        </w:tc>
        <w:tc>
          <w:tcPr>
            <w:tcW w:type="dxa" w:w="3888"/>
          </w:tcPr>
          <w:p>
            <w:pPr>
              <w:spacing w:after="40"/>
            </w:pPr>
            <w:r/>
            <w:r>
              <w:rPr>
                <w:sz w:val="17"/>
              </w:rPr>
              <w:t>DataSalespeopleController</w:t>
            </w:r>
          </w:p>
        </w:tc>
      </w:tr>
      <w:tr>
        <w:tc>
          <w:tcPr>
            <w:tcW w:type="dxa" w:w="1152"/>
          </w:tcPr>
          <w:p>
            <w:pPr>
              <w:spacing w:after="40"/>
            </w:pPr>
            <w:r/>
            <w:r>
              <w:rPr>
                <w:sz w:val="17"/>
              </w:rPr>
              <w:t>DELETE</w:t>
            </w:r>
          </w:p>
        </w:tc>
        <w:tc>
          <w:tcPr>
            <w:tcW w:type="dxa" w:w="4176"/>
          </w:tcPr>
          <w:p>
            <w:pPr>
              <w:spacing w:after="40"/>
            </w:pPr>
            <w:r/>
            <w:r>
              <w:rPr>
                <w:sz w:val="17"/>
              </w:rPr>
              <w:t>/data/user_roles</w:t>
            </w:r>
          </w:p>
        </w:tc>
        <w:tc>
          <w:tcPr>
            <w:tcW w:type="dxa" w:w="3888"/>
          </w:tcPr>
          <w:p>
            <w:pPr>
              <w:spacing w:after="40"/>
            </w:pPr>
            <w:r/>
            <w:r>
              <w:rPr>
                <w:sz w:val="17"/>
              </w:rPr>
              <w:t>DataUserRolesController</w:t>
            </w:r>
          </w:p>
        </w:tc>
      </w:tr>
      <w:tr>
        <w:tc>
          <w:tcPr>
            <w:tcW w:type="dxa" w:w="1152"/>
          </w:tcPr>
          <w:p>
            <w:pPr>
              <w:spacing w:after="40"/>
            </w:pPr>
            <w:r/>
            <w:r>
              <w:rPr>
                <w:sz w:val="17"/>
              </w:rPr>
              <w:t>GET</w:t>
            </w:r>
          </w:p>
        </w:tc>
        <w:tc>
          <w:tcPr>
            <w:tcW w:type="dxa" w:w="4176"/>
          </w:tcPr>
          <w:p>
            <w:pPr>
              <w:spacing w:after="40"/>
            </w:pPr>
            <w:r/>
            <w:r>
              <w:rPr>
                <w:sz w:val="17"/>
              </w:rPr>
              <w:t>/data/user_roles</w:t>
            </w:r>
          </w:p>
        </w:tc>
        <w:tc>
          <w:tcPr>
            <w:tcW w:type="dxa" w:w="3888"/>
          </w:tcPr>
          <w:p>
            <w:pPr>
              <w:spacing w:after="40"/>
            </w:pPr>
            <w:r/>
            <w:r>
              <w:rPr>
                <w:sz w:val="17"/>
              </w:rPr>
              <w:t>DataUserRolesController</w:t>
            </w:r>
          </w:p>
        </w:tc>
      </w:tr>
      <w:tr>
        <w:tc>
          <w:tcPr>
            <w:tcW w:type="dxa" w:w="1152"/>
          </w:tcPr>
          <w:p>
            <w:pPr>
              <w:spacing w:after="40"/>
            </w:pPr>
            <w:r/>
            <w:r>
              <w:rPr>
                <w:sz w:val="17"/>
              </w:rPr>
              <w:t>POST</w:t>
            </w:r>
          </w:p>
        </w:tc>
        <w:tc>
          <w:tcPr>
            <w:tcW w:type="dxa" w:w="4176"/>
          </w:tcPr>
          <w:p>
            <w:pPr>
              <w:spacing w:after="40"/>
            </w:pPr>
            <w:r/>
            <w:r>
              <w:rPr>
                <w:sz w:val="17"/>
              </w:rPr>
              <w:t>/data/user_roles</w:t>
            </w:r>
          </w:p>
        </w:tc>
        <w:tc>
          <w:tcPr>
            <w:tcW w:type="dxa" w:w="3888"/>
          </w:tcPr>
          <w:p>
            <w:pPr>
              <w:spacing w:after="40"/>
            </w:pPr>
            <w:r/>
            <w:r>
              <w:rPr>
                <w:sz w:val="17"/>
              </w:rPr>
              <w:t>DataUserRolesController</w:t>
            </w:r>
          </w:p>
        </w:tc>
      </w:tr>
      <w:tr>
        <w:tc>
          <w:tcPr>
            <w:tcW w:type="dxa" w:w="1152"/>
          </w:tcPr>
          <w:p>
            <w:pPr>
              <w:spacing w:after="40"/>
            </w:pPr>
            <w:r/>
            <w:r>
              <w:rPr>
                <w:sz w:val="17"/>
              </w:rPr>
              <w:t>PUT</w:t>
            </w:r>
          </w:p>
        </w:tc>
        <w:tc>
          <w:tcPr>
            <w:tcW w:type="dxa" w:w="4176"/>
          </w:tcPr>
          <w:p>
            <w:pPr>
              <w:spacing w:after="40"/>
            </w:pPr>
            <w:r/>
            <w:r>
              <w:rPr>
                <w:sz w:val="17"/>
              </w:rPr>
              <w:t>/data/user_roles</w:t>
            </w:r>
          </w:p>
        </w:tc>
        <w:tc>
          <w:tcPr>
            <w:tcW w:type="dxa" w:w="3888"/>
          </w:tcPr>
          <w:p>
            <w:pPr>
              <w:spacing w:after="40"/>
            </w:pPr>
            <w:r/>
            <w:r>
              <w:rPr>
                <w:sz w:val="17"/>
              </w:rPr>
              <w:t>DataUserRolesController</w:t>
            </w:r>
          </w:p>
        </w:tc>
      </w:tr>
      <w:tr>
        <w:tc>
          <w:tcPr>
            <w:tcW w:type="dxa" w:w="1152"/>
          </w:tcPr>
          <w:p>
            <w:pPr>
              <w:spacing w:after="40"/>
            </w:pPr>
            <w:r/>
            <w:r>
              <w:rPr>
                <w:sz w:val="17"/>
              </w:rPr>
              <w:t>DELETE</w:t>
            </w:r>
          </w:p>
        </w:tc>
        <w:tc>
          <w:tcPr>
            <w:tcW w:type="dxa" w:w="4176"/>
          </w:tcPr>
          <w:p>
            <w:pPr>
              <w:spacing w:after="40"/>
            </w:pPr>
            <w:r/>
            <w:r>
              <w:rPr>
                <w:sz w:val="17"/>
              </w:rPr>
              <w:t>/data/users</w:t>
            </w:r>
          </w:p>
        </w:tc>
        <w:tc>
          <w:tcPr>
            <w:tcW w:type="dxa" w:w="3888"/>
          </w:tcPr>
          <w:p>
            <w:pPr>
              <w:spacing w:after="40"/>
            </w:pPr>
            <w:r/>
            <w:r>
              <w:rPr>
                <w:sz w:val="17"/>
              </w:rPr>
              <w:t>DataUsersController</w:t>
            </w:r>
          </w:p>
        </w:tc>
      </w:tr>
      <w:tr>
        <w:tc>
          <w:tcPr>
            <w:tcW w:type="dxa" w:w="1152"/>
          </w:tcPr>
          <w:p>
            <w:pPr>
              <w:spacing w:after="40"/>
            </w:pPr>
            <w:r/>
            <w:r>
              <w:rPr>
                <w:sz w:val="17"/>
              </w:rPr>
              <w:t>GET</w:t>
            </w:r>
          </w:p>
        </w:tc>
        <w:tc>
          <w:tcPr>
            <w:tcW w:type="dxa" w:w="4176"/>
          </w:tcPr>
          <w:p>
            <w:pPr>
              <w:spacing w:after="40"/>
            </w:pPr>
            <w:r/>
            <w:r>
              <w:rPr>
                <w:sz w:val="17"/>
              </w:rPr>
              <w:t>/data/users</w:t>
            </w:r>
          </w:p>
        </w:tc>
        <w:tc>
          <w:tcPr>
            <w:tcW w:type="dxa" w:w="3888"/>
          </w:tcPr>
          <w:p>
            <w:pPr>
              <w:spacing w:after="40"/>
            </w:pPr>
            <w:r/>
            <w:r>
              <w:rPr>
                <w:sz w:val="17"/>
              </w:rPr>
              <w:t>DataUsersController</w:t>
            </w:r>
          </w:p>
        </w:tc>
      </w:tr>
      <w:tr>
        <w:tc>
          <w:tcPr>
            <w:tcW w:type="dxa" w:w="1152"/>
          </w:tcPr>
          <w:p>
            <w:pPr>
              <w:spacing w:after="40"/>
            </w:pPr>
            <w:r/>
            <w:r>
              <w:rPr>
                <w:sz w:val="17"/>
              </w:rPr>
              <w:t>POST</w:t>
            </w:r>
          </w:p>
        </w:tc>
        <w:tc>
          <w:tcPr>
            <w:tcW w:type="dxa" w:w="4176"/>
          </w:tcPr>
          <w:p>
            <w:pPr>
              <w:spacing w:after="40"/>
            </w:pPr>
            <w:r/>
            <w:r>
              <w:rPr>
                <w:sz w:val="17"/>
              </w:rPr>
              <w:t>/data/users</w:t>
            </w:r>
          </w:p>
        </w:tc>
        <w:tc>
          <w:tcPr>
            <w:tcW w:type="dxa" w:w="3888"/>
          </w:tcPr>
          <w:p>
            <w:pPr>
              <w:spacing w:after="40"/>
            </w:pPr>
            <w:r/>
            <w:r>
              <w:rPr>
                <w:sz w:val="17"/>
              </w:rPr>
              <w:t>DataUsersController</w:t>
            </w:r>
          </w:p>
        </w:tc>
      </w:tr>
      <w:tr>
        <w:tc>
          <w:tcPr>
            <w:tcW w:type="dxa" w:w="1152"/>
          </w:tcPr>
          <w:p>
            <w:pPr>
              <w:spacing w:after="40"/>
            </w:pPr>
            <w:r/>
            <w:r>
              <w:rPr>
                <w:sz w:val="17"/>
              </w:rPr>
              <w:t>PUT</w:t>
            </w:r>
          </w:p>
        </w:tc>
        <w:tc>
          <w:tcPr>
            <w:tcW w:type="dxa" w:w="4176"/>
          </w:tcPr>
          <w:p>
            <w:pPr>
              <w:spacing w:after="40"/>
            </w:pPr>
            <w:r/>
            <w:r>
              <w:rPr>
                <w:sz w:val="17"/>
              </w:rPr>
              <w:t>/data/users</w:t>
            </w:r>
          </w:p>
        </w:tc>
        <w:tc>
          <w:tcPr>
            <w:tcW w:type="dxa" w:w="3888"/>
          </w:tcPr>
          <w:p>
            <w:pPr>
              <w:spacing w:after="40"/>
            </w:pPr>
            <w:r/>
            <w:r>
              <w:rPr>
                <w:sz w:val="17"/>
              </w:rPr>
              <w:t>DataUsersController</w:t>
            </w:r>
          </w:p>
        </w:tc>
      </w:tr>
      <w:tr>
        <w:tc>
          <w:tcPr>
            <w:tcW w:type="dxa" w:w="1152"/>
          </w:tcPr>
          <w:p>
            <w:pPr>
              <w:spacing w:after="40"/>
            </w:pPr>
            <w:r/>
            <w:r>
              <w:rPr>
                <w:sz w:val="17"/>
              </w:rPr>
              <w:t>POST</w:t>
            </w:r>
          </w:p>
        </w:tc>
        <w:tc>
          <w:tcPr>
            <w:tcW w:type="dxa" w:w="4176"/>
          </w:tcPr>
          <w:p>
            <w:pPr>
              <w:spacing w:after="40"/>
            </w:pPr>
            <w:r/>
            <w:r>
              <w:rPr>
                <w:sz w:val="17"/>
              </w:rPr>
              <w:t>/public/register</w:t>
            </w:r>
          </w:p>
        </w:tc>
        <w:tc>
          <w:tcPr>
            <w:tcW w:type="dxa" w:w="3888"/>
          </w:tcPr>
          <w:p>
            <w:pPr>
              <w:spacing w:after="40"/>
            </w:pPr>
            <w:r/>
            <w:r>
              <w:rPr>
                <w:sz w:val="17"/>
              </w:rPr>
              <w:t>PublicRegisterController</w:t>
            </w:r>
          </w:p>
        </w:tc>
      </w:tr>
    </w:tbl>
    <w:p>
      <w:pPr>
        <w:spacing w:after="80"/>
      </w:pPr>
    </w:p>
    <w:p>
      <w:pPr>
        <w:pStyle w:val="Heading2"/>
      </w:pPr>
      <w:r>
        <w:t>Orders Service  -  20 routes</w:t>
      </w:r>
    </w:p>
    <w:tbl>
      <w:tblPr>
        <w:tblStyle w:val="LightGrid-Accent1"/>
        <w:tblW w:type="auto" w:w="0"/>
        <w:jc w:val="center"/>
        <w:tblLook w:firstColumn="1" w:firstRow="1" w:lastColumn="0" w:lastRow="0" w:noHBand="0" w:noVBand="1" w:val="04A0"/>
      </w:tblPr>
      <w:tblGrid>
        <w:gridCol w:w="3216"/>
        <w:gridCol w:w="3216"/>
        <w:gridCol w:w="3216"/>
      </w:tblGrid>
      <w:tr>
        <w:tc>
          <w:tcPr>
            <w:tcW w:type="dxa" w:w="1152"/>
          </w:tcPr>
          <w:p>
            <w:r/>
            <w:r>
              <w:rPr>
                <w:b/>
                <w:sz w:val="17"/>
              </w:rPr>
              <w:t>Method</w:t>
            </w:r>
          </w:p>
        </w:tc>
        <w:tc>
          <w:tcPr>
            <w:tcW w:type="dxa" w:w="4176"/>
          </w:tcPr>
          <w:p>
            <w:r/>
            <w:r>
              <w:rPr>
                <w:b/>
                <w:sz w:val="17"/>
              </w:rPr>
              <w:t>Path</w:t>
            </w:r>
          </w:p>
        </w:tc>
        <w:tc>
          <w:tcPr>
            <w:tcW w:type="dxa" w:w="3888"/>
          </w:tcPr>
          <w:p>
            <w:r/>
            <w:r>
              <w:rPr>
                <w:b/>
                <w:sz w:val="17"/>
              </w:rPr>
              <w:t>Controller</w:t>
            </w:r>
          </w:p>
        </w:tc>
      </w:tr>
      <w:tr>
        <w:tc>
          <w:tcPr>
            <w:tcW w:type="dxa" w:w="1152"/>
          </w:tcPr>
          <w:p>
            <w:pPr>
              <w:spacing w:after="40"/>
            </w:pPr>
            <w:r/>
            <w:r>
              <w:rPr>
                <w:sz w:val="17"/>
              </w:rPr>
              <w:t>GET</w:t>
            </w:r>
          </w:p>
        </w:tc>
        <w:tc>
          <w:tcPr>
            <w:tcW w:type="dxa" w:w="4176"/>
          </w:tcPr>
          <w:p>
            <w:pPr>
              <w:spacing w:after="40"/>
            </w:pPr>
            <w:r/>
            <w:r>
              <w:rPr>
                <w:sz w:val="17"/>
              </w:rPr>
              <w:t>/</w:t>
            </w:r>
          </w:p>
        </w:tc>
        <w:tc>
          <w:tcPr>
            <w:tcW w:type="dxa" w:w="3888"/>
          </w:tcPr>
          <w:p>
            <w:pPr>
              <w:spacing w:after="40"/>
            </w:pPr>
            <w:r/>
            <w:r>
              <w:rPr>
                <w:sz w:val="17"/>
              </w:rPr>
              <w:t>RootController</w:t>
            </w:r>
          </w:p>
        </w:tc>
      </w:tr>
      <w:tr>
        <w:tc>
          <w:tcPr>
            <w:tcW w:type="dxa" w:w="1152"/>
          </w:tcPr>
          <w:p>
            <w:pPr>
              <w:spacing w:after="40"/>
            </w:pPr>
            <w:r/>
            <w:r>
              <w:rPr>
                <w:sz w:val="17"/>
              </w:rPr>
              <w:t>GET</w:t>
            </w:r>
          </w:p>
        </w:tc>
        <w:tc>
          <w:tcPr>
            <w:tcW w:type="dxa" w:w="4176"/>
          </w:tcPr>
          <w:p>
            <w:pPr>
              <w:spacing w:after="40"/>
            </w:pPr>
            <w:r/>
            <w:r>
              <w:rPr>
                <w:sz w:val="17"/>
              </w:rPr>
              <w:t>/data/billing_types</w:t>
            </w:r>
          </w:p>
        </w:tc>
        <w:tc>
          <w:tcPr>
            <w:tcW w:type="dxa" w:w="3888"/>
          </w:tcPr>
          <w:p>
            <w:pPr>
              <w:spacing w:after="40"/>
            </w:pPr>
            <w:r/>
            <w:r>
              <w:rPr>
                <w:sz w:val="17"/>
              </w:rPr>
              <w:t>DataBillingTypesController</w:t>
            </w:r>
          </w:p>
        </w:tc>
      </w:tr>
      <w:tr>
        <w:tc>
          <w:tcPr>
            <w:tcW w:type="dxa" w:w="1152"/>
          </w:tcPr>
          <w:p>
            <w:pPr>
              <w:spacing w:after="40"/>
            </w:pPr>
            <w:r/>
            <w:r>
              <w:rPr>
                <w:sz w:val="17"/>
              </w:rPr>
              <w:t>GET</w:t>
            </w:r>
          </w:p>
        </w:tc>
        <w:tc>
          <w:tcPr>
            <w:tcW w:type="dxa" w:w="4176"/>
          </w:tcPr>
          <w:p>
            <w:pPr>
              <w:spacing w:after="40"/>
            </w:pPr>
            <w:r/>
            <w:r>
              <w:rPr>
                <w:sz w:val="17"/>
              </w:rPr>
              <w:t>/data/order_statuses</w:t>
            </w:r>
          </w:p>
        </w:tc>
        <w:tc>
          <w:tcPr>
            <w:tcW w:type="dxa" w:w="3888"/>
          </w:tcPr>
          <w:p>
            <w:pPr>
              <w:spacing w:after="40"/>
            </w:pPr>
            <w:r/>
            <w:r>
              <w:rPr>
                <w:sz w:val="17"/>
              </w:rPr>
              <w:t>DataOrderStatusesController</w:t>
            </w:r>
          </w:p>
        </w:tc>
      </w:tr>
      <w:tr>
        <w:tc>
          <w:tcPr>
            <w:tcW w:type="dxa" w:w="1152"/>
          </w:tcPr>
          <w:p>
            <w:pPr>
              <w:spacing w:after="40"/>
            </w:pPr>
            <w:r/>
            <w:r>
              <w:rPr>
                <w:sz w:val="17"/>
              </w:rPr>
              <w:t>DELETE</w:t>
            </w:r>
          </w:p>
        </w:tc>
        <w:tc>
          <w:tcPr>
            <w:tcW w:type="dxa" w:w="4176"/>
          </w:tcPr>
          <w:p>
            <w:pPr>
              <w:spacing w:after="40"/>
            </w:pPr>
            <w:r/>
            <w:r>
              <w:rPr>
                <w:sz w:val="17"/>
              </w:rPr>
              <w:t>/data/orders</w:t>
            </w:r>
          </w:p>
        </w:tc>
        <w:tc>
          <w:tcPr>
            <w:tcW w:type="dxa" w:w="3888"/>
          </w:tcPr>
          <w:p>
            <w:pPr>
              <w:spacing w:after="40"/>
            </w:pPr>
            <w:r/>
            <w:r>
              <w:rPr>
                <w:sz w:val="17"/>
              </w:rPr>
              <w:t>DataOrdersController</w:t>
            </w:r>
          </w:p>
        </w:tc>
      </w:tr>
      <w:tr>
        <w:tc>
          <w:tcPr>
            <w:tcW w:type="dxa" w:w="1152"/>
          </w:tcPr>
          <w:p>
            <w:pPr>
              <w:spacing w:after="40"/>
            </w:pPr>
            <w:r/>
            <w:r>
              <w:rPr>
                <w:sz w:val="17"/>
              </w:rPr>
              <w:t>GET</w:t>
            </w:r>
          </w:p>
        </w:tc>
        <w:tc>
          <w:tcPr>
            <w:tcW w:type="dxa" w:w="4176"/>
          </w:tcPr>
          <w:p>
            <w:pPr>
              <w:spacing w:after="40"/>
            </w:pPr>
            <w:r/>
            <w:r>
              <w:rPr>
                <w:sz w:val="17"/>
              </w:rPr>
              <w:t>/data/orders</w:t>
            </w:r>
          </w:p>
        </w:tc>
        <w:tc>
          <w:tcPr>
            <w:tcW w:type="dxa" w:w="3888"/>
          </w:tcPr>
          <w:p>
            <w:pPr>
              <w:spacing w:after="40"/>
            </w:pPr>
            <w:r/>
            <w:r>
              <w:rPr>
                <w:sz w:val="17"/>
              </w:rPr>
              <w:t>DataOrdersController</w:t>
            </w:r>
          </w:p>
        </w:tc>
      </w:tr>
      <w:tr>
        <w:tc>
          <w:tcPr>
            <w:tcW w:type="dxa" w:w="1152"/>
          </w:tcPr>
          <w:p>
            <w:pPr>
              <w:spacing w:after="40"/>
            </w:pPr>
            <w:r/>
            <w:r>
              <w:rPr>
                <w:sz w:val="17"/>
              </w:rPr>
              <w:t>PATCH</w:t>
            </w:r>
          </w:p>
        </w:tc>
        <w:tc>
          <w:tcPr>
            <w:tcW w:type="dxa" w:w="4176"/>
          </w:tcPr>
          <w:p>
            <w:pPr>
              <w:spacing w:after="40"/>
            </w:pPr>
            <w:r/>
            <w:r>
              <w:rPr>
                <w:sz w:val="17"/>
              </w:rPr>
              <w:t>/data/orders</w:t>
            </w:r>
          </w:p>
        </w:tc>
        <w:tc>
          <w:tcPr>
            <w:tcW w:type="dxa" w:w="3888"/>
          </w:tcPr>
          <w:p>
            <w:pPr>
              <w:spacing w:after="40"/>
            </w:pPr>
            <w:r/>
            <w:r>
              <w:rPr>
                <w:sz w:val="17"/>
              </w:rPr>
              <w:t>DataOrdersController</w:t>
            </w:r>
          </w:p>
        </w:tc>
      </w:tr>
      <w:tr>
        <w:tc>
          <w:tcPr>
            <w:tcW w:type="dxa" w:w="1152"/>
          </w:tcPr>
          <w:p>
            <w:pPr>
              <w:spacing w:after="40"/>
            </w:pPr>
            <w:r/>
            <w:r>
              <w:rPr>
                <w:sz w:val="17"/>
              </w:rPr>
              <w:t>POST</w:t>
            </w:r>
          </w:p>
        </w:tc>
        <w:tc>
          <w:tcPr>
            <w:tcW w:type="dxa" w:w="4176"/>
          </w:tcPr>
          <w:p>
            <w:pPr>
              <w:spacing w:after="40"/>
            </w:pPr>
            <w:r/>
            <w:r>
              <w:rPr>
                <w:sz w:val="17"/>
              </w:rPr>
              <w:t>/data/orders</w:t>
            </w:r>
          </w:p>
        </w:tc>
        <w:tc>
          <w:tcPr>
            <w:tcW w:type="dxa" w:w="3888"/>
          </w:tcPr>
          <w:p>
            <w:pPr>
              <w:spacing w:after="40"/>
            </w:pPr>
            <w:r/>
            <w:r>
              <w:rPr>
                <w:sz w:val="17"/>
              </w:rPr>
              <w:t>DataOrdersController</w:t>
            </w:r>
          </w:p>
        </w:tc>
      </w:tr>
      <w:tr>
        <w:tc>
          <w:tcPr>
            <w:tcW w:type="dxa" w:w="1152"/>
          </w:tcPr>
          <w:p>
            <w:pPr>
              <w:spacing w:after="40"/>
            </w:pPr>
            <w:r/>
            <w:r>
              <w:rPr>
                <w:sz w:val="17"/>
              </w:rPr>
              <w:t>PUT</w:t>
            </w:r>
          </w:p>
        </w:tc>
        <w:tc>
          <w:tcPr>
            <w:tcW w:type="dxa" w:w="4176"/>
          </w:tcPr>
          <w:p>
            <w:pPr>
              <w:spacing w:after="40"/>
            </w:pPr>
            <w:r/>
            <w:r>
              <w:rPr>
                <w:sz w:val="17"/>
              </w:rPr>
              <w:t>/data/orders</w:t>
            </w:r>
          </w:p>
        </w:tc>
        <w:tc>
          <w:tcPr>
            <w:tcW w:type="dxa" w:w="3888"/>
          </w:tcPr>
          <w:p>
            <w:pPr>
              <w:spacing w:after="40"/>
            </w:pPr>
            <w:r/>
            <w:r>
              <w:rPr>
                <w:sz w:val="17"/>
              </w:rPr>
              <w:t>DataOrdersController</w:t>
            </w:r>
          </w:p>
        </w:tc>
      </w:tr>
      <w:tr>
        <w:tc>
          <w:tcPr>
            <w:tcW w:type="dxa" w:w="1152"/>
          </w:tcPr>
          <w:p>
            <w:pPr>
              <w:spacing w:after="40"/>
            </w:pPr>
            <w:r/>
            <w:r>
              <w:rPr>
                <w:sz w:val="17"/>
              </w:rPr>
              <w:t>POST</w:t>
            </w:r>
          </w:p>
        </w:tc>
        <w:tc>
          <w:tcPr>
            <w:tcW w:type="dxa" w:w="4176"/>
          </w:tcPr>
          <w:p>
            <w:pPr>
              <w:spacing w:after="40"/>
            </w:pPr>
            <w:r/>
            <w:r>
              <w:rPr>
                <w:sz w:val="17"/>
              </w:rPr>
              <w:t>/data/orders/completion</w:t>
            </w:r>
          </w:p>
        </w:tc>
        <w:tc>
          <w:tcPr>
            <w:tcW w:type="dxa" w:w="3888"/>
          </w:tcPr>
          <w:p>
            <w:pPr>
              <w:spacing w:after="40"/>
            </w:pPr>
            <w:r/>
            <w:r>
              <w:rPr>
                <w:sz w:val="17"/>
              </w:rPr>
              <w:t>DataOrdersController</w:t>
            </w:r>
          </w:p>
        </w:tc>
      </w:tr>
      <w:tr>
        <w:tc>
          <w:tcPr>
            <w:tcW w:type="dxa" w:w="1152"/>
          </w:tcPr>
          <w:p>
            <w:pPr>
              <w:spacing w:after="40"/>
            </w:pPr>
            <w:r/>
            <w:r>
              <w:rPr>
                <w:sz w:val="17"/>
              </w:rPr>
              <w:t>POST</w:t>
            </w:r>
          </w:p>
        </w:tc>
        <w:tc>
          <w:tcPr>
            <w:tcW w:type="dxa" w:w="4176"/>
          </w:tcPr>
          <w:p>
            <w:pPr>
              <w:spacing w:after="40"/>
            </w:pPr>
            <w:r/>
            <w:r>
              <w:rPr>
                <w:sz w:val="17"/>
              </w:rPr>
              <w:t>/data/orders/confirmation</w:t>
            </w:r>
          </w:p>
        </w:tc>
        <w:tc>
          <w:tcPr>
            <w:tcW w:type="dxa" w:w="3888"/>
          </w:tcPr>
          <w:p>
            <w:pPr>
              <w:spacing w:after="40"/>
            </w:pPr>
            <w:r/>
            <w:r>
              <w:rPr>
                <w:sz w:val="17"/>
              </w:rPr>
              <w:t>DataOrdersController</w:t>
            </w:r>
          </w:p>
        </w:tc>
      </w:tr>
      <w:tr>
        <w:tc>
          <w:tcPr>
            <w:tcW w:type="dxa" w:w="1152"/>
          </w:tcPr>
          <w:p>
            <w:pPr>
              <w:spacing w:after="40"/>
            </w:pPr>
            <w:r/>
            <w:r>
              <w:rPr>
                <w:sz w:val="17"/>
              </w:rPr>
              <w:t>POST</w:t>
            </w:r>
          </w:p>
        </w:tc>
        <w:tc>
          <w:tcPr>
            <w:tcW w:type="dxa" w:w="4176"/>
          </w:tcPr>
          <w:p>
            <w:pPr>
              <w:spacing w:after="40"/>
            </w:pPr>
            <w:r/>
            <w:r>
              <w:rPr>
                <w:sz w:val="17"/>
              </w:rPr>
              <w:t>/data/orders/rejection</w:t>
            </w:r>
          </w:p>
        </w:tc>
        <w:tc>
          <w:tcPr>
            <w:tcW w:type="dxa" w:w="3888"/>
          </w:tcPr>
          <w:p>
            <w:pPr>
              <w:spacing w:after="40"/>
            </w:pPr>
            <w:r/>
            <w:r>
              <w:rPr>
                <w:sz w:val="17"/>
              </w:rPr>
              <w:t>DataOrdersController</w:t>
            </w:r>
          </w:p>
        </w:tc>
      </w:tr>
      <w:tr>
        <w:tc>
          <w:tcPr>
            <w:tcW w:type="dxa" w:w="1152"/>
          </w:tcPr>
          <w:p>
            <w:pPr>
              <w:spacing w:after="40"/>
            </w:pPr>
            <w:r/>
            <w:r>
              <w:rPr>
                <w:sz w:val="17"/>
              </w:rPr>
              <w:t>DELETE</w:t>
            </w:r>
          </w:p>
        </w:tc>
        <w:tc>
          <w:tcPr>
            <w:tcW w:type="dxa" w:w="4176"/>
          </w:tcPr>
          <w:p>
            <w:pPr>
              <w:spacing w:after="40"/>
            </w:pPr>
            <w:r/>
            <w:r>
              <w:rPr>
                <w:sz w:val="17"/>
              </w:rPr>
              <w:t>/data/shippers</w:t>
            </w:r>
          </w:p>
        </w:tc>
        <w:tc>
          <w:tcPr>
            <w:tcW w:type="dxa" w:w="3888"/>
          </w:tcPr>
          <w:p>
            <w:pPr>
              <w:spacing w:after="40"/>
            </w:pPr>
            <w:r/>
            <w:r>
              <w:rPr>
                <w:sz w:val="17"/>
              </w:rPr>
              <w:t>DataShippersController</w:t>
            </w:r>
          </w:p>
        </w:tc>
      </w:tr>
      <w:tr>
        <w:tc>
          <w:tcPr>
            <w:tcW w:type="dxa" w:w="1152"/>
          </w:tcPr>
          <w:p>
            <w:pPr>
              <w:spacing w:after="40"/>
            </w:pPr>
            <w:r/>
            <w:r>
              <w:rPr>
                <w:sz w:val="17"/>
              </w:rPr>
              <w:t>GET</w:t>
            </w:r>
          </w:p>
        </w:tc>
        <w:tc>
          <w:tcPr>
            <w:tcW w:type="dxa" w:w="4176"/>
          </w:tcPr>
          <w:p>
            <w:pPr>
              <w:spacing w:after="40"/>
            </w:pPr>
            <w:r/>
            <w:r>
              <w:rPr>
                <w:sz w:val="17"/>
              </w:rPr>
              <w:t>/data/shippers</w:t>
            </w:r>
          </w:p>
        </w:tc>
        <w:tc>
          <w:tcPr>
            <w:tcW w:type="dxa" w:w="3888"/>
          </w:tcPr>
          <w:p>
            <w:pPr>
              <w:spacing w:after="40"/>
            </w:pPr>
            <w:r/>
            <w:r>
              <w:rPr>
                <w:sz w:val="17"/>
              </w:rPr>
              <w:t>DataShippersController</w:t>
            </w:r>
          </w:p>
        </w:tc>
      </w:tr>
      <w:tr>
        <w:tc>
          <w:tcPr>
            <w:tcW w:type="dxa" w:w="1152"/>
          </w:tcPr>
          <w:p>
            <w:pPr>
              <w:spacing w:after="40"/>
            </w:pPr>
            <w:r/>
            <w:r>
              <w:rPr>
                <w:sz w:val="17"/>
              </w:rPr>
              <w:t>PATCH</w:t>
            </w:r>
          </w:p>
        </w:tc>
        <w:tc>
          <w:tcPr>
            <w:tcW w:type="dxa" w:w="4176"/>
          </w:tcPr>
          <w:p>
            <w:pPr>
              <w:spacing w:after="40"/>
            </w:pPr>
            <w:r/>
            <w:r>
              <w:rPr>
                <w:sz w:val="17"/>
              </w:rPr>
              <w:t>/data/shippers</w:t>
            </w:r>
          </w:p>
        </w:tc>
        <w:tc>
          <w:tcPr>
            <w:tcW w:type="dxa" w:w="3888"/>
          </w:tcPr>
          <w:p>
            <w:pPr>
              <w:spacing w:after="40"/>
            </w:pPr>
            <w:r/>
            <w:r>
              <w:rPr>
                <w:sz w:val="17"/>
              </w:rPr>
              <w:t>DataShippersController</w:t>
            </w:r>
          </w:p>
        </w:tc>
      </w:tr>
      <w:tr>
        <w:tc>
          <w:tcPr>
            <w:tcW w:type="dxa" w:w="1152"/>
          </w:tcPr>
          <w:p>
            <w:pPr>
              <w:spacing w:after="40"/>
            </w:pPr>
            <w:r/>
            <w:r>
              <w:rPr>
                <w:sz w:val="17"/>
              </w:rPr>
              <w:t>POST</w:t>
            </w:r>
          </w:p>
        </w:tc>
        <w:tc>
          <w:tcPr>
            <w:tcW w:type="dxa" w:w="4176"/>
          </w:tcPr>
          <w:p>
            <w:pPr>
              <w:spacing w:after="40"/>
            </w:pPr>
            <w:r/>
            <w:r>
              <w:rPr>
                <w:sz w:val="17"/>
              </w:rPr>
              <w:t>/data/shippers</w:t>
            </w:r>
          </w:p>
        </w:tc>
        <w:tc>
          <w:tcPr>
            <w:tcW w:type="dxa" w:w="3888"/>
          </w:tcPr>
          <w:p>
            <w:pPr>
              <w:spacing w:after="40"/>
            </w:pPr>
            <w:r/>
            <w:r>
              <w:rPr>
                <w:sz w:val="17"/>
              </w:rPr>
              <w:t>DataShippersController</w:t>
            </w:r>
          </w:p>
        </w:tc>
      </w:tr>
      <w:tr>
        <w:tc>
          <w:tcPr>
            <w:tcW w:type="dxa" w:w="1152"/>
          </w:tcPr>
          <w:p>
            <w:pPr>
              <w:spacing w:after="40"/>
            </w:pPr>
            <w:r/>
            <w:r>
              <w:rPr>
                <w:sz w:val="17"/>
              </w:rPr>
              <w:t>PUT</w:t>
            </w:r>
          </w:p>
        </w:tc>
        <w:tc>
          <w:tcPr>
            <w:tcW w:type="dxa" w:w="4176"/>
          </w:tcPr>
          <w:p>
            <w:pPr>
              <w:spacing w:after="40"/>
            </w:pPr>
            <w:r/>
            <w:r>
              <w:rPr>
                <w:sz w:val="17"/>
              </w:rPr>
              <w:t>/data/shippers</w:t>
            </w:r>
          </w:p>
        </w:tc>
        <w:tc>
          <w:tcPr>
            <w:tcW w:type="dxa" w:w="3888"/>
          </w:tcPr>
          <w:p>
            <w:pPr>
              <w:spacing w:after="40"/>
            </w:pPr>
            <w:r/>
            <w:r>
              <w:rPr>
                <w:sz w:val="17"/>
              </w:rPr>
              <w:t>DataShippersController</w:t>
            </w:r>
          </w:p>
        </w:tc>
      </w:tr>
      <w:tr>
        <w:tc>
          <w:tcPr>
            <w:tcW w:type="dxa" w:w="1152"/>
          </w:tcPr>
          <w:p>
            <w:pPr>
              <w:spacing w:after="40"/>
            </w:pPr>
            <w:r/>
            <w:r>
              <w:rPr>
                <w:sz w:val="17"/>
              </w:rPr>
              <w:t>POST</w:t>
            </w:r>
          </w:p>
        </w:tc>
        <w:tc>
          <w:tcPr>
            <w:tcW w:type="dxa" w:w="4176"/>
          </w:tcPr>
          <w:p>
            <w:pPr>
              <w:spacing w:after="40"/>
            </w:pPr>
            <w:r/>
            <w:r>
              <w:rPr>
                <w:sz w:val="17"/>
              </w:rPr>
              <w:t>/public/checkout</w:t>
            </w:r>
          </w:p>
        </w:tc>
        <w:tc>
          <w:tcPr>
            <w:tcW w:type="dxa" w:w="3888"/>
          </w:tcPr>
          <w:p>
            <w:pPr>
              <w:spacing w:after="40"/>
            </w:pPr>
            <w:r/>
            <w:r>
              <w:rPr>
                <w:sz w:val="17"/>
              </w:rPr>
              <w:t>PublicCheckoutController</w:t>
            </w:r>
          </w:p>
        </w:tc>
      </w:tr>
      <w:tr>
        <w:tc>
          <w:tcPr>
            <w:tcW w:type="dxa" w:w="1152"/>
          </w:tcPr>
          <w:p>
            <w:pPr>
              <w:spacing w:after="40"/>
            </w:pPr>
            <w:r/>
            <w:r>
              <w:rPr>
                <w:sz w:val="17"/>
              </w:rPr>
              <w:t>GET</w:t>
            </w:r>
          </w:p>
        </w:tc>
        <w:tc>
          <w:tcPr>
            <w:tcW w:type="dxa" w:w="4176"/>
          </w:tcPr>
          <w:p>
            <w:pPr>
              <w:spacing w:after="40"/>
            </w:pPr>
            <w:r/>
            <w:r>
              <w:rPr>
                <w:sz w:val="17"/>
              </w:rPr>
              <w:t>/public/checkout/validate</w:t>
            </w:r>
          </w:p>
        </w:tc>
        <w:tc>
          <w:tcPr>
            <w:tcW w:type="dxa" w:w="3888"/>
          </w:tcPr>
          <w:p>
            <w:pPr>
              <w:spacing w:after="40"/>
            </w:pPr>
            <w:r/>
            <w:r>
              <w:rPr>
                <w:sz w:val="17"/>
              </w:rPr>
              <w:t>PublicCheckoutController</w:t>
            </w:r>
          </w:p>
        </w:tc>
      </w:tr>
      <w:tr>
        <w:tc>
          <w:tcPr>
            <w:tcW w:type="dxa" w:w="1152"/>
          </w:tcPr>
          <w:p>
            <w:pPr>
              <w:spacing w:after="40"/>
            </w:pPr>
            <w:r/>
            <w:r>
              <w:rPr>
                <w:sz w:val="17"/>
              </w:rPr>
              <w:t>POST</w:t>
            </w:r>
          </w:p>
        </w:tc>
        <w:tc>
          <w:tcPr>
            <w:tcW w:type="dxa" w:w="4176"/>
          </w:tcPr>
          <w:p>
            <w:pPr>
              <w:spacing w:after="40"/>
            </w:pPr>
            <w:r/>
            <w:r>
              <w:rPr>
                <w:sz w:val="17"/>
              </w:rPr>
              <w:t>/public/checkout/validate</w:t>
            </w:r>
          </w:p>
        </w:tc>
        <w:tc>
          <w:tcPr>
            <w:tcW w:type="dxa" w:w="3888"/>
          </w:tcPr>
          <w:p>
            <w:pPr>
              <w:spacing w:after="40"/>
            </w:pPr>
            <w:r/>
            <w:r>
              <w:rPr>
                <w:sz w:val="17"/>
              </w:rPr>
              <w:t>PublicCheckoutController</w:t>
            </w:r>
          </w:p>
        </w:tc>
      </w:tr>
      <w:tr>
        <w:tc>
          <w:tcPr>
            <w:tcW w:type="dxa" w:w="1152"/>
          </w:tcPr>
          <w:p>
            <w:pPr>
              <w:spacing w:after="40"/>
            </w:pPr>
            <w:r/>
            <w:r>
              <w:rPr>
                <w:sz w:val="17"/>
              </w:rPr>
              <w:t>GET</w:t>
            </w:r>
          </w:p>
        </w:tc>
        <w:tc>
          <w:tcPr>
            <w:tcW w:type="dxa" w:w="4176"/>
          </w:tcPr>
          <w:p>
            <w:pPr>
              <w:spacing w:after="40"/>
            </w:pPr>
            <w:r/>
            <w:r>
              <w:rPr>
                <w:sz w:val="17"/>
              </w:rPr>
              <w:t>/public/receipt/{token}</w:t>
            </w:r>
          </w:p>
        </w:tc>
        <w:tc>
          <w:tcPr>
            <w:tcW w:type="dxa" w:w="3888"/>
          </w:tcPr>
          <w:p>
            <w:pPr>
              <w:spacing w:after="40"/>
            </w:pPr>
            <w:r/>
            <w:r>
              <w:rPr>
                <w:sz w:val="17"/>
              </w:rPr>
              <w:t>PublicReceiptController</w:t>
            </w:r>
          </w:p>
        </w:tc>
      </w:tr>
    </w:tbl>
    <w:p>
      <w:pPr>
        <w:spacing w:after="80"/>
      </w:pPr>
    </w:p>
    <w:p>
      <w:pPr>
        <w:pStyle w:val="Heading1"/>
      </w:pPr>
      <w:r>
        <w:t>Appendix B  Environment variable reference</w:t>
      </w:r>
    </w:p>
    <w:p>
      <w:pPr>
        <w:spacing w:after="120"/>
      </w:pPr>
      <w:r>
        <w:rPr>
          <w:b w:val="0"/>
          <w:i/>
          <w:color w:val="595959"/>
          <w:sz w:val="19"/>
        </w:rPr>
        <w:t>Every externalised setting, per service. A blank default means the service will not start without the variable - which is deliberate for secrets.</w:t>
      </w:r>
    </w:p>
    <w:p>
      <w:pPr>
        <w:pStyle w:val="Heading2"/>
      </w:pPr>
      <w:r>
        <w:t>Catalogue Service</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sz w:val="17"/>
              </w:rPr>
              <w:t>Variable</w:t>
            </w:r>
          </w:p>
        </w:tc>
        <w:tc>
          <w:tcPr>
            <w:tcW w:type="dxa" w:w="4032"/>
          </w:tcPr>
          <w:p>
            <w:r/>
            <w:r>
              <w:rPr>
                <w:b/>
                <w:sz w:val="17"/>
              </w:rPr>
              <w:t>Property</w:t>
            </w:r>
          </w:p>
        </w:tc>
        <w:tc>
          <w:tcPr>
            <w:tcW w:type="dxa" w:w="2448"/>
          </w:tcPr>
          <w:p>
            <w:r/>
            <w:r>
              <w:rPr>
                <w:b/>
                <w:sz w:val="17"/>
              </w:rPr>
              <w:t>Default</w:t>
            </w:r>
          </w:p>
        </w:tc>
      </w:tr>
      <w:tr>
        <w:tc>
          <w:tcPr>
            <w:tcW w:type="dxa" w:w="2736"/>
          </w:tcPr>
          <w:p>
            <w:pPr>
              <w:spacing w:after="40"/>
            </w:pPr>
            <w:r/>
            <w:r>
              <w:rPr>
                <w:sz w:val="17"/>
              </w:rPr>
              <w:t>TREBOL_CATALOGUE_PORT</w:t>
            </w:r>
          </w:p>
        </w:tc>
        <w:tc>
          <w:tcPr>
            <w:tcW w:type="dxa" w:w="4032"/>
          </w:tcPr>
          <w:p>
            <w:pPr>
              <w:spacing w:after="40"/>
            </w:pPr>
            <w:r/>
            <w:r>
              <w:rPr>
                <w:sz w:val="17"/>
              </w:rPr>
              <w:t>server.port</w:t>
            </w:r>
          </w:p>
        </w:tc>
        <w:tc>
          <w:tcPr>
            <w:tcW w:type="dxa" w:w="2448"/>
          </w:tcPr>
          <w:p>
            <w:pPr>
              <w:spacing w:after="40"/>
            </w:pPr>
            <w:r/>
            <w:r>
              <w:rPr>
                <w:sz w:val="17"/>
              </w:rPr>
              <w:t>8081</w:t>
            </w:r>
          </w:p>
        </w:tc>
      </w:tr>
      <w:tr>
        <w:tc>
          <w:tcPr>
            <w:tcW w:type="dxa" w:w="2736"/>
          </w:tcPr>
          <w:p>
            <w:pPr>
              <w:spacing w:after="40"/>
            </w:pPr>
            <w:r/>
            <w:r>
              <w:rPr>
                <w:sz w:val="17"/>
              </w:rPr>
              <w:t>TREBOL_JWT_SECRET_KEY</w:t>
            </w:r>
          </w:p>
        </w:tc>
        <w:tc>
          <w:tcPr>
            <w:tcW w:type="dxa" w:w="4032"/>
          </w:tcPr>
          <w:p>
            <w:pPr>
              <w:spacing w:after="40"/>
            </w:pPr>
            <w:r/>
            <w:r>
              <w:rPr>
                <w:sz w:val="17"/>
              </w:rPr>
              <w:t>trebol.security.jwt-secret-key</w:t>
            </w:r>
          </w:p>
        </w:tc>
        <w:tc>
          <w:tcPr>
            <w:tcW w:type="dxa" w:w="2448"/>
          </w:tcPr>
          <w:p>
            <w:pPr>
              <w:spacing w:after="40"/>
            </w:pPr>
            <w:r/>
            <w:r>
              <w:rPr>
                <w:sz w:val="17"/>
              </w:rPr>
              <w:t>none - required</w:t>
            </w:r>
          </w:p>
        </w:tc>
      </w:tr>
      <w:tr>
        <w:tc>
          <w:tcPr>
            <w:tcW w:type="dxa" w:w="2736"/>
          </w:tcPr>
          <w:p>
            <w:pPr>
              <w:spacing w:after="40"/>
            </w:pPr>
            <w:r/>
            <w:r>
              <w:rPr>
                <w:sz w:val="17"/>
              </w:rPr>
              <w:t>TREBOL_CORS_ALLOWED_ORIGINS</w:t>
            </w:r>
          </w:p>
        </w:tc>
        <w:tc>
          <w:tcPr>
            <w:tcW w:type="dxa" w:w="4032"/>
          </w:tcPr>
          <w:p>
            <w:pPr>
              <w:spacing w:after="40"/>
            </w:pPr>
            <w:r/>
            <w:r>
              <w:rPr>
                <w:sz w:val="17"/>
              </w:rPr>
              <w:t>trebol.cors.allowed-origins</w:t>
            </w:r>
          </w:p>
        </w:tc>
        <w:tc>
          <w:tcPr>
            <w:tcW w:type="dxa" w:w="2448"/>
          </w:tcPr>
          <w:p>
            <w:pPr>
              <w:spacing w:after="40"/>
            </w:pPr>
            <w:r/>
            <w:r>
              <w:rPr>
                <w:sz w:val="17"/>
              </w:rPr>
              <w:t>none - required</w:t>
            </w:r>
          </w:p>
        </w:tc>
      </w:tr>
      <w:tr>
        <w:tc>
          <w:tcPr>
            <w:tcW w:type="dxa" w:w="2736"/>
          </w:tcPr>
          <w:p>
            <w:pPr>
              <w:spacing w:after="40"/>
            </w:pPr>
            <w:r/>
            <w:r>
              <w:rPr>
                <w:sz w:val="17"/>
              </w:rPr>
              <w:t>TREBOL_CATALOGUE_DB_URL</w:t>
            </w:r>
          </w:p>
        </w:tc>
        <w:tc>
          <w:tcPr>
            <w:tcW w:type="dxa" w:w="4032"/>
          </w:tcPr>
          <w:p>
            <w:pPr>
              <w:spacing w:after="40"/>
            </w:pPr>
            <w:r/>
            <w:r>
              <w:rPr>
                <w:sz w:val="17"/>
              </w:rPr>
              <w:t>spring.datasource.url</w:t>
            </w:r>
          </w:p>
        </w:tc>
        <w:tc>
          <w:tcPr>
            <w:tcW w:type="dxa" w:w="2448"/>
          </w:tcPr>
          <w:p>
            <w:pPr>
              <w:spacing w:after="40"/>
            </w:pPr>
            <w:r/>
            <w:r>
              <w:rPr>
                <w:sz w:val="17"/>
              </w:rPr>
              <w:t>none - required</w:t>
            </w:r>
          </w:p>
        </w:tc>
      </w:tr>
      <w:tr>
        <w:tc>
          <w:tcPr>
            <w:tcW w:type="dxa" w:w="2736"/>
          </w:tcPr>
          <w:p>
            <w:pPr>
              <w:spacing w:after="40"/>
            </w:pPr>
            <w:r/>
            <w:r>
              <w:rPr>
                <w:sz w:val="17"/>
              </w:rPr>
              <w:t>TREBOL_CATALOGUE_DB_USER</w:t>
            </w:r>
          </w:p>
        </w:tc>
        <w:tc>
          <w:tcPr>
            <w:tcW w:type="dxa" w:w="4032"/>
          </w:tcPr>
          <w:p>
            <w:pPr>
              <w:spacing w:after="40"/>
            </w:pPr>
            <w:r/>
            <w:r>
              <w:rPr>
                <w:sz w:val="17"/>
              </w:rPr>
              <w:t>spring.datasource.username</w:t>
            </w:r>
          </w:p>
        </w:tc>
        <w:tc>
          <w:tcPr>
            <w:tcW w:type="dxa" w:w="2448"/>
          </w:tcPr>
          <w:p>
            <w:pPr>
              <w:spacing w:after="40"/>
            </w:pPr>
            <w:r/>
            <w:r>
              <w:rPr>
                <w:sz w:val="17"/>
              </w:rPr>
              <w:t>none - required</w:t>
            </w:r>
          </w:p>
        </w:tc>
      </w:tr>
      <w:tr>
        <w:tc>
          <w:tcPr>
            <w:tcW w:type="dxa" w:w="2736"/>
          </w:tcPr>
          <w:p>
            <w:pPr>
              <w:spacing w:after="40"/>
            </w:pPr>
            <w:r/>
            <w:r>
              <w:rPr>
                <w:sz w:val="17"/>
              </w:rPr>
              <w:t>TREBOL_CATALOGUE_DB_PASSWORD</w:t>
            </w:r>
          </w:p>
        </w:tc>
        <w:tc>
          <w:tcPr>
            <w:tcW w:type="dxa" w:w="4032"/>
          </w:tcPr>
          <w:p>
            <w:pPr>
              <w:spacing w:after="40"/>
            </w:pPr>
            <w:r/>
            <w:r>
              <w:rPr>
                <w:sz w:val="17"/>
              </w:rPr>
              <w:t>spring.datasource.password</w:t>
            </w:r>
          </w:p>
        </w:tc>
        <w:tc>
          <w:tcPr>
            <w:tcW w:type="dxa" w:w="2448"/>
          </w:tcPr>
          <w:p>
            <w:pPr>
              <w:spacing w:after="40"/>
            </w:pPr>
            <w:r/>
            <w:r>
              <w:rPr>
                <w:sz w:val="17"/>
              </w:rPr>
              <w:t>none - required</w:t>
            </w:r>
          </w:p>
        </w:tc>
      </w:tr>
    </w:tbl>
    <w:p>
      <w:pPr>
        <w:spacing w:after="80"/>
      </w:pPr>
    </w:p>
    <w:p>
      <w:pPr>
        <w:pStyle w:val="Heading2"/>
      </w:pPr>
      <w:r>
        <w:t>Identity Service</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sz w:val="17"/>
              </w:rPr>
              <w:t>Variable</w:t>
            </w:r>
          </w:p>
        </w:tc>
        <w:tc>
          <w:tcPr>
            <w:tcW w:type="dxa" w:w="4032"/>
          </w:tcPr>
          <w:p>
            <w:r/>
            <w:r>
              <w:rPr>
                <w:b/>
                <w:sz w:val="17"/>
              </w:rPr>
              <w:t>Property</w:t>
            </w:r>
          </w:p>
        </w:tc>
        <w:tc>
          <w:tcPr>
            <w:tcW w:type="dxa" w:w="2448"/>
          </w:tcPr>
          <w:p>
            <w:r/>
            <w:r>
              <w:rPr>
                <w:b/>
                <w:sz w:val="17"/>
              </w:rPr>
              <w:t>Default</w:t>
            </w:r>
          </w:p>
        </w:tc>
      </w:tr>
      <w:tr>
        <w:tc>
          <w:tcPr>
            <w:tcW w:type="dxa" w:w="2736"/>
          </w:tcPr>
          <w:p>
            <w:pPr>
              <w:spacing w:after="40"/>
            </w:pPr>
            <w:r/>
            <w:r>
              <w:rPr>
                <w:sz w:val="17"/>
              </w:rPr>
              <w:t>TREBOL_IDENTITY_PORT</w:t>
            </w:r>
          </w:p>
        </w:tc>
        <w:tc>
          <w:tcPr>
            <w:tcW w:type="dxa" w:w="4032"/>
          </w:tcPr>
          <w:p>
            <w:pPr>
              <w:spacing w:after="40"/>
            </w:pPr>
            <w:r/>
            <w:r>
              <w:rPr>
                <w:sz w:val="17"/>
              </w:rPr>
              <w:t>server.port</w:t>
            </w:r>
          </w:p>
        </w:tc>
        <w:tc>
          <w:tcPr>
            <w:tcW w:type="dxa" w:w="2448"/>
          </w:tcPr>
          <w:p>
            <w:pPr>
              <w:spacing w:after="40"/>
            </w:pPr>
            <w:r/>
            <w:r>
              <w:rPr>
                <w:sz w:val="17"/>
              </w:rPr>
              <w:t>8082</w:t>
            </w:r>
          </w:p>
        </w:tc>
      </w:tr>
      <w:tr>
        <w:tc>
          <w:tcPr>
            <w:tcW w:type="dxa" w:w="2736"/>
          </w:tcPr>
          <w:p>
            <w:pPr>
              <w:spacing w:after="40"/>
            </w:pPr>
            <w:r/>
            <w:r>
              <w:rPr>
                <w:sz w:val="17"/>
              </w:rPr>
              <w:t>TREBOL_JWT_SECRET_KEY</w:t>
            </w:r>
          </w:p>
        </w:tc>
        <w:tc>
          <w:tcPr>
            <w:tcW w:type="dxa" w:w="4032"/>
          </w:tcPr>
          <w:p>
            <w:pPr>
              <w:spacing w:after="40"/>
            </w:pPr>
            <w:r/>
            <w:r>
              <w:rPr>
                <w:sz w:val="17"/>
              </w:rPr>
              <w:t>trebol.security.jwt-secret-key</w:t>
            </w:r>
          </w:p>
        </w:tc>
        <w:tc>
          <w:tcPr>
            <w:tcW w:type="dxa" w:w="2448"/>
          </w:tcPr>
          <w:p>
            <w:pPr>
              <w:spacing w:after="40"/>
            </w:pPr>
            <w:r/>
            <w:r>
              <w:rPr>
                <w:sz w:val="17"/>
              </w:rPr>
              <w:t>none - required</w:t>
            </w:r>
          </w:p>
        </w:tc>
      </w:tr>
      <w:tr>
        <w:tc>
          <w:tcPr>
            <w:tcW w:type="dxa" w:w="2736"/>
          </w:tcPr>
          <w:p>
            <w:pPr>
              <w:spacing w:after="40"/>
            </w:pPr>
            <w:r/>
            <w:r>
              <w:rPr>
                <w:sz w:val="17"/>
              </w:rPr>
              <w:t>TREBOL_CORS_ALLOWED_ORIGINS</w:t>
            </w:r>
          </w:p>
        </w:tc>
        <w:tc>
          <w:tcPr>
            <w:tcW w:type="dxa" w:w="4032"/>
          </w:tcPr>
          <w:p>
            <w:pPr>
              <w:spacing w:after="40"/>
            </w:pPr>
            <w:r/>
            <w:r>
              <w:rPr>
                <w:sz w:val="17"/>
              </w:rPr>
              <w:t>trebol.cors.allowed-origins</w:t>
            </w:r>
          </w:p>
        </w:tc>
        <w:tc>
          <w:tcPr>
            <w:tcW w:type="dxa" w:w="2448"/>
          </w:tcPr>
          <w:p>
            <w:pPr>
              <w:spacing w:after="40"/>
            </w:pPr>
            <w:r/>
            <w:r>
              <w:rPr>
                <w:sz w:val="17"/>
              </w:rPr>
              <w:t>none - required</w:t>
            </w:r>
          </w:p>
        </w:tc>
      </w:tr>
      <w:tr>
        <w:tc>
          <w:tcPr>
            <w:tcW w:type="dxa" w:w="2736"/>
          </w:tcPr>
          <w:p>
            <w:pPr>
              <w:spacing w:after="40"/>
            </w:pPr>
            <w:r/>
            <w:r>
              <w:rPr>
                <w:sz w:val="17"/>
              </w:rPr>
              <w:t>TREBOL_IDENTITY_DB_URL</w:t>
            </w:r>
          </w:p>
        </w:tc>
        <w:tc>
          <w:tcPr>
            <w:tcW w:type="dxa" w:w="4032"/>
          </w:tcPr>
          <w:p>
            <w:pPr>
              <w:spacing w:after="40"/>
            </w:pPr>
            <w:r/>
            <w:r>
              <w:rPr>
                <w:sz w:val="17"/>
              </w:rPr>
              <w:t>spring.datasource.url</w:t>
            </w:r>
          </w:p>
        </w:tc>
        <w:tc>
          <w:tcPr>
            <w:tcW w:type="dxa" w:w="2448"/>
          </w:tcPr>
          <w:p>
            <w:pPr>
              <w:spacing w:after="40"/>
            </w:pPr>
            <w:r/>
            <w:r>
              <w:rPr>
                <w:sz w:val="17"/>
              </w:rPr>
              <w:t>none - required</w:t>
            </w:r>
          </w:p>
        </w:tc>
      </w:tr>
      <w:tr>
        <w:tc>
          <w:tcPr>
            <w:tcW w:type="dxa" w:w="2736"/>
          </w:tcPr>
          <w:p>
            <w:pPr>
              <w:spacing w:after="40"/>
            </w:pPr>
            <w:r/>
            <w:r>
              <w:rPr>
                <w:sz w:val="17"/>
              </w:rPr>
              <w:t>TREBOL_IDENTITY_DB_USER</w:t>
            </w:r>
          </w:p>
        </w:tc>
        <w:tc>
          <w:tcPr>
            <w:tcW w:type="dxa" w:w="4032"/>
          </w:tcPr>
          <w:p>
            <w:pPr>
              <w:spacing w:after="40"/>
            </w:pPr>
            <w:r/>
            <w:r>
              <w:rPr>
                <w:sz w:val="17"/>
              </w:rPr>
              <w:t>spring.datasource.username</w:t>
            </w:r>
          </w:p>
        </w:tc>
        <w:tc>
          <w:tcPr>
            <w:tcW w:type="dxa" w:w="2448"/>
          </w:tcPr>
          <w:p>
            <w:pPr>
              <w:spacing w:after="40"/>
            </w:pPr>
            <w:r/>
            <w:r>
              <w:rPr>
                <w:sz w:val="17"/>
              </w:rPr>
              <w:t>none - required</w:t>
            </w:r>
          </w:p>
        </w:tc>
      </w:tr>
      <w:tr>
        <w:tc>
          <w:tcPr>
            <w:tcW w:type="dxa" w:w="2736"/>
          </w:tcPr>
          <w:p>
            <w:pPr>
              <w:spacing w:after="40"/>
            </w:pPr>
            <w:r/>
            <w:r>
              <w:rPr>
                <w:sz w:val="17"/>
              </w:rPr>
              <w:t>TREBOL_IDENTITY_DB_PASSWORD</w:t>
            </w:r>
          </w:p>
        </w:tc>
        <w:tc>
          <w:tcPr>
            <w:tcW w:type="dxa" w:w="4032"/>
          </w:tcPr>
          <w:p>
            <w:pPr>
              <w:spacing w:after="40"/>
            </w:pPr>
            <w:r/>
            <w:r>
              <w:rPr>
                <w:sz w:val="17"/>
              </w:rPr>
              <w:t>spring.datasource.password</w:t>
            </w:r>
          </w:p>
        </w:tc>
        <w:tc>
          <w:tcPr>
            <w:tcW w:type="dxa" w:w="2448"/>
          </w:tcPr>
          <w:p>
            <w:pPr>
              <w:spacing w:after="40"/>
            </w:pPr>
            <w:r/>
            <w:r>
              <w:rPr>
                <w:sz w:val="17"/>
              </w:rPr>
              <w:t>none - required</w:t>
            </w:r>
          </w:p>
        </w:tc>
      </w:tr>
    </w:tbl>
    <w:p>
      <w:pPr>
        <w:spacing w:after="80"/>
      </w:pPr>
    </w:p>
    <w:p>
      <w:pPr>
        <w:pStyle w:val="Heading2"/>
      </w:pPr>
      <w:r>
        <w:t>Orders Service</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sz w:val="17"/>
              </w:rPr>
              <w:t>Variable</w:t>
            </w:r>
          </w:p>
        </w:tc>
        <w:tc>
          <w:tcPr>
            <w:tcW w:type="dxa" w:w="4032"/>
          </w:tcPr>
          <w:p>
            <w:r/>
            <w:r>
              <w:rPr>
                <w:b/>
                <w:sz w:val="17"/>
              </w:rPr>
              <w:t>Property</w:t>
            </w:r>
          </w:p>
        </w:tc>
        <w:tc>
          <w:tcPr>
            <w:tcW w:type="dxa" w:w="2448"/>
          </w:tcPr>
          <w:p>
            <w:r/>
            <w:r>
              <w:rPr>
                <w:b/>
                <w:sz w:val="17"/>
              </w:rPr>
              <w:t>Default</w:t>
            </w:r>
          </w:p>
        </w:tc>
      </w:tr>
      <w:tr>
        <w:tc>
          <w:tcPr>
            <w:tcW w:type="dxa" w:w="2736"/>
          </w:tcPr>
          <w:p>
            <w:pPr>
              <w:spacing w:after="40"/>
            </w:pPr>
            <w:r/>
            <w:r>
              <w:rPr>
                <w:sz w:val="17"/>
              </w:rPr>
              <w:t>TREBOL_ORDERS_PORT</w:t>
            </w:r>
          </w:p>
        </w:tc>
        <w:tc>
          <w:tcPr>
            <w:tcW w:type="dxa" w:w="4032"/>
          </w:tcPr>
          <w:p>
            <w:pPr>
              <w:spacing w:after="40"/>
            </w:pPr>
            <w:r/>
            <w:r>
              <w:rPr>
                <w:sz w:val="17"/>
              </w:rPr>
              <w:t>server.port</w:t>
            </w:r>
          </w:p>
        </w:tc>
        <w:tc>
          <w:tcPr>
            <w:tcW w:type="dxa" w:w="2448"/>
          </w:tcPr>
          <w:p>
            <w:pPr>
              <w:spacing w:after="40"/>
            </w:pPr>
            <w:r/>
            <w:r>
              <w:rPr>
                <w:sz w:val="17"/>
              </w:rPr>
              <w:t>8083</w:t>
            </w:r>
          </w:p>
        </w:tc>
      </w:tr>
      <w:tr>
        <w:tc>
          <w:tcPr>
            <w:tcW w:type="dxa" w:w="2736"/>
          </w:tcPr>
          <w:p>
            <w:pPr>
              <w:spacing w:after="40"/>
            </w:pPr>
            <w:r/>
            <w:r>
              <w:rPr>
                <w:sz w:val="17"/>
              </w:rPr>
              <w:t>TREBOL_JWT_SECRET_KEY</w:t>
            </w:r>
          </w:p>
        </w:tc>
        <w:tc>
          <w:tcPr>
            <w:tcW w:type="dxa" w:w="4032"/>
          </w:tcPr>
          <w:p>
            <w:pPr>
              <w:spacing w:after="40"/>
            </w:pPr>
            <w:r/>
            <w:r>
              <w:rPr>
                <w:sz w:val="17"/>
              </w:rPr>
              <w:t>trebol.security.jwt-secret-key</w:t>
            </w:r>
          </w:p>
        </w:tc>
        <w:tc>
          <w:tcPr>
            <w:tcW w:type="dxa" w:w="2448"/>
          </w:tcPr>
          <w:p>
            <w:pPr>
              <w:spacing w:after="40"/>
            </w:pPr>
            <w:r/>
            <w:r>
              <w:rPr>
                <w:sz w:val="17"/>
              </w:rPr>
              <w:t>none - required</w:t>
            </w:r>
          </w:p>
        </w:tc>
      </w:tr>
      <w:tr>
        <w:tc>
          <w:tcPr>
            <w:tcW w:type="dxa" w:w="2736"/>
          </w:tcPr>
          <w:p>
            <w:pPr>
              <w:spacing w:after="40"/>
            </w:pPr>
            <w:r/>
            <w:r>
              <w:rPr>
                <w:sz w:val="17"/>
              </w:rPr>
              <w:t>TREBOL_CORS_ALLOWED_ORIGINS</w:t>
            </w:r>
          </w:p>
        </w:tc>
        <w:tc>
          <w:tcPr>
            <w:tcW w:type="dxa" w:w="4032"/>
          </w:tcPr>
          <w:p>
            <w:pPr>
              <w:spacing w:after="40"/>
            </w:pPr>
            <w:r/>
            <w:r>
              <w:rPr>
                <w:sz w:val="17"/>
              </w:rPr>
              <w:t>trebol.cors.allowed-origins</w:t>
            </w:r>
          </w:p>
        </w:tc>
        <w:tc>
          <w:tcPr>
            <w:tcW w:type="dxa" w:w="2448"/>
          </w:tcPr>
          <w:p>
            <w:pPr>
              <w:spacing w:after="40"/>
            </w:pPr>
            <w:r/>
            <w:r>
              <w:rPr>
                <w:sz w:val="17"/>
              </w:rPr>
              <w:t>none - required</w:t>
            </w:r>
          </w:p>
        </w:tc>
      </w:tr>
      <w:tr>
        <w:tc>
          <w:tcPr>
            <w:tcW w:type="dxa" w:w="2736"/>
          </w:tcPr>
          <w:p>
            <w:pPr>
              <w:spacing w:after="40"/>
            </w:pPr>
            <w:r/>
            <w:r>
              <w:rPr>
                <w:sz w:val="17"/>
              </w:rPr>
              <w:t>TREBOL_ORDERS_DB_URL</w:t>
            </w:r>
          </w:p>
        </w:tc>
        <w:tc>
          <w:tcPr>
            <w:tcW w:type="dxa" w:w="4032"/>
          </w:tcPr>
          <w:p>
            <w:pPr>
              <w:spacing w:after="40"/>
            </w:pPr>
            <w:r/>
            <w:r>
              <w:rPr>
                <w:sz w:val="17"/>
              </w:rPr>
              <w:t>spring.datasource.url</w:t>
            </w:r>
          </w:p>
        </w:tc>
        <w:tc>
          <w:tcPr>
            <w:tcW w:type="dxa" w:w="2448"/>
          </w:tcPr>
          <w:p>
            <w:pPr>
              <w:spacing w:after="40"/>
            </w:pPr>
            <w:r/>
            <w:r>
              <w:rPr>
                <w:sz w:val="17"/>
              </w:rPr>
              <w:t>none - required</w:t>
            </w:r>
          </w:p>
        </w:tc>
      </w:tr>
      <w:tr>
        <w:tc>
          <w:tcPr>
            <w:tcW w:type="dxa" w:w="2736"/>
          </w:tcPr>
          <w:p>
            <w:pPr>
              <w:spacing w:after="40"/>
            </w:pPr>
            <w:r/>
            <w:r>
              <w:rPr>
                <w:sz w:val="17"/>
              </w:rPr>
              <w:t>TREBOL_ORDERS_DB_USER</w:t>
            </w:r>
          </w:p>
        </w:tc>
        <w:tc>
          <w:tcPr>
            <w:tcW w:type="dxa" w:w="4032"/>
          </w:tcPr>
          <w:p>
            <w:pPr>
              <w:spacing w:after="40"/>
            </w:pPr>
            <w:r/>
            <w:r>
              <w:rPr>
                <w:sz w:val="17"/>
              </w:rPr>
              <w:t>spring.datasource.username</w:t>
            </w:r>
          </w:p>
        </w:tc>
        <w:tc>
          <w:tcPr>
            <w:tcW w:type="dxa" w:w="2448"/>
          </w:tcPr>
          <w:p>
            <w:pPr>
              <w:spacing w:after="40"/>
            </w:pPr>
            <w:r/>
            <w:r>
              <w:rPr>
                <w:sz w:val="17"/>
              </w:rPr>
              <w:t>none - required</w:t>
            </w:r>
          </w:p>
        </w:tc>
      </w:tr>
      <w:tr>
        <w:tc>
          <w:tcPr>
            <w:tcW w:type="dxa" w:w="2736"/>
          </w:tcPr>
          <w:p>
            <w:pPr>
              <w:spacing w:after="40"/>
            </w:pPr>
            <w:r/>
            <w:r>
              <w:rPr>
                <w:sz w:val="17"/>
              </w:rPr>
              <w:t>TREBOL_ORDERS_DB_PASSWORD</w:t>
            </w:r>
          </w:p>
        </w:tc>
        <w:tc>
          <w:tcPr>
            <w:tcW w:type="dxa" w:w="4032"/>
          </w:tcPr>
          <w:p>
            <w:pPr>
              <w:spacing w:after="40"/>
            </w:pPr>
            <w:r/>
            <w:r>
              <w:rPr>
                <w:sz w:val="17"/>
              </w:rPr>
              <w:t>spring.datasource.password</w:t>
            </w:r>
          </w:p>
        </w:tc>
        <w:tc>
          <w:tcPr>
            <w:tcW w:type="dxa" w:w="2448"/>
          </w:tcPr>
          <w:p>
            <w:pPr>
              <w:spacing w:after="40"/>
            </w:pPr>
            <w:r/>
            <w:r>
              <w:rPr>
                <w:sz w:val="17"/>
              </w:rPr>
              <w:t>none - required</w:t>
            </w:r>
          </w:p>
        </w:tc>
      </w:tr>
      <w:tr>
        <w:tc>
          <w:tcPr>
            <w:tcW w:type="dxa" w:w="2736"/>
          </w:tcPr>
          <w:p>
            <w:pPr>
              <w:spacing w:after="40"/>
            </w:pPr>
            <w:r/>
            <w:r>
              <w:rPr>
                <w:sz w:val="17"/>
              </w:rPr>
              <w:t>TREBOL_CATALOGUE_URL</w:t>
            </w:r>
          </w:p>
        </w:tc>
        <w:tc>
          <w:tcPr>
            <w:tcW w:type="dxa" w:w="4032"/>
          </w:tcPr>
          <w:p>
            <w:pPr>
              <w:spacing w:after="40"/>
            </w:pPr>
            <w:r/>
            <w:r>
              <w:rPr>
                <w:sz w:val="17"/>
              </w:rPr>
              <w:t>trebol.services.catalogue-base-url</w:t>
            </w:r>
          </w:p>
        </w:tc>
        <w:tc>
          <w:tcPr>
            <w:tcW w:type="dxa" w:w="2448"/>
          </w:tcPr>
          <w:p>
            <w:pPr>
              <w:spacing w:after="40"/>
            </w:pPr>
            <w:r/>
            <w:r>
              <w:rPr>
                <w:sz w:val="17"/>
              </w:rPr>
              <w:t>http://localhost:8081</w:t>
            </w:r>
          </w:p>
        </w:tc>
      </w:tr>
      <w:tr>
        <w:tc>
          <w:tcPr>
            <w:tcW w:type="dxa" w:w="2736"/>
          </w:tcPr>
          <w:p>
            <w:pPr>
              <w:spacing w:after="40"/>
            </w:pPr>
            <w:r/>
            <w:r>
              <w:rPr>
                <w:sz w:val="17"/>
              </w:rPr>
              <w:t>TREBOL_IDENTITY_URL</w:t>
            </w:r>
          </w:p>
        </w:tc>
        <w:tc>
          <w:tcPr>
            <w:tcW w:type="dxa" w:w="4032"/>
          </w:tcPr>
          <w:p>
            <w:pPr>
              <w:spacing w:after="40"/>
            </w:pPr>
            <w:r/>
            <w:r>
              <w:rPr>
                <w:sz w:val="17"/>
              </w:rPr>
              <w:t>trebol.services.identity-base-url</w:t>
            </w:r>
          </w:p>
        </w:tc>
        <w:tc>
          <w:tcPr>
            <w:tcW w:type="dxa" w:w="2448"/>
          </w:tcPr>
          <w:p>
            <w:pPr>
              <w:spacing w:after="40"/>
            </w:pPr>
            <w:r/>
            <w:r>
              <w:rPr>
                <w:sz w:val="17"/>
              </w:rPr>
              <w:t>http://localhost:8082</w:t>
            </w:r>
          </w:p>
        </w:tc>
      </w:tr>
      <w:tr>
        <w:tc>
          <w:tcPr>
            <w:tcW w:type="dxa" w:w="2736"/>
          </w:tcPr>
          <w:p>
            <w:pPr>
              <w:spacing w:after="40"/>
            </w:pPr>
            <w:r/>
            <w:r>
              <w:rPr>
                <w:sz w:val="17"/>
              </w:rPr>
              <w:t>WEBPAY_COMMERCE_CODE</w:t>
            </w:r>
          </w:p>
        </w:tc>
        <w:tc>
          <w:tcPr>
            <w:tcW w:type="dxa" w:w="4032"/>
          </w:tcPr>
          <w:p>
            <w:pPr>
              <w:spacing w:after="40"/>
            </w:pPr>
            <w:r/>
            <w:r>
              <w:rPr>
                <w:sz w:val="17"/>
              </w:rPr>
              <w:t>trebol.payment.webpayplus.commerce-code</w:t>
            </w:r>
          </w:p>
        </w:tc>
        <w:tc>
          <w:tcPr>
            <w:tcW w:type="dxa" w:w="2448"/>
          </w:tcPr>
          <w:p>
            <w:pPr>
              <w:spacing w:after="40"/>
            </w:pPr>
            <w:r/>
            <w:r>
              <w:rPr>
                <w:sz w:val="17"/>
              </w:rPr>
              <w:t>597055555532</w:t>
            </w:r>
          </w:p>
        </w:tc>
      </w:tr>
      <w:tr>
        <w:tc>
          <w:tcPr>
            <w:tcW w:type="dxa" w:w="2736"/>
          </w:tcPr>
          <w:p>
            <w:pPr>
              <w:spacing w:after="40"/>
            </w:pPr>
            <w:r/>
            <w:r>
              <w:rPr>
                <w:sz w:val="17"/>
              </w:rPr>
              <w:t>WEBPAY_API_KEY</w:t>
            </w:r>
          </w:p>
        </w:tc>
        <w:tc>
          <w:tcPr>
            <w:tcW w:type="dxa" w:w="4032"/>
          </w:tcPr>
          <w:p>
            <w:pPr>
              <w:spacing w:after="40"/>
            </w:pPr>
            <w:r/>
            <w:r>
              <w:rPr>
                <w:sz w:val="17"/>
              </w:rPr>
              <w:t>trebol.payment.webpayplus.api-key</w:t>
            </w:r>
          </w:p>
        </w:tc>
        <w:tc>
          <w:tcPr>
            <w:tcW w:type="dxa" w:w="2448"/>
          </w:tcPr>
          <w:p>
            <w:pPr>
              <w:spacing w:after="40"/>
            </w:pPr>
            <w:r/>
            <w:r>
              <w:rPr>
                <w:sz w:val="17"/>
              </w:rPr>
              <w:t>empty</w:t>
            </w:r>
          </w:p>
        </w:tc>
      </w:tr>
      <w:tr>
        <w:tc>
          <w:tcPr>
            <w:tcW w:type="dxa" w:w="2736"/>
          </w:tcPr>
          <w:p>
            <w:pPr>
              <w:spacing w:after="40"/>
            </w:pPr>
            <w:r/>
            <w:r>
              <w:rPr>
                <w:sz w:val="17"/>
              </w:rPr>
              <w:t>WEBPAY_PRODUCTION</w:t>
            </w:r>
          </w:p>
        </w:tc>
        <w:tc>
          <w:tcPr>
            <w:tcW w:type="dxa" w:w="4032"/>
          </w:tcPr>
          <w:p>
            <w:pPr>
              <w:spacing w:after="40"/>
            </w:pPr>
            <w:r/>
            <w:r>
              <w:rPr>
                <w:sz w:val="17"/>
              </w:rPr>
              <w:t>trebol.payment.webpayplus.production</w:t>
            </w:r>
          </w:p>
        </w:tc>
        <w:tc>
          <w:tcPr>
            <w:tcW w:type="dxa" w:w="2448"/>
          </w:tcPr>
          <w:p>
            <w:pPr>
              <w:spacing w:after="40"/>
            </w:pPr>
            <w:r/>
            <w:r>
              <w:rPr>
                <w:sz w:val="17"/>
              </w:rPr>
              <w:t>false</w:t>
            </w:r>
          </w:p>
        </w:tc>
      </w:tr>
      <w:tr>
        <w:tc>
          <w:tcPr>
            <w:tcW w:type="dxa" w:w="2736"/>
          </w:tcPr>
          <w:p>
            <w:pPr>
              <w:spacing w:after="40"/>
            </w:pPr>
            <w:r/>
            <w:r>
              <w:rPr>
                <w:sz w:val="17"/>
              </w:rPr>
              <w:t>WEBPAY_CALLBACK_URL</w:t>
            </w:r>
          </w:p>
        </w:tc>
        <w:tc>
          <w:tcPr>
            <w:tcW w:type="dxa" w:w="4032"/>
          </w:tcPr>
          <w:p>
            <w:pPr>
              <w:spacing w:after="40"/>
            </w:pPr>
            <w:r/>
            <w:r>
              <w:rPr>
                <w:sz w:val="17"/>
              </w:rPr>
              <w:t>trebol.payment.webpayplus.callback-url</w:t>
            </w:r>
          </w:p>
        </w:tc>
        <w:tc>
          <w:tcPr>
            <w:tcW w:type="dxa" w:w="2448"/>
          </w:tcPr>
          <w:p>
            <w:pPr>
              <w:spacing w:after="40"/>
            </w:pPr>
            <w:r/>
            <w:r>
              <w:rPr>
                <w:sz w:val="17"/>
              </w:rPr>
              <w:t>http://localhost:8083/public/checkout/validate</w:t>
            </w:r>
          </w:p>
        </w:tc>
      </w:tr>
      <w:tr>
        <w:tc>
          <w:tcPr>
            <w:tcW w:type="dxa" w:w="2736"/>
          </w:tcPr>
          <w:p>
            <w:pPr>
              <w:spacing w:after="40"/>
            </w:pPr>
            <w:r/>
            <w:r>
              <w:rPr>
                <w:sz w:val="17"/>
              </w:rPr>
              <w:t>WEBPAY_RESULT_URL</w:t>
            </w:r>
          </w:p>
        </w:tc>
        <w:tc>
          <w:tcPr>
            <w:tcW w:type="dxa" w:w="4032"/>
          </w:tcPr>
          <w:p>
            <w:pPr>
              <w:spacing w:after="40"/>
            </w:pPr>
            <w:r/>
            <w:r>
              <w:rPr>
                <w:sz w:val="17"/>
              </w:rPr>
              <w:t>trebol.payment.webpayplus.browser-redirection-url</w:t>
            </w:r>
          </w:p>
        </w:tc>
        <w:tc>
          <w:tcPr>
            <w:tcW w:type="dxa" w:w="2448"/>
          </w:tcPr>
          <w:p>
            <w:pPr>
              <w:spacing w:after="40"/>
            </w:pPr>
            <w:r/>
            <w:r>
              <w:rPr>
                <w:sz w:val="17"/>
              </w:rPr>
              <w:t>http://localhost:4200/receipt</w:t>
            </w:r>
          </w:p>
        </w:tc>
      </w:tr>
    </w:tbl>
    <w:p>
      <w:pPr>
        <w:spacing w:after="80"/>
      </w:pPr>
    </w:p>
    <w:p>
      <w:pPr>
        <w:spacing w:after="120"/>
      </w:pPr>
      <w:r>
        <w:rPr>
          <w:b w:val="0"/>
          <w:i w:val="0"/>
          <w:sz w:val="19"/>
        </w:rPr>
        <w:t>Orders additionally requires the Catalogue and Identity base URLs. These are plain properties with code defaults pointing at localhost and must be set for any non-local deployment: trebol.services.catalogue-base-url, trebol.services.identity-base-url and trebol.services.request-timeout-ms.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