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b/>
          <w:i w:val="0"/>
          <w:color w:val="1F3864"/>
          <w:sz w:val="56"/>
        </w:rPr>
        <w:t>Trébol eCommerce Platform</w:t>
      </w:r>
    </w:p>
    <w:p>
      <w:pPr>
        <w:spacing w:after="360"/>
        <w:jc w:val="center"/>
      </w:pPr>
      <w:r>
        <w:rPr>
          <w:b w:val="0"/>
          <w:i w:val="0"/>
          <w:color w:val="595959"/>
          <w:sz w:val="32"/>
        </w:rPr>
        <w:t>Source and Target Comparison</w:t>
      </w:r>
    </w:p>
    <w:p>
      <w:pPr>
        <w:spacing w:after="560"/>
        <w:jc w:val="center"/>
      </w:pPr>
      <w:r>
        <w:rPr>
          <w:b w:val="0"/>
          <w:i/>
          <w:color w:val="595959"/>
          <w:sz w:val="23"/>
        </w:rPr>
        <w:t>Architecture and File Structure: Monolith versus Microservices</w:t>
      </w:r>
    </w:p>
    <w:tbl>
      <w:tblPr>
        <w:tblStyle w:val="LightGrid-Accent1"/>
        <w:tblW w:type="auto" w:w="0"/>
        <w:jc w:val="center"/>
        <w:tblLook w:firstColumn="1" w:firstRow="1" w:lastColumn="0" w:lastRow="0" w:noHBand="0" w:noVBand="1" w:val="04A0"/>
      </w:tblPr>
      <w:tblGrid>
        <w:gridCol w:w="4968"/>
        <w:gridCol w:w="4968"/>
      </w:tblGrid>
      <w:tr>
        <w:tc>
          <w:tcPr>
            <w:tcW w:type="dxa" w:w="2160"/>
          </w:tcPr>
          <w:p>
            <w:r/>
            <w:r>
              <w:rPr>
                <w:b/>
                <w:sz w:val="19"/>
              </w:rPr>
              <w:t>Field</w:t>
            </w:r>
          </w:p>
        </w:tc>
        <w:tc>
          <w:tcPr>
            <w:tcW w:type="dxa" w:w="7200"/>
          </w:tcPr>
          <w:p>
            <w:r/>
            <w:r>
              <w:rPr>
                <w:b/>
                <w:sz w:val="19"/>
              </w:rPr>
              <w:t>Value</w:t>
            </w:r>
          </w:p>
        </w:tc>
      </w:tr>
      <w:tr>
        <w:tc>
          <w:tcPr>
            <w:tcW w:type="dxa" w:w="2160"/>
          </w:tcPr>
          <w:p>
            <w:pPr>
              <w:spacing w:after="20"/>
            </w:pPr>
            <w:r/>
            <w:r>
              <w:rPr>
                <w:sz w:val="19"/>
              </w:rPr>
              <w:t>Purpose</w:t>
            </w:r>
          </w:p>
        </w:tc>
        <w:tc>
          <w:tcPr>
            <w:tcW w:type="dxa" w:w="7200"/>
          </w:tcPr>
          <w:p>
            <w:pPr>
              <w:spacing w:after="20"/>
            </w:pPr>
            <w:r/>
            <w:r>
              <w:rPr>
                <w:sz w:val="19"/>
              </w:rPr>
              <w:t>Side-by-side comparison of the source and target systems</w:t>
            </w:r>
          </w:p>
        </w:tc>
      </w:tr>
      <w:tr>
        <w:tc>
          <w:tcPr>
            <w:tcW w:type="dxa" w:w="2160"/>
          </w:tcPr>
          <w:p>
            <w:pPr>
              <w:spacing w:after="20"/>
            </w:pPr>
            <w:r/>
            <w:r>
              <w:rPr>
                <w:sz w:val="19"/>
              </w:rPr>
              <w:t>Part 1</w:t>
            </w:r>
          </w:p>
        </w:tc>
        <w:tc>
          <w:tcPr>
            <w:tcW w:type="dxa" w:w="7200"/>
          </w:tcPr>
          <w:p>
            <w:pPr>
              <w:spacing w:after="20"/>
            </w:pPr>
            <w:r/>
            <w:r>
              <w:rPr>
                <w:sz w:val="19"/>
              </w:rPr>
              <w:t>Architecture difference, with diagrams</w:t>
            </w:r>
          </w:p>
        </w:tc>
      </w:tr>
      <w:tr>
        <w:tc>
          <w:tcPr>
            <w:tcW w:type="dxa" w:w="2160"/>
          </w:tcPr>
          <w:p>
            <w:pPr>
              <w:spacing w:after="20"/>
            </w:pPr>
            <w:r/>
            <w:r>
              <w:rPr>
                <w:sz w:val="19"/>
              </w:rPr>
              <w:t>Part 2</w:t>
            </w:r>
          </w:p>
        </w:tc>
        <w:tc>
          <w:tcPr>
            <w:tcW w:type="dxa" w:w="7200"/>
          </w:tcPr>
          <w:p>
            <w:pPr>
              <w:spacing w:after="20"/>
            </w:pPr>
            <w:r/>
            <w:r>
              <w:rPr>
                <w:sz w:val="19"/>
              </w:rPr>
              <w:t>File and package structure difference</w:t>
            </w:r>
          </w:p>
        </w:tc>
      </w:tr>
      <w:tr>
        <w:tc>
          <w:tcPr>
            <w:tcW w:type="dxa" w:w="2160"/>
          </w:tcPr>
          <w:p>
            <w:pPr>
              <w:spacing w:after="20"/>
            </w:pPr>
            <w:r/>
            <w:r>
              <w:rPr>
                <w:sz w:val="19"/>
              </w:rPr>
              <w:t>Source baseline</w:t>
            </w:r>
          </w:p>
        </w:tc>
        <w:tc>
          <w:tcPr>
            <w:tcW w:type="dxa" w:w="7200"/>
          </w:tcPr>
          <w:p>
            <w:pPr>
              <w:spacing w:after="20"/>
            </w:pPr>
            <w:r/>
            <w:r>
              <w:rPr>
                <w:sz w:val="19"/>
              </w:rPr>
              <w:t>trebol-backend-monolith at commit 8f4e22b (recovered from version control)</w:t>
            </w:r>
          </w:p>
        </w:tc>
      </w:tr>
      <w:tr>
        <w:tc>
          <w:tcPr>
            <w:tcW w:type="dxa" w:w="2160"/>
          </w:tcPr>
          <w:p>
            <w:pPr>
              <w:spacing w:after="20"/>
            </w:pPr>
            <w:r/>
            <w:r>
              <w:rPr>
                <w:sz w:val="19"/>
              </w:rPr>
              <w:t>Target</w:t>
            </w:r>
          </w:p>
        </w:tc>
        <w:tc>
          <w:tcPr>
            <w:tcW w:type="dxa" w:w="7200"/>
          </w:tcPr>
          <w:p>
            <w:pPr>
              <w:spacing w:after="20"/>
            </w:pPr>
            <w:r/>
            <w:r>
              <w:rPr>
                <w:sz w:val="19"/>
              </w:rPr>
              <w:t>Four-module Maven reactor, current working tree</w:t>
            </w:r>
          </w:p>
        </w:tc>
      </w:tr>
      <w:tr>
        <w:tc>
          <w:tcPr>
            <w:tcW w:type="dxa" w:w="2160"/>
          </w:tcPr>
          <w:p>
            <w:pPr>
              <w:spacing w:after="20"/>
            </w:pPr>
            <w:r/>
            <w:r>
              <w:rPr>
                <w:sz w:val="19"/>
              </w:rPr>
              <w:t>Source size</w:t>
            </w:r>
          </w:p>
        </w:tc>
        <w:tc>
          <w:tcPr>
            <w:tcW w:type="dxa" w:w="7200"/>
          </w:tcPr>
          <w:p>
            <w:pPr>
              <w:spacing w:after="20"/>
            </w:pPr>
            <w:r/>
            <w:r>
              <w:rPr>
                <w:sz w:val="19"/>
              </w:rPr>
              <w:t>723 tracked files - 316 main and 132 test Java sources</w:t>
            </w:r>
          </w:p>
        </w:tc>
      </w:tr>
      <w:tr>
        <w:tc>
          <w:tcPr>
            <w:tcW w:type="dxa" w:w="2160"/>
          </w:tcPr>
          <w:p>
            <w:pPr>
              <w:spacing w:after="20"/>
            </w:pPr>
            <w:r/>
            <w:r>
              <w:rPr>
                <w:sz w:val="19"/>
              </w:rPr>
              <w:t>Target size</w:t>
            </w:r>
          </w:p>
        </w:tc>
        <w:tc>
          <w:tcPr>
            <w:tcW w:type="dxa" w:w="7200"/>
          </w:tcPr>
          <w:p>
            <w:pPr>
              <w:spacing w:after="20"/>
            </w:pPr>
            <w:r/>
            <w:r>
              <w:rPr>
                <w:sz w:val="19"/>
              </w:rPr>
              <w:t>397 main and 149 test Java sources across four modules</w:t>
            </w:r>
          </w:p>
        </w:tc>
      </w:tr>
      <w:tr>
        <w:tc>
          <w:tcPr>
            <w:tcW w:type="dxa" w:w="2160"/>
          </w:tcPr>
          <w:p>
            <w:pPr>
              <w:spacing w:after="20"/>
            </w:pPr>
            <w:r/>
            <w:r>
              <w:rPr>
                <w:sz w:val="19"/>
              </w:rPr>
              <w:t>Date</w:t>
            </w:r>
          </w:p>
        </w:tc>
        <w:tc>
          <w:tcPr>
            <w:tcW w:type="dxa" w:w="7200"/>
          </w:tcPr>
          <w:p>
            <w:pPr>
              <w:spacing w:after="20"/>
            </w:pPr>
            <w:r/>
            <w:r>
              <w:rPr>
                <w:sz w:val="19"/>
              </w:rPr>
              <w:t>16 October 2026</w:t>
            </w:r>
          </w:p>
        </w:tc>
      </w:tr>
    </w:tbl>
    <w:p>
      <w:pPr>
        <w:spacing w:after="80"/>
      </w:pPr>
    </w:p>
    <w:p>
      <w:pPr>
        <w:spacing w:after="120"/>
        <w:jc w:val="center"/>
      </w:pPr>
      <w:r>
        <w:rPr>
          <w:b w:val="0"/>
          <w:i/>
          <w:color w:val="595959"/>
          <w:sz w:val="18"/>
        </w:rPr>
        <w:t>All counts in this document were extracted programmatically - the source figures from the monolith as it existed in version control, the target figures from the working tree. Nothing is estimated.</w:t>
      </w:r>
    </w:p>
    <w:p>
      <w:r>
        <w:br w:type="page"/>
      </w:r>
    </w:p>
    <w:p>
      <w:pPr>
        <w:pStyle w:val="Heading1"/>
      </w:pPr>
      <w:r>
        <w:t>Part 1   Architecture difference</w:t>
      </w:r>
    </w:p>
    <w:p>
      <w:pPr>
        <w:pStyle w:val="Heading2"/>
      </w:pPr>
      <w:r>
        <w:t>1.1  Source: the monolith</w:t>
      </w:r>
    </w:p>
    <w:p>
      <w:pPr>
        <w:spacing w:after="120"/>
      </w:pPr>
      <w:r>
        <w:rPr>
          <w:b w:val="0"/>
          <w:i w:val="0"/>
          <w:sz w:val="21"/>
        </w:rPr>
        <w:t>One Maven module producing one deployable WAR. All twelve business domains were compiled, tested and deployed together, in a conventional layered structure, over a single shared database.</w:t>
      </w:r>
    </w:p>
    <w:p>
      <w:pPr>
        <w:jc w:val="center"/>
      </w:pPr>
      <w:r>
        <w:drawing>
          <wp:inline xmlns:a="http://schemas.openxmlformats.org/drawingml/2006/main" xmlns:pic="http://schemas.openxmlformats.org/drawingml/2006/picture">
            <wp:extent cx="6309360" cy="3951652"/>
            <wp:docPr id="1" name="Picture 1"/>
            <wp:cNvGraphicFramePr>
              <a:graphicFrameLocks noChangeAspect="1"/>
            </wp:cNvGraphicFramePr>
            <a:graphic>
              <a:graphicData uri="http://schemas.openxmlformats.org/drawingml/2006/picture">
                <pic:pic>
                  <pic:nvPicPr>
                    <pic:cNvPr id="0" name="cmp1_monolith.png"/>
                    <pic:cNvPicPr/>
                  </pic:nvPicPr>
                  <pic:blipFill>
                    <a:blip r:embed="rId9"/>
                    <a:stretch>
                      <a:fillRect/>
                    </a:stretch>
                  </pic:blipFill>
                  <pic:spPr>
                    <a:xfrm>
                      <a:off x="0" y="0"/>
                      <a:ext cx="6309360" cy="3951652"/>
                    </a:xfrm>
                    <a:prstGeom prst="rect"/>
                  </pic:spPr>
                </pic:pic>
              </a:graphicData>
            </a:graphic>
          </wp:inline>
        </w:drawing>
      </w:r>
    </w:p>
    <w:p>
      <w:pPr>
        <w:spacing w:after="240"/>
        <w:jc w:val="center"/>
      </w:pPr>
      <w:r>
        <w:rPr>
          <w:b w:val="0"/>
          <w:i/>
          <w:color w:val="595959"/>
          <w:sz w:val="18"/>
        </w:rPr>
        <w:t>Figure 1 - Source architecture. The layering was clean; the problem was underneath it.</w:t>
      </w:r>
    </w:p>
    <w:p>
      <w:pPr>
        <w:spacing w:after="120"/>
      </w:pPr>
      <w:r>
        <w:rPr>
          <w:b w:val="0"/>
          <w:i w:val="0"/>
          <w:sz w:val="21"/>
        </w:rPr>
        <w:t>The layering itself was not the problem, and it is worth being precise about what was:</w:t>
      </w:r>
    </w:p>
    <w:p>
      <w:pPr>
        <w:pStyle w:val="ListBullet"/>
        <w:spacing w:after="60"/>
        <w:ind w:left="360"/>
      </w:pPr>
      <w:r>
        <w:rPr>
          <w:sz w:val="21"/>
        </w:rPr>
        <w:t>All 23 repositories lived in one flat package, so there was no package boundary to lean on. Any service could reach any table.</w:t>
      </w:r>
    </w:p>
    <w:p>
      <w:pPr>
        <w:pStyle w:val="ListBullet"/>
        <w:spacing w:after="60"/>
        <w:ind w:left="360"/>
      </w:pPr>
      <w:r>
        <w:rPr>
          <w:sz w:val="21"/>
        </w:rPr>
        <w:t>Entities carried cross-domain associations - an order referenced a customer, a salesperson and, per line, a product - so a single object graph spanned what would become three services.</w:t>
      </w:r>
    </w:p>
    <w:p>
      <w:pPr>
        <w:pStyle w:val="ListBullet"/>
        <w:spacing w:after="60"/>
        <w:ind w:left="360"/>
      </w:pPr>
      <w:r>
        <w:rPr>
          <w:sz w:val="21"/>
        </w:rPr>
        <w:t>One schema with cross-domain foreign keys meant the database itself enforced the coupling.</w:t>
      </w:r>
    </w:p>
    <w:p>
      <w:pPr>
        <w:pStyle w:val="ListBullet"/>
        <w:spacing w:after="60"/>
        <w:ind w:left="360"/>
      </w:pPr>
      <w:r>
        <w:rPr>
          <w:sz w:val="21"/>
        </w:rPr>
        <w:t>Nothing prevented new coupling from being added. The constraint was convention, not structure.</w:t>
      </w:r>
    </w:p>
    <w:p>
      <w:pPr>
        <w:pStyle w:val="Heading2"/>
      </w:pPr>
      <w:r>
        <w:t>1.2  Target: three services</w:t>
      </w:r>
    </w:p>
    <w:p>
      <w:pPr>
        <w:spacing w:after="120"/>
      </w:pPr>
      <w:r>
        <w:rPr>
          <w:b w:val="0"/>
          <w:i w:val="0"/>
          <w:sz w:val="21"/>
        </w:rPr>
        <w:t>Three Maven modules, each producing a Spring Boot executable jar with its own schema, plus a dependency-free library jar for the one artefact they genuinely share.</w:t>
      </w:r>
    </w:p>
    <w:p>
      <w:pPr>
        <w:jc w:val="center"/>
      </w:pPr>
      <w:r>
        <w:drawing>
          <wp:inline xmlns:a="http://schemas.openxmlformats.org/drawingml/2006/main" xmlns:pic="http://schemas.openxmlformats.org/drawingml/2006/picture">
            <wp:extent cx="6309360" cy="3938369"/>
            <wp:docPr id="2" name="Picture 2"/>
            <wp:cNvGraphicFramePr>
              <a:graphicFrameLocks noChangeAspect="1"/>
            </wp:cNvGraphicFramePr>
            <a:graphic>
              <a:graphicData uri="http://schemas.openxmlformats.org/drawingml/2006/picture">
                <pic:pic>
                  <pic:nvPicPr>
                    <pic:cNvPr id="0" name="cmp2_target.png"/>
                    <pic:cNvPicPr/>
                  </pic:nvPicPr>
                  <pic:blipFill>
                    <a:blip r:embed="rId10"/>
                    <a:stretch>
                      <a:fillRect/>
                    </a:stretch>
                  </pic:blipFill>
                  <pic:spPr>
                    <a:xfrm>
                      <a:off x="0" y="0"/>
                      <a:ext cx="6309360" cy="3938369"/>
                    </a:xfrm>
                    <a:prstGeom prst="rect"/>
                  </pic:spPr>
                </pic:pic>
              </a:graphicData>
            </a:graphic>
          </wp:inline>
        </w:drawing>
      </w:r>
    </w:p>
    <w:p>
      <w:pPr>
        <w:spacing w:after="240"/>
        <w:jc w:val="center"/>
      </w:pPr>
      <w:r>
        <w:rPr>
          <w:b w:val="0"/>
          <w:i/>
          <w:color w:val="595959"/>
          <w:sz w:val="18"/>
        </w:rPr>
        <w:t>Figure 2 - Target architecture. The internal layering is deliberately unchanged.</w:t>
      </w:r>
    </w:p>
    <w:p>
      <w:pPr>
        <w:spacing w:after="120"/>
      </w:pPr>
      <w:r>
        <w:rPr>
          <w:b w:val="0"/>
          <w:i w:val="0"/>
          <w:sz w:val="21"/>
        </w:rPr>
        <w:t>The internal layering was kept identical on purpose. A port that also restructures the layers cannot be verified against the original, because every difference becomes a candidate explanation when a test fails. Keeping the layers fixed meant the only variable was the boundary.</w:t>
      </w:r>
    </w:p>
    <w:p>
      <w:pPr>
        <w:pStyle w:val="Heading2"/>
      </w:pPr>
      <w:r>
        <w:t>1.3  Side by side</w:t>
      </w:r>
    </w:p>
    <w:tbl>
      <w:tblPr>
        <w:tblStyle w:val="LightGrid-Accent1"/>
        <w:tblW w:type="auto" w:w="0"/>
        <w:jc w:val="center"/>
        <w:tblLook w:firstColumn="1" w:firstRow="1" w:lastColumn="0" w:lastRow="0" w:noHBand="0" w:noVBand="1" w:val="04A0"/>
      </w:tblPr>
      <w:tblGrid>
        <w:gridCol w:w="3312"/>
        <w:gridCol w:w="3312"/>
        <w:gridCol w:w="3312"/>
      </w:tblGrid>
      <w:tr>
        <w:tc>
          <w:tcPr>
            <w:tcW w:type="dxa" w:w="2088"/>
          </w:tcPr>
          <w:p>
            <w:r/>
            <w:r>
              <w:rPr>
                <w:b/>
                <w:sz w:val="18"/>
              </w:rPr>
              <w:t>Aspect</w:t>
            </w:r>
          </w:p>
        </w:tc>
        <w:tc>
          <w:tcPr>
            <w:tcW w:type="dxa" w:w="3744"/>
          </w:tcPr>
          <w:p>
            <w:r/>
            <w:r>
              <w:rPr>
                <w:b/>
                <w:sz w:val="18"/>
              </w:rPr>
              <w:t>Source - monolith</w:t>
            </w:r>
          </w:p>
        </w:tc>
        <w:tc>
          <w:tcPr>
            <w:tcW w:type="dxa" w:w="4104"/>
          </w:tcPr>
          <w:p>
            <w:r/>
            <w:r>
              <w:rPr>
                <w:b/>
                <w:sz w:val="18"/>
              </w:rPr>
              <w:t>Target - three services</w:t>
            </w:r>
          </w:p>
        </w:tc>
      </w:tr>
      <w:tr>
        <w:tc>
          <w:tcPr>
            <w:tcW w:type="dxa" w:w="2088"/>
          </w:tcPr>
          <w:p>
            <w:pPr>
              <w:spacing w:after="20"/>
            </w:pPr>
            <w:r/>
            <w:r>
              <w:rPr>
                <w:sz w:val="18"/>
              </w:rPr>
              <w:t>Deployable units</w:t>
            </w:r>
          </w:p>
        </w:tc>
        <w:tc>
          <w:tcPr>
            <w:tcW w:type="dxa" w:w="3744"/>
          </w:tcPr>
          <w:p>
            <w:pPr>
              <w:spacing w:after="20"/>
            </w:pPr>
            <w:r/>
            <w:r>
              <w:rPr>
                <w:sz w:val="18"/>
              </w:rPr>
              <w:t>1 WAR</w:t>
            </w:r>
          </w:p>
        </w:tc>
        <w:tc>
          <w:tcPr>
            <w:tcW w:type="dxa" w:w="4104"/>
          </w:tcPr>
          <w:p>
            <w:pPr>
              <w:spacing w:after="20"/>
            </w:pPr>
            <w:r/>
            <w:r>
              <w:rPr>
                <w:sz w:val="18"/>
              </w:rPr>
              <w:t>3 executable jars + 1 library jar</w:t>
            </w:r>
          </w:p>
        </w:tc>
      </w:tr>
      <w:tr>
        <w:tc>
          <w:tcPr>
            <w:tcW w:type="dxa" w:w="2088"/>
          </w:tcPr>
          <w:p>
            <w:pPr>
              <w:spacing w:after="20"/>
            </w:pPr>
            <w:r/>
            <w:r>
              <w:rPr>
                <w:sz w:val="18"/>
              </w:rPr>
              <w:t>Maven modules</w:t>
            </w:r>
          </w:p>
        </w:tc>
        <w:tc>
          <w:tcPr>
            <w:tcW w:type="dxa" w:w="3744"/>
          </w:tcPr>
          <w:p>
            <w:pPr>
              <w:spacing w:after="20"/>
            </w:pPr>
            <w:r/>
            <w:r>
              <w:rPr>
                <w:sz w:val="18"/>
              </w:rPr>
              <w:t>1</w:t>
            </w:r>
          </w:p>
        </w:tc>
        <w:tc>
          <w:tcPr>
            <w:tcW w:type="dxa" w:w="4104"/>
          </w:tcPr>
          <w:p>
            <w:pPr>
              <w:spacing w:after="20"/>
            </w:pPr>
            <w:r/>
            <w:r>
              <w:rPr>
                <w:sz w:val="18"/>
              </w:rPr>
              <w:t>4, under one aggregator</w:t>
            </w:r>
          </w:p>
        </w:tc>
      </w:tr>
      <w:tr>
        <w:tc>
          <w:tcPr>
            <w:tcW w:type="dxa" w:w="2088"/>
          </w:tcPr>
          <w:p>
            <w:pPr>
              <w:spacing w:after="20"/>
            </w:pPr>
            <w:r/>
            <w:r>
              <w:rPr>
                <w:sz w:val="18"/>
              </w:rPr>
              <w:t>HTTP routes</w:t>
            </w:r>
          </w:p>
        </w:tc>
        <w:tc>
          <w:tcPr>
            <w:tcW w:type="dxa" w:w="3744"/>
          </w:tcPr>
          <w:p>
            <w:pPr>
              <w:spacing w:after="20"/>
            </w:pPr>
            <w:r/>
            <w:r>
              <w:rPr>
                <w:sz w:val="18"/>
              </w:rPr>
              <w:t>67, all in one application</w:t>
            </w:r>
          </w:p>
        </w:tc>
        <w:tc>
          <w:tcPr>
            <w:tcW w:type="dxa" w:w="4104"/>
          </w:tcPr>
          <w:p>
            <w:pPr>
              <w:spacing w:after="20"/>
            </w:pPr>
            <w:r/>
            <w:r>
              <w:rPr>
                <w:sz w:val="18"/>
              </w:rPr>
              <w:t>67, each served by exactly one service</w:t>
            </w:r>
          </w:p>
        </w:tc>
      </w:tr>
      <w:tr>
        <w:tc>
          <w:tcPr>
            <w:tcW w:type="dxa" w:w="2088"/>
          </w:tcPr>
          <w:p>
            <w:pPr>
              <w:spacing w:after="20"/>
            </w:pPr>
            <w:r/>
            <w:r>
              <w:rPr>
                <w:sz w:val="18"/>
              </w:rPr>
              <w:t>Controllers</w:t>
            </w:r>
          </w:p>
        </w:tc>
        <w:tc>
          <w:tcPr>
            <w:tcW w:type="dxa" w:w="3744"/>
          </w:tcPr>
          <w:p>
            <w:pPr>
              <w:spacing w:after="20"/>
            </w:pPr>
            <w:r/>
            <w:r>
              <w:rPr>
                <w:sz w:val="18"/>
              </w:rPr>
              <w:t>21 in one package</w:t>
            </w:r>
          </w:p>
        </w:tc>
        <w:tc>
          <w:tcPr>
            <w:tcW w:type="dxa" w:w="4104"/>
          </w:tcPr>
          <w:p>
            <w:pPr>
              <w:spacing w:after="20"/>
            </w:pPr>
            <w:r/>
            <w:r>
              <w:rPr>
                <w:sz w:val="18"/>
              </w:rPr>
              <w:t>7 + 9 + 7, plus a health check in each</w:t>
            </w:r>
          </w:p>
        </w:tc>
      </w:tr>
      <w:tr>
        <w:tc>
          <w:tcPr>
            <w:tcW w:type="dxa" w:w="2088"/>
          </w:tcPr>
          <w:p>
            <w:pPr>
              <w:spacing w:after="20"/>
            </w:pPr>
            <w:r/>
            <w:r>
              <w:rPr>
                <w:sz w:val="18"/>
              </w:rPr>
              <w:t>Database</w:t>
            </w:r>
          </w:p>
        </w:tc>
        <w:tc>
          <w:tcPr>
            <w:tcW w:type="dxa" w:w="3744"/>
          </w:tcPr>
          <w:p>
            <w:pPr>
              <w:spacing w:after="20"/>
            </w:pPr>
            <w:r/>
            <w:r>
              <w:rPr>
                <w:sz w:val="18"/>
              </w:rPr>
              <w:t>1 schema, 22 tables</w:t>
            </w:r>
          </w:p>
        </w:tc>
        <w:tc>
          <w:tcPr>
            <w:tcW w:type="dxa" w:w="4104"/>
          </w:tcPr>
          <w:p>
            <w:pPr>
              <w:spacing w:after="20"/>
            </w:pPr>
            <w:r/>
            <w:r>
              <w:rPr>
                <w:sz w:val="18"/>
              </w:rPr>
              <w:t>3 schemas, 23 tables, no shared database</w:t>
            </w:r>
          </w:p>
        </w:tc>
      </w:tr>
      <w:tr>
        <w:tc>
          <w:tcPr>
            <w:tcW w:type="dxa" w:w="2088"/>
          </w:tcPr>
          <w:p>
            <w:pPr>
              <w:spacing w:after="20"/>
            </w:pPr>
            <w:r/>
            <w:r>
              <w:rPr>
                <w:sz w:val="18"/>
              </w:rPr>
              <w:t>Cross-domain foreign keys</w:t>
            </w:r>
          </w:p>
        </w:tc>
        <w:tc>
          <w:tcPr>
            <w:tcW w:type="dxa" w:w="3744"/>
          </w:tcPr>
          <w:p>
            <w:pPr>
              <w:spacing w:after="20"/>
            </w:pPr>
            <w:r/>
            <w:r>
              <w:rPr>
                <w:sz w:val="18"/>
              </w:rPr>
              <w:t>Present and enforced by the database</w:t>
            </w:r>
          </w:p>
        </w:tc>
        <w:tc>
          <w:tcPr>
            <w:tcW w:type="dxa" w:w="4104"/>
          </w:tcPr>
          <w:p>
            <w:pPr>
              <w:spacing w:after="20"/>
            </w:pPr>
            <w:r/>
            <w:r>
              <w:rPr>
                <w:sz w:val="18"/>
              </w:rPr>
              <w:t>0 across services</w:t>
            </w:r>
          </w:p>
        </w:tc>
      </w:tr>
      <w:tr>
        <w:tc>
          <w:tcPr>
            <w:tcW w:type="dxa" w:w="2088"/>
          </w:tcPr>
          <w:p>
            <w:pPr>
              <w:spacing w:after="20"/>
            </w:pPr>
            <w:r/>
            <w:r>
              <w:rPr>
                <w:sz w:val="18"/>
              </w:rPr>
              <w:t>Cross-domain object graph</w:t>
            </w:r>
          </w:p>
        </w:tc>
        <w:tc>
          <w:tcPr>
            <w:tcW w:type="dxa" w:w="3744"/>
          </w:tcPr>
          <w:p>
            <w:pPr>
              <w:spacing w:after="20"/>
            </w:pPr>
            <w:r/>
            <w:r>
              <w:rPr>
                <w:sz w:val="18"/>
              </w:rPr>
              <w:t>Entities referenced other domains directly</w:t>
            </w:r>
          </w:p>
        </w:tc>
        <w:tc>
          <w:tcPr>
            <w:tcW w:type="dxa" w:w="4104"/>
          </w:tcPr>
          <w:p>
            <w:pPr>
              <w:spacing w:after="20"/>
            </w:pPr>
            <w:r/>
            <w:r>
              <w:rPr>
                <w:sz w:val="18"/>
              </w:rPr>
              <w:t>Business keys only; no foreign entity is importable</w:t>
            </w:r>
          </w:p>
        </w:tc>
      </w:tr>
      <w:tr>
        <w:tc>
          <w:tcPr>
            <w:tcW w:type="dxa" w:w="2088"/>
          </w:tcPr>
          <w:p>
            <w:pPr>
              <w:spacing w:after="20"/>
            </w:pPr>
            <w:r/>
            <w:r>
              <w:rPr>
                <w:sz w:val="18"/>
              </w:rPr>
              <w:t>Repositories</w:t>
            </w:r>
          </w:p>
        </w:tc>
        <w:tc>
          <w:tcPr>
            <w:tcW w:type="dxa" w:w="3744"/>
          </w:tcPr>
          <w:p>
            <w:pPr>
              <w:spacing w:after="20"/>
            </w:pPr>
            <w:r/>
            <w:r>
              <w:rPr>
                <w:sz w:val="18"/>
              </w:rPr>
              <w:t>23 in one flat package</w:t>
            </w:r>
          </w:p>
        </w:tc>
        <w:tc>
          <w:tcPr>
            <w:tcW w:type="dxa" w:w="4104"/>
          </w:tcPr>
          <w:p>
            <w:pPr>
              <w:spacing w:after="20"/>
            </w:pPr>
            <w:r/>
            <w:r>
              <w:rPr>
                <w:sz w:val="18"/>
              </w:rPr>
              <w:t>7 + 7 + 9, each private to its service</w:t>
            </w:r>
          </w:p>
        </w:tc>
      </w:tr>
      <w:tr>
        <w:tc>
          <w:tcPr>
            <w:tcW w:type="dxa" w:w="2088"/>
          </w:tcPr>
          <w:p>
            <w:pPr>
              <w:spacing w:after="20"/>
            </w:pPr>
            <w:r/>
            <w:r>
              <w:rPr>
                <w:sz w:val="18"/>
              </w:rPr>
              <w:t>Authorisation data</w:t>
            </w:r>
          </w:p>
        </w:tc>
        <w:tc>
          <w:tcPr>
            <w:tcW w:type="dxa" w:w="3744"/>
          </w:tcPr>
          <w:p>
            <w:pPr>
              <w:spacing w:after="20"/>
            </w:pPr>
            <w:r/>
            <w:r>
              <w:rPr>
                <w:sz w:val="18"/>
              </w:rPr>
              <w:t>50 authority string literals scattered in controllers</w:t>
            </w:r>
          </w:p>
        </w:tc>
        <w:tc>
          <w:tcPr>
            <w:tcW w:type="dxa" w:w="4104"/>
          </w:tcPr>
          <w:p>
            <w:pPr>
              <w:spacing w:after="20"/>
            </w:pPr>
            <w:r/>
            <w:r>
              <w:rPr>
                <w:sz w:val="18"/>
              </w:rPr>
              <w:t>0 literals; one generated 54-code catalogue in the shared jar</w:t>
            </w:r>
          </w:p>
        </w:tc>
      </w:tr>
      <w:tr>
        <w:tc>
          <w:tcPr>
            <w:tcW w:type="dxa" w:w="2088"/>
          </w:tcPr>
          <w:p>
            <w:pPr>
              <w:spacing w:after="20"/>
            </w:pPr>
            <w:r/>
            <w:r>
              <w:rPr>
                <w:sz w:val="18"/>
              </w:rPr>
              <w:t>Boundary enforcement</w:t>
            </w:r>
          </w:p>
        </w:tc>
        <w:tc>
          <w:tcPr>
            <w:tcW w:type="dxa" w:w="3744"/>
          </w:tcPr>
          <w:p>
            <w:pPr>
              <w:spacing w:after="20"/>
            </w:pPr>
            <w:r/>
            <w:r>
              <w:rPr>
                <w:sz w:val="18"/>
              </w:rPr>
              <w:t>Convention</w:t>
            </w:r>
          </w:p>
        </w:tc>
        <w:tc>
          <w:tcPr>
            <w:tcW w:type="dxa" w:w="4104"/>
          </w:tcPr>
          <w:p>
            <w:pPr>
              <w:spacing w:after="20"/>
            </w:pPr>
            <w:r/>
            <w:r>
              <w:rPr>
                <w:sz w:val="18"/>
              </w:rPr>
              <w:t>Architecture tests that fail the build</w:t>
            </w:r>
          </w:p>
        </w:tc>
      </w:tr>
      <w:tr>
        <w:tc>
          <w:tcPr>
            <w:tcW w:type="dxa" w:w="2088"/>
          </w:tcPr>
          <w:p>
            <w:pPr>
              <w:spacing w:after="20"/>
            </w:pPr>
            <w:r/>
            <w:r>
              <w:rPr>
                <w:sz w:val="18"/>
              </w:rPr>
              <w:t>Deployment coupling</w:t>
            </w:r>
          </w:p>
        </w:tc>
        <w:tc>
          <w:tcPr>
            <w:tcW w:type="dxa" w:w="3744"/>
          </w:tcPr>
          <w:p>
            <w:pPr>
              <w:spacing w:after="20"/>
            </w:pPr>
            <w:r/>
            <w:r>
              <w:rPr>
                <w:sz w:val="18"/>
              </w:rPr>
              <w:t>Any change redeploys everything</w:t>
            </w:r>
          </w:p>
        </w:tc>
        <w:tc>
          <w:tcPr>
            <w:tcW w:type="dxa" w:w="4104"/>
          </w:tcPr>
          <w:p>
            <w:pPr>
              <w:spacing w:after="20"/>
            </w:pPr>
            <w:r/>
            <w:r>
              <w:rPr>
                <w:sz w:val="18"/>
              </w:rPr>
              <w:t>Each service deploys independently</w:t>
            </w:r>
          </w:p>
        </w:tc>
      </w:tr>
      <w:tr>
        <w:tc>
          <w:tcPr>
            <w:tcW w:type="dxa" w:w="2088"/>
          </w:tcPr>
          <w:p>
            <w:pPr>
              <w:spacing w:after="20"/>
            </w:pPr>
            <w:r/>
            <w:r>
              <w:rPr>
                <w:sz w:val="18"/>
              </w:rPr>
              <w:t>Failure domain</w:t>
            </w:r>
          </w:p>
        </w:tc>
        <w:tc>
          <w:tcPr>
            <w:tcW w:type="dxa" w:w="3744"/>
          </w:tcPr>
          <w:p>
            <w:pPr>
              <w:spacing w:after="20"/>
            </w:pPr>
            <w:r/>
            <w:r>
              <w:rPr>
                <w:sz w:val="18"/>
              </w:rPr>
              <w:t>One process; a fault anywhere affects all routes</w:t>
            </w:r>
          </w:p>
        </w:tc>
        <w:tc>
          <w:tcPr>
            <w:tcW w:type="dxa" w:w="4104"/>
          </w:tcPr>
          <w:p>
            <w:pPr>
              <w:spacing w:after="20"/>
            </w:pPr>
            <w:r/>
            <w:r>
              <w:rPr>
                <w:sz w:val="18"/>
              </w:rPr>
              <w:t>Three processes; Catalogue and Identity have no runtime dependency on anything</w:t>
            </w:r>
          </w:p>
        </w:tc>
      </w:tr>
      <w:tr>
        <w:tc>
          <w:tcPr>
            <w:tcW w:type="dxa" w:w="2088"/>
          </w:tcPr>
          <w:p>
            <w:pPr>
              <w:spacing w:after="20"/>
            </w:pPr>
            <w:r/>
            <w:r>
              <w:rPr>
                <w:sz w:val="18"/>
              </w:rPr>
              <w:t>Scaling</w:t>
            </w:r>
          </w:p>
        </w:tc>
        <w:tc>
          <w:tcPr>
            <w:tcW w:type="dxa" w:w="3744"/>
          </w:tcPr>
          <w:p>
            <w:pPr>
              <w:spacing w:after="20"/>
            </w:pPr>
            <w:r/>
            <w:r>
              <w:rPr>
                <w:sz w:val="18"/>
              </w:rPr>
              <w:t>Whole application together</w:t>
            </w:r>
          </w:p>
        </w:tc>
        <w:tc>
          <w:tcPr>
            <w:tcW w:type="dxa" w:w="4104"/>
          </w:tcPr>
          <w:p>
            <w:pPr>
              <w:spacing w:after="20"/>
            </w:pPr>
            <w:r/>
            <w:r>
              <w:rPr>
                <w:sz w:val="18"/>
              </w:rPr>
              <w:t>Per service</w:t>
            </w:r>
          </w:p>
        </w:tc>
      </w:tr>
    </w:tbl>
    <w:p>
      <w:pPr>
        <w:spacing w:after="80"/>
      </w:pPr>
    </w:p>
    <w:p>
      <w:pPr>
        <w:pStyle w:val="Heading2"/>
      </w:pPr>
      <w:r>
        <w:t>1.4  How the twelve domains were allocated</w:t>
      </w:r>
    </w:p>
    <w:p>
      <w:pPr>
        <w:jc w:val="center"/>
      </w:pPr>
      <w:r>
        <w:drawing>
          <wp:inline xmlns:a="http://schemas.openxmlformats.org/drawingml/2006/main" xmlns:pic="http://schemas.openxmlformats.org/drawingml/2006/picture">
            <wp:extent cx="6126480" cy="3405033"/>
            <wp:docPr id="3" name="Picture 3"/>
            <wp:cNvGraphicFramePr>
              <a:graphicFrameLocks noChangeAspect="1"/>
            </wp:cNvGraphicFramePr>
            <a:graphic>
              <a:graphicData uri="http://schemas.openxmlformats.org/drawingml/2006/picture">
                <pic:pic>
                  <pic:nvPicPr>
                    <pic:cNvPr id="0" name="cmp3_domains.png"/>
                    <pic:cNvPicPr/>
                  </pic:nvPicPr>
                  <pic:blipFill>
                    <a:blip r:embed="rId11"/>
                    <a:stretch>
                      <a:fillRect/>
                    </a:stretch>
                  </pic:blipFill>
                  <pic:spPr>
                    <a:xfrm>
                      <a:off x="0" y="0"/>
                      <a:ext cx="6126480" cy="3405033"/>
                    </a:xfrm>
                    <a:prstGeom prst="rect"/>
                  </pic:spPr>
                </pic:pic>
              </a:graphicData>
            </a:graphic>
          </wp:inline>
        </w:drawing>
      </w:r>
    </w:p>
    <w:p>
      <w:pPr>
        <w:spacing w:after="240"/>
        <w:jc w:val="center"/>
      </w:pPr>
      <w:r>
        <w:rPr>
          <w:b w:val="0"/>
          <w:i/>
          <w:color w:val="595959"/>
          <w:sz w:val="18"/>
        </w:rPr>
        <w:t>Figure 3 - Domain allocation. Grouping was decided by coupling, not by size.</w:t>
      </w:r>
    </w:p>
    <w:p>
      <w:pPr>
        <w:spacing w:after="120"/>
      </w:pPr>
      <w:r>
        <w:rPr>
          <w:b w:val="0"/>
          <w:i w:val="0"/>
          <w:sz w:val="21"/>
        </w:rPr>
        <w:t>Three grouping decisions are worth recording, because each was driven by evidence rather than by taste:</w:t>
      </w:r>
    </w:p>
    <w:p>
      <w:pPr>
        <w:pStyle w:val="ListBullet"/>
        <w:spacing w:after="60"/>
        <w:ind w:left="360"/>
      </w:pPr>
      <w:r>
        <w:rPr>
          <w:sz w:val="21"/>
        </w:rPr>
        <w:t>Product, category, list and image became ONE service. A coupling census over all 52 of their source files found they reference each other through QueryDSL path traversal, static sort specifications and a non-nullable foreign key. Splitting them would have created three services that could not function apart.</w:t>
      </w:r>
    </w:p>
    <w:p>
      <w:pPr>
        <w:pStyle w:val="ListBullet"/>
        <w:spacing w:after="60"/>
        <w:ind w:left="360"/>
      </w:pPr>
      <w:r>
        <w:rPr>
          <w:sz w:val="21"/>
        </w:rPr>
        <w:t>Billing and shipper travelled with Orders. They are written only by checkout and have no independent consumer, so giving them their own service would have added two network hops to the critical path for no benefit.</w:t>
      </w:r>
    </w:p>
    <w:p>
      <w:pPr>
        <w:pStyle w:val="ListBullet"/>
        <w:spacing w:after="60"/>
        <w:ind w:left="360"/>
      </w:pPr>
      <w:r>
        <w:rPr>
          <w:sz w:val="21"/>
        </w:rPr>
        <w:t>Company profile folded into Catalogue. It is a single read of a seeded parameter table, not a domain.</w:t>
      </w:r>
    </w:p>
    <w:p>
      <w:pPr>
        <w:spacing w:after="120"/>
      </w:pPr>
      <w:r>
        <w:rPr>
          <w:b w:val="0"/>
          <w:i/>
          <w:color w:val="595959"/>
          <w:sz w:val="19"/>
        </w:rPr>
        <w:t>The same census found the decisive fact that de-risked the whole first extraction: the catalogue domains had ZERO outbound references to order, person, user, billing, salesperson, shipper or customer. The only apparent matches were a QueryDSL sort class with a coincidentally similar name.</w:t>
      </w:r>
    </w:p>
    <w:p>
      <w:pPr>
        <w:pStyle w:val="Heading2"/>
      </w:pPr>
      <w:r>
        <w:t>1.5  What did not change</w:t>
      </w:r>
    </w:p>
    <w:p>
      <w:pPr>
        <w:spacing w:after="120"/>
      </w:pPr>
      <w:r>
        <w:rPr>
          <w:b w:val="0"/>
          <w:i w:val="0"/>
          <w:sz w:val="21"/>
        </w:rPr>
        <w:t>It is as important to be clear about what was deliberately left alone:</w:t>
      </w:r>
    </w:p>
    <w:p>
      <w:pPr>
        <w:pStyle w:val="ListBullet"/>
        <w:spacing w:after="60"/>
        <w:ind w:left="360"/>
      </w:pPr>
      <w:r>
        <w:rPr>
          <w:sz w:val="21"/>
        </w:rPr>
        <w:t>The layered internal structure, package naming and fully-qualified class names of ported code - copied byte-for-byte wherever possible, so that literals could not drift.</w:t>
      </w:r>
    </w:p>
    <w:p>
      <w:pPr>
        <w:pStyle w:val="ListBullet"/>
        <w:spacing w:after="60"/>
        <w:ind w:left="360"/>
      </w:pPr>
      <w:r>
        <w:rPr>
          <w:sz w:val="21"/>
        </w:rPr>
        <w:t>The HTTP contract. All 67 routes keep their paths, methods, request and response shapes and authority requirements, with nine recorded exceptions documented in the main technical documentation.</w:t>
      </w:r>
    </w:p>
    <w:p>
      <w:pPr>
        <w:pStyle w:val="ListBullet"/>
        <w:spacing w:after="60"/>
        <w:ind w:left="360"/>
      </w:pPr>
      <w:r>
        <w:rPr>
          <w:sz w:val="21"/>
        </w:rPr>
        <w:t>The database table and column names, so no data had to be rewritten.</w:t>
      </w:r>
    </w:p>
    <w:p>
      <w:pPr>
        <w:pStyle w:val="ListBullet"/>
        <w:spacing w:after="60"/>
        <w:ind w:left="360"/>
      </w:pPr>
      <w:r>
        <w:rPr>
          <w:sz w:val="21"/>
        </w:rPr>
        <w:t>The technology stack - same Java, Spring Boot, Hibernate, QueryDSL and MariaDB versions.</w:t>
      </w:r>
    </w:p>
    <w:p>
      <w:r>
        <w:br w:type="page"/>
      </w:r>
    </w:p>
    <w:p>
      <w:pPr>
        <w:pStyle w:val="Heading1"/>
      </w:pPr>
      <w:r>
        <w:t>Part 2   File structure difference</w:t>
      </w:r>
    </w:p>
    <w:p>
      <w:pPr>
        <w:pStyle w:val="Heading2"/>
      </w:pPr>
      <w:r>
        <w:t>2.1  Repository layout</w:t>
      </w:r>
    </w:p>
    <w:p>
      <w:pPr>
        <w:spacing w:after="120"/>
      </w:pPr>
      <w:r>
        <w:rPr>
          <w:b w:val="0"/>
          <w:i w:val="0"/>
          <w:sz w:val="21"/>
        </w:rPr>
        <w:t>The most visible structural change is that the repository root is no longer a single module. In the source, everything - including all the documentation and the project governance files - lived inside trebol-backend-monolith/.</w:t>
      </w:r>
    </w:p>
    <w:p>
      <w:pPr>
        <w:jc w:val="center"/>
      </w:pPr>
      <w:r>
        <w:drawing>
          <wp:inline xmlns:a="http://schemas.openxmlformats.org/drawingml/2006/main" xmlns:pic="http://schemas.openxmlformats.org/drawingml/2006/picture">
            <wp:extent cx="6400800" cy="3996217"/>
            <wp:docPr id="4" name="Picture 4"/>
            <wp:cNvGraphicFramePr>
              <a:graphicFrameLocks noChangeAspect="1"/>
            </wp:cNvGraphicFramePr>
            <a:graphic>
              <a:graphicData uri="http://schemas.openxmlformats.org/drawingml/2006/picture">
                <pic:pic>
                  <pic:nvPicPr>
                    <pic:cNvPr id="0" name="cmp4_filetree.png"/>
                    <pic:cNvPicPr/>
                  </pic:nvPicPr>
                  <pic:blipFill>
                    <a:blip r:embed="rId12"/>
                    <a:stretch>
                      <a:fillRect/>
                    </a:stretch>
                  </pic:blipFill>
                  <pic:spPr>
                    <a:xfrm>
                      <a:off x="0" y="0"/>
                      <a:ext cx="6400800" cy="3996217"/>
                    </a:xfrm>
                    <a:prstGeom prst="rect"/>
                  </pic:spPr>
                </pic:pic>
              </a:graphicData>
            </a:graphic>
          </wp:inline>
        </w:drawing>
      </w:r>
    </w:p>
    <w:p>
      <w:pPr>
        <w:spacing w:after="240"/>
        <w:jc w:val="center"/>
      </w:pPr>
      <w:r>
        <w:rPr>
          <w:b w:val="0"/>
          <w:i/>
          <w:color w:val="595959"/>
          <w:sz w:val="18"/>
        </w:rPr>
        <w:t>Figure 4 - Repository layout before and after.</w:t>
      </w:r>
    </w:p>
    <w:p>
      <w:pPr>
        <w:pStyle w:val="Heading2"/>
      </w:pPr>
      <w:r>
        <w:t>2.2  Source tree</w:t>
      </w:r>
    </w:p>
    <w:p>
      <w:pPr>
        <w:spacing w:after="160" w:line="240" w:lineRule="auto"/>
        <w:ind w:left="173"/>
        <w:shd w:fill="F4F6F8"/>
      </w:pPr>
      <w:r>
        <w:rPr>
          <w:rFonts w:ascii="Consolas" w:hAnsi="Consolas"/>
          <w:sz w:val="16"/>
        </w:rPr>
        <w:t>trebol-backend-monolith/            723 tracked files</w:t>
        <w:br/>
        <w:t>├── pom.xml</w:t>
        <w:br/>
        <w:t>├── src/main/java/org/trebol/       43 packages, 316 sources</w:t>
        <w:br/>
        <w:t>│   ├── api/controllers/            21</w:t>
        <w:br/>
        <w:t>│   ├── api/models/                 24</w:t>
        <w:br/>
        <w:t>│   ├── api/services/ + impl/       16</w:t>
        <w:br/>
        <w:t>│   ├── jpa/entities/               23</w:t>
        <w:br/>
        <w:t>│   ├── jpa/repositories/           23   &lt;- one flat package</w:t>
        <w:br/>
        <w:t>│   ├── jpa/services/               conversion 32, crud 29, patch 28,</w:t>
        <w:br/>
        <w:t>│   │                               predicates 30, contracts 10</w:t>
        <w:br/>
        <w:t>│   ├── jpa/sortspecs/              14</w:t>
        <w:br/>
        <w:t>│   ├── config/                     10      security/  16</w:t>
        <w:br/>
        <w:t>│   ├── mailing/                    9       payment/   6</w:t>
        <w:br/>
        <w:t>│   └── common/                     8</w:t>
        <w:br/>
        <w:t>├── src/main/resources/</w:t>
        <w:br/>
        <w:t>│   ├── schema-mariadb.sql          22 tables, cross-domain FKs</w:t>
        <w:br/>
        <w:t>│   ├── data.sql                    incl. 4 demo accounts with bcrypt hashes</w:t>
        <w:br/>
        <w:t>│   └── application.properties      one file for the whole system</w:t>
        <w:br/>
        <w:t>├── src/test/java/                  132 test sources</w:t>
        <w:br/>
        <w:t>├── business-rules-extraction/       154 files</w:t>
        <w:br/>
        <w:t>├── detailed-business-specification/  86 files</w:t>
        <w:br/>
        <w:t>├── microservices-conversion/         16 files</w:t>
        <w:br/>
        <w:t>└── README.md  LICENSE  CHANGELOG.md  CONTRIBUTING.md</w:t>
        <w:br/>
        <w:t xml:space="preserve">    .editorconfig  .gitignore  .github/  schema.png</w:t>
      </w:r>
    </w:p>
    <w:p>
      <w:pPr>
        <w:pStyle w:val="Heading2"/>
      </w:pPr>
      <w:r>
        <w:t>2.3  Target tree</w:t>
      </w:r>
    </w:p>
    <w:p>
      <w:pPr>
        <w:spacing w:after="160" w:line="240" w:lineRule="auto"/>
        <w:ind w:left="173"/>
        <w:shd w:fill="F4F6F8"/>
      </w:pPr>
      <w:r>
        <w:rPr>
          <w:rFonts w:ascii="Consolas" w:hAnsi="Consolas"/>
          <w:sz w:val="16"/>
        </w:rPr>
        <w:t>Base_repo_JDK_17/</w:t>
        <w:br/>
        <w:t>├── pom.xml                         aggregator, 4 modules</w:t>
        <w:br/>
        <w:t>├── .gitignore</w:t>
        <w:br/>
        <w:t>├── business-rules-extraction/       154 files   &lt;- moved to root</w:t>
        <w:br/>
        <w:t>├── detailed-business-specification/  86 files   &lt;- moved to root</w:t>
        <w:br/>
        <w:t>├── microservices-conversion/         16 files   &lt;- moved to root</w:t>
        <w:br/>
        <w:t>├── documentation/                   new in this engagement</w:t>
        <w:br/>
        <w:t>│   ├── Trebol-Platform-Technical-Documentation.docx</w:t>
        <w:br/>
        <w:t>│   └── diagrams/</w:t>
        <w:br/>
        <w:t>└── trebol-services/</w:t>
        <w:br/>
        <w:t xml:space="preserve">    ├── shared-contracts/           1 main source, 2 tests</w:t>
        <w:br/>
        <w:t xml:space="preserve">    │   └── AuthorityCodes.java     generated, 54 codes</w:t>
        <w:br/>
        <w:t xml:space="preserve">    ├── catalogue-service/          105 main, 36 test</w:t>
        <w:br/>
        <w:t xml:space="preserve">    │   └── schema-mariadb.sql      7 tables</w:t>
        <w:br/>
        <w:t xml:space="preserve">    ├── identity-service/           132 main, 56 test</w:t>
        <w:br/>
        <w:t xml:space="preserve">    │   └── schema-mariadb.sql      7 tables      data.sql has NO accounts</w:t>
        <w:br/>
        <w:t xml:space="preserve">    └── orders-service/             159 main, 55 test</w:t>
        <w:br/>
        <w:t xml:space="preserve">        └── schema-mariadb.sql      9 tables</w:t>
      </w:r>
    </w:p>
    <w:p>
      <w:pPr>
        <w:spacing w:after="120"/>
      </w:pPr>
      <w:r>
        <w:rPr>
          <w:b w:val="0"/>
          <w:i/>
          <w:color w:val="595959"/>
          <w:sz w:val="19"/>
        </w:rPr>
        <w:t>Each service additionally carries its own pom.xml, application.properties and a test-scoped application.properties. That last file is a trap worth knowing about: a test-resources application.properties replaces the main one entirely, whereas data.sql is loaded from a wildcard location and so both copies execute.</w:t>
      </w:r>
    </w:p>
    <w:p>
      <w:pPr>
        <w:pStyle w:val="Heading2"/>
      </w:pPr>
      <w:r>
        <w:t>2.4  Package-by-package mapping</w:t>
      </w:r>
    </w:p>
    <w:p>
      <w:pPr>
        <w:spacing w:after="120"/>
      </w:pPr>
      <w:r>
        <w:rPr>
          <w:b w:val="0"/>
          <w:i w:val="0"/>
          <w:sz w:val="21"/>
        </w:rPr>
        <w:t>Every package in the source, and where its contents now live. Counts are Java source files.</w:t>
      </w:r>
    </w:p>
    <w:tbl>
      <w:tblPr>
        <w:tblStyle w:val="LightGrid-Accent1"/>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2952"/>
          </w:tcPr>
          <w:p>
            <w:r/>
            <w:r>
              <w:rPr>
                <w:b/>
                <w:sz w:val="15"/>
              </w:rPr>
              <w:t>Package</w:t>
            </w:r>
          </w:p>
        </w:tc>
        <w:tc>
          <w:tcPr>
            <w:tcW w:type="dxa" w:w="720"/>
          </w:tcPr>
          <w:p>
            <w:r/>
            <w:r>
              <w:rPr>
                <w:b/>
                <w:sz w:val="15"/>
              </w:rPr>
              <w:t>Mono</w:t>
            </w:r>
          </w:p>
        </w:tc>
        <w:tc>
          <w:tcPr>
            <w:tcW w:type="dxa" w:w="605"/>
          </w:tcPr>
          <w:p>
            <w:r/>
            <w:r>
              <w:rPr>
                <w:b/>
                <w:sz w:val="15"/>
              </w:rPr>
              <w:t>Cat</w:t>
            </w:r>
          </w:p>
        </w:tc>
        <w:tc>
          <w:tcPr>
            <w:tcW w:type="dxa" w:w="648"/>
          </w:tcPr>
          <w:p>
            <w:r/>
            <w:r>
              <w:rPr>
                <w:b/>
                <w:sz w:val="15"/>
              </w:rPr>
              <w:t>Idnt</w:t>
            </w:r>
          </w:p>
        </w:tc>
        <w:tc>
          <w:tcPr>
            <w:tcW w:type="dxa" w:w="605"/>
          </w:tcPr>
          <w:p>
            <w:r/>
            <w:r>
              <w:rPr>
                <w:b/>
                <w:sz w:val="15"/>
              </w:rPr>
              <w:t>Ord</w:t>
            </w:r>
          </w:p>
        </w:tc>
        <w:tc>
          <w:tcPr>
            <w:tcW w:type="dxa" w:w="648"/>
          </w:tcPr>
          <w:p>
            <w:r/>
            <w:r>
              <w:rPr>
                <w:b/>
                <w:sz w:val="15"/>
              </w:rPr>
              <w:t>Shrd</w:t>
            </w:r>
          </w:p>
        </w:tc>
        <w:tc>
          <w:tcPr>
            <w:tcW w:type="dxa" w:w="720"/>
          </w:tcPr>
          <w:p>
            <w:r/>
            <w:r>
              <w:rPr>
                <w:b/>
                <w:sz w:val="15"/>
              </w:rPr>
              <w:t>Total</w:t>
            </w:r>
          </w:p>
        </w:tc>
        <w:tc>
          <w:tcPr>
            <w:tcW w:type="dxa" w:w="1800"/>
          </w:tcPr>
          <w:p>
            <w:r/>
            <w:r>
              <w:rPr>
                <w:b/>
                <w:sz w:val="15"/>
              </w:rPr>
              <w:t>Note</w:t>
            </w:r>
          </w:p>
        </w:tc>
      </w:tr>
      <w:tr>
        <w:tc>
          <w:tcPr>
            <w:tcW w:type="dxa" w:w="2952"/>
          </w:tcPr>
          <w:p>
            <w:pPr>
              <w:spacing w:after="20"/>
            </w:pPr>
            <w:r/>
            <w:r>
              <w:rPr>
                <w:sz w:val="15"/>
              </w:rPr>
              <w:t>(root)</w:t>
            </w:r>
          </w:p>
        </w:tc>
        <w:tc>
          <w:tcPr>
            <w:tcW w:type="dxa" w:w="720"/>
          </w:tcPr>
          <w:p>
            <w:pPr>
              <w:spacing w:after="20"/>
            </w:pPr>
            <w:r/>
            <w:r>
              <w:rPr>
                <w:sz w:val="15"/>
              </w:rPr>
              <w:t>1</w:t>
            </w:r>
          </w:p>
        </w:tc>
        <w:tc>
          <w:tcPr>
            <w:tcW w:type="dxa" w:w="605"/>
          </w:tcPr>
          <w:p>
            <w:pPr>
              <w:spacing w:after="20"/>
            </w:pPr>
            <w:r/>
            <w:r>
              <w:rPr>
                <w:sz w:val="15"/>
              </w:rPr>
              <w:t>1</w:t>
            </w:r>
          </w:p>
        </w:tc>
        <w:tc>
          <w:tcPr>
            <w:tcW w:type="dxa" w:w="648"/>
          </w:tcPr>
          <w:p>
            <w:pPr>
              <w:spacing w:after="20"/>
            </w:pPr>
            <w:r/>
            <w:r>
              <w:rPr>
                <w:sz w:val="15"/>
              </w:rPr>
              <w:t>1</w:t>
            </w:r>
          </w:p>
        </w:tc>
        <w:tc>
          <w:tcPr>
            <w:tcW w:type="dxa" w:w="605"/>
          </w:tcPr>
          <w:p>
            <w:pPr>
              <w:spacing w:after="20"/>
            </w:pPr>
            <w:r/>
            <w:r>
              <w:rPr>
                <w:sz w:val="15"/>
              </w:rPr>
              <w:t>1</w:t>
            </w:r>
          </w:p>
        </w:tc>
        <w:tc>
          <w:tcPr>
            <w:tcW w:type="dxa" w:w="648"/>
          </w:tcPr>
          <w:p>
            <w:pPr>
              <w:spacing w:after="20"/>
            </w:pPr>
            <w:r/>
            <w:r>
              <w:rPr>
                <w:sz w:val="15"/>
              </w:rPr>
              <w:t>0</w:t>
            </w:r>
          </w:p>
        </w:tc>
        <w:tc>
          <w:tcPr>
            <w:tcW w:type="dxa" w:w="720"/>
          </w:tcPr>
          <w:p>
            <w:pPr>
              <w:spacing w:after="20"/>
            </w:pPr>
            <w:r/>
            <w:r>
              <w:rPr>
                <w:sz w:val="15"/>
              </w:rPr>
              <w:t>3</w:t>
            </w:r>
          </w:p>
        </w:tc>
        <w:tc>
          <w:tcPr>
            <w:tcW w:type="dxa" w:w="1800"/>
          </w:tcPr>
          <w:p>
            <w:pPr>
              <w:spacing w:after="20"/>
            </w:pPr>
            <w:r/>
            <w:r>
              <w:rPr>
                <w:sz w:val="15"/>
              </w:rPr>
              <w:t>duplicated per service</w:t>
            </w:r>
          </w:p>
        </w:tc>
      </w:tr>
      <w:tr>
        <w:tc>
          <w:tcPr>
            <w:tcW w:type="dxa" w:w="2952"/>
          </w:tcPr>
          <w:p>
            <w:pPr>
              <w:spacing w:after="20"/>
            </w:pPr>
            <w:r/>
            <w:r>
              <w:rPr>
                <w:sz w:val="15"/>
              </w:rPr>
              <w:t>api</w:t>
            </w:r>
          </w:p>
        </w:tc>
        <w:tc>
          <w:tcPr>
            <w:tcW w:type="dxa" w:w="720"/>
          </w:tcPr>
          <w:p>
            <w:pPr>
              <w:spacing w:after="20"/>
            </w:pPr>
            <w:r/>
            <w:r>
              <w:rPr>
                <w:sz w:val="15"/>
              </w:rPr>
              <w:t>5</w:t>
            </w:r>
          </w:p>
        </w:tc>
        <w:tc>
          <w:tcPr>
            <w:tcW w:type="dxa" w:w="605"/>
          </w:tcPr>
          <w:p>
            <w:pPr>
              <w:spacing w:after="20"/>
            </w:pPr>
            <w:r/>
            <w:r>
              <w:rPr>
                <w:sz w:val="15"/>
              </w:rPr>
              <w:t>5</w:t>
            </w:r>
          </w:p>
        </w:tc>
        <w:tc>
          <w:tcPr>
            <w:tcW w:type="dxa" w:w="648"/>
          </w:tcPr>
          <w:p>
            <w:pPr>
              <w:spacing w:after="20"/>
            </w:pPr>
            <w:r/>
            <w:r>
              <w:rPr>
                <w:sz w:val="15"/>
              </w:rPr>
              <w:t>5</w:t>
            </w:r>
          </w:p>
        </w:tc>
        <w:tc>
          <w:tcPr>
            <w:tcW w:type="dxa" w:w="605"/>
          </w:tcPr>
          <w:p>
            <w:pPr>
              <w:spacing w:after="20"/>
            </w:pPr>
            <w:r/>
            <w:r>
              <w:rPr>
                <w:sz w:val="15"/>
              </w:rPr>
              <w:t>5</w:t>
            </w:r>
          </w:p>
        </w:tc>
        <w:tc>
          <w:tcPr>
            <w:tcW w:type="dxa" w:w="648"/>
          </w:tcPr>
          <w:p>
            <w:pPr>
              <w:spacing w:after="20"/>
            </w:pPr>
            <w:r/>
            <w:r>
              <w:rPr>
                <w:sz w:val="15"/>
              </w:rPr>
              <w:t>0</w:t>
            </w:r>
          </w:p>
        </w:tc>
        <w:tc>
          <w:tcPr>
            <w:tcW w:type="dxa" w:w="720"/>
          </w:tcPr>
          <w:p>
            <w:pPr>
              <w:spacing w:after="20"/>
            </w:pPr>
            <w:r/>
            <w:r>
              <w:rPr>
                <w:sz w:val="15"/>
              </w:rPr>
              <w:t>15</w:t>
            </w:r>
          </w:p>
        </w:tc>
        <w:tc>
          <w:tcPr>
            <w:tcW w:type="dxa" w:w="1800"/>
          </w:tcPr>
          <w:p>
            <w:pPr>
              <w:spacing w:after="20"/>
            </w:pPr>
            <w:r/>
            <w:r>
              <w:rPr>
                <w:sz w:val="15"/>
              </w:rPr>
              <w:t>duplicated per service</w:t>
            </w:r>
          </w:p>
        </w:tc>
      </w:tr>
      <w:tr>
        <w:tc>
          <w:tcPr>
            <w:tcW w:type="dxa" w:w="2952"/>
          </w:tcPr>
          <w:p>
            <w:pPr>
              <w:spacing w:after="20"/>
            </w:pPr>
            <w:r/>
            <w:r>
              <w:rPr>
                <w:sz w:val="15"/>
              </w:rPr>
              <w:t>api/controllers</w:t>
            </w:r>
          </w:p>
        </w:tc>
        <w:tc>
          <w:tcPr>
            <w:tcW w:type="dxa" w:w="720"/>
          </w:tcPr>
          <w:p>
            <w:pPr>
              <w:spacing w:after="20"/>
            </w:pPr>
            <w:r/>
            <w:r>
              <w:rPr>
                <w:sz w:val="15"/>
              </w:rPr>
              <w:t>21</w:t>
            </w:r>
          </w:p>
        </w:tc>
        <w:tc>
          <w:tcPr>
            <w:tcW w:type="dxa" w:w="605"/>
          </w:tcPr>
          <w:p>
            <w:pPr>
              <w:spacing w:after="20"/>
            </w:pPr>
            <w:r/>
            <w:r>
              <w:rPr>
                <w:sz w:val="15"/>
              </w:rPr>
              <w:t>7</w:t>
            </w:r>
          </w:p>
        </w:tc>
        <w:tc>
          <w:tcPr>
            <w:tcW w:type="dxa" w:w="648"/>
          </w:tcPr>
          <w:p>
            <w:pPr>
              <w:spacing w:after="20"/>
            </w:pPr>
            <w:r/>
            <w:r>
              <w:rPr>
                <w:sz w:val="15"/>
              </w:rPr>
              <w:t>9</w:t>
            </w:r>
          </w:p>
        </w:tc>
        <w:tc>
          <w:tcPr>
            <w:tcW w:type="dxa" w:w="605"/>
          </w:tcPr>
          <w:p>
            <w:pPr>
              <w:spacing w:after="20"/>
            </w:pPr>
            <w:r/>
            <w:r>
              <w:rPr>
                <w:sz w:val="15"/>
              </w:rPr>
              <w:t>7</w:t>
            </w:r>
          </w:p>
        </w:tc>
        <w:tc>
          <w:tcPr>
            <w:tcW w:type="dxa" w:w="648"/>
          </w:tcPr>
          <w:p>
            <w:pPr>
              <w:spacing w:after="20"/>
            </w:pPr>
            <w:r/>
            <w:r>
              <w:rPr>
                <w:sz w:val="15"/>
              </w:rPr>
              <w:t>0</w:t>
            </w:r>
          </w:p>
        </w:tc>
        <w:tc>
          <w:tcPr>
            <w:tcW w:type="dxa" w:w="720"/>
          </w:tcPr>
          <w:p>
            <w:pPr>
              <w:spacing w:after="20"/>
            </w:pPr>
            <w:r/>
            <w:r>
              <w:rPr>
                <w:sz w:val="15"/>
              </w:rPr>
              <w:t>23</w:t>
            </w:r>
          </w:p>
        </w:tc>
        <w:tc>
          <w:tcPr>
            <w:tcW w:type="dxa" w:w="1800"/>
          </w:tcPr>
          <w:p>
            <w:pPr>
              <w:spacing w:after="20"/>
            </w:pPr>
            <w:r/>
            <w:r>
              <w:rPr>
                <w:sz w:val="15"/>
              </w:rPr>
              <w:t>duplicated per service</w:t>
            </w:r>
          </w:p>
        </w:tc>
      </w:tr>
      <w:tr>
        <w:tc>
          <w:tcPr>
            <w:tcW w:type="dxa" w:w="2952"/>
          </w:tcPr>
          <w:p>
            <w:pPr>
              <w:spacing w:after="20"/>
            </w:pPr>
            <w:r/>
            <w:r>
              <w:rPr>
                <w:sz w:val="15"/>
              </w:rPr>
              <w:t>api/models</w:t>
            </w:r>
          </w:p>
        </w:tc>
        <w:tc>
          <w:tcPr>
            <w:tcW w:type="dxa" w:w="720"/>
          </w:tcPr>
          <w:p>
            <w:pPr>
              <w:spacing w:after="20"/>
            </w:pPr>
            <w:r/>
            <w:r>
              <w:rPr>
                <w:sz w:val="15"/>
              </w:rPr>
              <w:t>24</w:t>
            </w:r>
          </w:p>
        </w:tc>
        <w:tc>
          <w:tcPr>
            <w:tcW w:type="dxa" w:w="605"/>
          </w:tcPr>
          <w:p>
            <w:pPr>
              <w:spacing w:after="20"/>
            </w:pPr>
            <w:r/>
            <w:r>
              <w:rPr>
                <w:sz w:val="15"/>
              </w:rPr>
              <w:t>7</w:t>
            </w:r>
          </w:p>
        </w:tc>
        <w:tc>
          <w:tcPr>
            <w:tcW w:type="dxa" w:w="648"/>
          </w:tcPr>
          <w:p>
            <w:pPr>
              <w:spacing w:after="20"/>
            </w:pPr>
            <w:r/>
            <w:r>
              <w:rPr>
                <w:sz w:val="15"/>
              </w:rPr>
              <w:t>8</w:t>
            </w:r>
          </w:p>
        </w:tc>
        <w:tc>
          <w:tcPr>
            <w:tcW w:type="dxa" w:w="605"/>
          </w:tcPr>
          <w:p>
            <w:pPr>
              <w:spacing w:after="20"/>
            </w:pPr>
            <w:r/>
            <w:r>
              <w:rPr>
                <w:sz w:val="15"/>
              </w:rPr>
              <w:t>17</w:t>
            </w:r>
          </w:p>
        </w:tc>
        <w:tc>
          <w:tcPr>
            <w:tcW w:type="dxa" w:w="648"/>
          </w:tcPr>
          <w:p>
            <w:pPr>
              <w:spacing w:after="20"/>
            </w:pPr>
            <w:r/>
            <w:r>
              <w:rPr>
                <w:sz w:val="15"/>
              </w:rPr>
              <w:t>0</w:t>
            </w:r>
          </w:p>
        </w:tc>
        <w:tc>
          <w:tcPr>
            <w:tcW w:type="dxa" w:w="720"/>
          </w:tcPr>
          <w:p>
            <w:pPr>
              <w:spacing w:after="20"/>
            </w:pPr>
            <w:r/>
            <w:r>
              <w:rPr>
                <w:sz w:val="15"/>
              </w:rPr>
              <w:t>32</w:t>
            </w:r>
          </w:p>
        </w:tc>
        <w:tc>
          <w:tcPr>
            <w:tcW w:type="dxa" w:w="1800"/>
          </w:tcPr>
          <w:p>
            <w:pPr>
              <w:spacing w:after="20"/>
            </w:pPr>
            <w:r/>
            <w:r>
              <w:rPr>
                <w:sz w:val="15"/>
              </w:rPr>
              <w:t>duplicated per service</w:t>
            </w:r>
          </w:p>
        </w:tc>
      </w:tr>
      <w:tr>
        <w:tc>
          <w:tcPr>
            <w:tcW w:type="dxa" w:w="2952"/>
          </w:tcPr>
          <w:p>
            <w:pPr>
              <w:spacing w:after="20"/>
            </w:pPr>
            <w:r/>
            <w:r>
              <w:rPr>
                <w:sz w:val="15"/>
              </w:rPr>
              <w:t>api/services</w:t>
            </w:r>
          </w:p>
        </w:tc>
        <w:tc>
          <w:tcPr>
            <w:tcW w:type="dxa" w:w="720"/>
          </w:tcPr>
          <w:p>
            <w:pPr>
              <w:spacing w:after="20"/>
            </w:pPr>
            <w:r/>
            <w:r>
              <w:rPr>
                <w:sz w:val="15"/>
              </w:rPr>
              <w:t>8</w:t>
            </w:r>
          </w:p>
        </w:tc>
        <w:tc>
          <w:tcPr>
            <w:tcW w:type="dxa" w:w="605"/>
          </w:tcPr>
          <w:p>
            <w:pPr>
              <w:spacing w:after="20"/>
            </w:pPr>
            <w:r/>
            <w:r>
              <w:rPr>
                <w:sz w:val="15"/>
              </w:rPr>
              <w:t>2</w:t>
            </w:r>
          </w:p>
        </w:tc>
        <w:tc>
          <w:tcPr>
            <w:tcW w:type="dxa" w:w="648"/>
          </w:tcPr>
          <w:p>
            <w:pPr>
              <w:spacing w:after="20"/>
            </w:pPr>
            <w:r/>
            <w:r>
              <w:rPr>
                <w:sz w:val="15"/>
              </w:rPr>
              <w:t>4</w:t>
            </w:r>
          </w:p>
        </w:tc>
        <w:tc>
          <w:tcPr>
            <w:tcW w:type="dxa" w:w="605"/>
          </w:tcPr>
          <w:p>
            <w:pPr>
              <w:spacing w:after="20"/>
            </w:pPr>
            <w:r/>
            <w:r>
              <w:rPr>
                <w:sz w:val="15"/>
              </w:rPr>
              <w:t>4</w:t>
            </w:r>
          </w:p>
        </w:tc>
        <w:tc>
          <w:tcPr>
            <w:tcW w:type="dxa" w:w="648"/>
          </w:tcPr>
          <w:p>
            <w:pPr>
              <w:spacing w:after="20"/>
            </w:pPr>
            <w:r/>
            <w:r>
              <w:rPr>
                <w:sz w:val="15"/>
              </w:rPr>
              <w:t>0</w:t>
            </w:r>
          </w:p>
        </w:tc>
        <w:tc>
          <w:tcPr>
            <w:tcW w:type="dxa" w:w="720"/>
          </w:tcPr>
          <w:p>
            <w:pPr>
              <w:spacing w:after="20"/>
            </w:pPr>
            <w:r/>
            <w:r>
              <w:rPr>
                <w:sz w:val="15"/>
              </w:rPr>
              <w:t>10</w:t>
            </w:r>
          </w:p>
        </w:tc>
        <w:tc>
          <w:tcPr>
            <w:tcW w:type="dxa" w:w="1800"/>
          </w:tcPr>
          <w:p>
            <w:pPr>
              <w:spacing w:after="20"/>
            </w:pPr>
            <w:r/>
            <w:r>
              <w:rPr>
                <w:sz w:val="15"/>
              </w:rPr>
              <w:t>duplicated per service</w:t>
            </w:r>
          </w:p>
        </w:tc>
      </w:tr>
      <w:tr>
        <w:tc>
          <w:tcPr>
            <w:tcW w:type="dxa" w:w="2952"/>
          </w:tcPr>
          <w:p>
            <w:pPr>
              <w:spacing w:after="20"/>
            </w:pPr>
            <w:r/>
            <w:r>
              <w:rPr>
                <w:sz w:val="15"/>
              </w:rPr>
              <w:t>api/services/impl</w:t>
            </w:r>
          </w:p>
        </w:tc>
        <w:tc>
          <w:tcPr>
            <w:tcW w:type="dxa" w:w="720"/>
          </w:tcPr>
          <w:p>
            <w:pPr>
              <w:spacing w:after="20"/>
            </w:pPr>
            <w:r/>
            <w:r>
              <w:rPr>
                <w:sz w:val="15"/>
              </w:rPr>
              <w:t>8</w:t>
            </w:r>
          </w:p>
        </w:tc>
        <w:tc>
          <w:tcPr>
            <w:tcW w:type="dxa" w:w="605"/>
          </w:tcPr>
          <w:p>
            <w:pPr>
              <w:spacing w:after="20"/>
            </w:pPr>
            <w:r/>
            <w:r>
              <w:rPr>
                <w:sz w:val="15"/>
              </w:rPr>
              <w:t>2</w:t>
            </w:r>
          </w:p>
        </w:tc>
        <w:tc>
          <w:tcPr>
            <w:tcW w:type="dxa" w:w="648"/>
          </w:tcPr>
          <w:p>
            <w:pPr>
              <w:spacing w:after="20"/>
            </w:pPr>
            <w:r/>
            <w:r>
              <w:rPr>
                <w:sz w:val="15"/>
              </w:rPr>
              <w:t>4</w:t>
            </w:r>
          </w:p>
        </w:tc>
        <w:tc>
          <w:tcPr>
            <w:tcW w:type="dxa" w:w="605"/>
          </w:tcPr>
          <w:p>
            <w:pPr>
              <w:spacing w:after="20"/>
            </w:pPr>
            <w:r/>
            <w:r>
              <w:rPr>
                <w:sz w:val="15"/>
              </w:rPr>
              <w:t>4</w:t>
            </w:r>
          </w:p>
        </w:tc>
        <w:tc>
          <w:tcPr>
            <w:tcW w:type="dxa" w:w="648"/>
          </w:tcPr>
          <w:p>
            <w:pPr>
              <w:spacing w:after="20"/>
            </w:pPr>
            <w:r/>
            <w:r>
              <w:rPr>
                <w:sz w:val="15"/>
              </w:rPr>
              <w:t>0</w:t>
            </w:r>
          </w:p>
        </w:tc>
        <w:tc>
          <w:tcPr>
            <w:tcW w:type="dxa" w:w="720"/>
          </w:tcPr>
          <w:p>
            <w:pPr>
              <w:spacing w:after="20"/>
            </w:pPr>
            <w:r/>
            <w:r>
              <w:rPr>
                <w:sz w:val="15"/>
              </w:rPr>
              <w:t>10</w:t>
            </w:r>
          </w:p>
        </w:tc>
        <w:tc>
          <w:tcPr>
            <w:tcW w:type="dxa" w:w="1800"/>
          </w:tcPr>
          <w:p>
            <w:pPr>
              <w:spacing w:after="20"/>
            </w:pPr>
            <w:r/>
            <w:r>
              <w:rPr>
                <w:sz w:val="15"/>
              </w:rPr>
              <w:t>duplicated per service</w:t>
            </w:r>
          </w:p>
        </w:tc>
      </w:tr>
      <w:tr>
        <w:tc>
          <w:tcPr>
            <w:tcW w:type="dxa" w:w="2952"/>
          </w:tcPr>
          <w:p>
            <w:pPr>
              <w:spacing w:after="20"/>
            </w:pPr>
            <w:r/>
            <w:r>
              <w:rPr>
                <w:sz w:val="15"/>
              </w:rPr>
              <w:t>common</w:t>
            </w:r>
          </w:p>
        </w:tc>
        <w:tc>
          <w:tcPr>
            <w:tcW w:type="dxa" w:w="720"/>
          </w:tcPr>
          <w:p>
            <w:pPr>
              <w:spacing w:after="20"/>
            </w:pPr>
            <w:r/>
            <w:r>
              <w:rPr>
                <w:sz w:val="15"/>
              </w:rPr>
              <w:t>1</w:t>
            </w:r>
          </w:p>
        </w:tc>
        <w:tc>
          <w:tcPr>
            <w:tcW w:type="dxa" w:w="605"/>
          </w:tcPr>
          <w:p>
            <w:pPr>
              <w:spacing w:after="20"/>
            </w:pPr>
            <w:r/>
            <w:r>
              <w:rPr>
                <w:sz w:val="15"/>
              </w:rPr>
              <w:t>0</w:t>
            </w:r>
          </w:p>
        </w:tc>
        <w:tc>
          <w:tcPr>
            <w:tcW w:type="dxa" w:w="648"/>
          </w:tcPr>
          <w:p>
            <w:pPr>
              <w:spacing w:after="20"/>
            </w:pPr>
            <w:r/>
            <w:r>
              <w:rPr>
                <w:sz w:val="15"/>
              </w:rPr>
              <w:t>1</w:t>
            </w:r>
          </w:p>
        </w:tc>
        <w:tc>
          <w:tcPr>
            <w:tcW w:type="dxa" w:w="605"/>
          </w:tcPr>
          <w:p>
            <w:pPr>
              <w:spacing w:after="20"/>
            </w:pPr>
            <w:r/>
            <w:r>
              <w:rPr>
                <w:sz w:val="15"/>
              </w:rPr>
              <w:t>1</w:t>
            </w:r>
          </w:p>
        </w:tc>
        <w:tc>
          <w:tcPr>
            <w:tcW w:type="dxa" w:w="648"/>
          </w:tcPr>
          <w:p>
            <w:pPr>
              <w:spacing w:after="20"/>
            </w:pPr>
            <w:r/>
            <w:r>
              <w:rPr>
                <w:sz w:val="15"/>
              </w:rPr>
              <w:t>0</w:t>
            </w:r>
          </w:p>
        </w:tc>
        <w:tc>
          <w:tcPr>
            <w:tcW w:type="dxa" w:w="720"/>
          </w:tcPr>
          <w:p>
            <w:pPr>
              <w:spacing w:after="20"/>
            </w:pPr>
            <w:r/>
            <w:r>
              <w:rPr>
                <w:sz w:val="15"/>
              </w:rPr>
              <w:t>2</w:t>
            </w:r>
          </w:p>
        </w:tc>
        <w:tc>
          <w:tcPr>
            <w:tcW w:type="dxa" w:w="1800"/>
          </w:tcPr>
          <w:p>
            <w:pPr>
              <w:spacing w:after="20"/>
            </w:pPr>
            <w:r/>
            <w:r>
              <w:rPr>
                <w:sz w:val="15"/>
              </w:rPr>
              <w:t>duplicated per service</w:t>
            </w:r>
          </w:p>
        </w:tc>
      </w:tr>
      <w:tr>
        <w:tc>
          <w:tcPr>
            <w:tcW w:type="dxa" w:w="2952"/>
          </w:tcPr>
          <w:p>
            <w:pPr>
              <w:spacing w:after="20"/>
            </w:pPr>
            <w:r/>
            <w:r>
              <w:rPr>
                <w:sz w:val="15"/>
              </w:rPr>
              <w:t>common/annotations</w:t>
            </w:r>
          </w:p>
        </w:tc>
        <w:tc>
          <w:tcPr>
            <w:tcW w:type="dxa" w:w="720"/>
          </w:tcPr>
          <w:p>
            <w:pPr>
              <w:spacing w:after="20"/>
            </w:pPr>
            <w:r/>
            <w:r>
              <w:rPr>
                <w:sz w:val="15"/>
              </w:rPr>
              <w:t>1</w:t>
            </w:r>
          </w:p>
        </w:tc>
        <w:tc>
          <w:tcPr>
            <w:tcW w:type="dxa" w:w="605"/>
          </w:tcPr>
          <w:p>
            <w:pPr>
              <w:spacing w:after="20"/>
            </w:pPr>
            <w:r/>
            <w:r>
              <w:rPr>
                <w:sz w:val="15"/>
              </w:rPr>
              <w:t>0</w:t>
            </w:r>
          </w:p>
        </w:tc>
        <w:tc>
          <w:tcPr>
            <w:tcW w:type="dxa" w:w="648"/>
          </w:tcPr>
          <w:p>
            <w:pPr>
              <w:spacing w:after="20"/>
            </w:pPr>
            <w:r/>
            <w:r>
              <w:rPr>
                <w:sz w:val="15"/>
              </w:rPr>
              <w:t>0</w:t>
            </w:r>
          </w:p>
        </w:tc>
        <w:tc>
          <w:tcPr>
            <w:tcW w:type="dxa" w:w="605"/>
          </w:tcPr>
          <w:p>
            <w:pPr>
              <w:spacing w:after="20"/>
            </w:pPr>
            <w:r/>
            <w:r>
              <w:rPr>
                <w:sz w:val="15"/>
              </w:rPr>
              <w:t>0</w:t>
            </w:r>
          </w:p>
        </w:tc>
        <w:tc>
          <w:tcPr>
            <w:tcW w:type="dxa" w:w="648"/>
          </w:tcPr>
          <w:p>
            <w:pPr>
              <w:spacing w:after="20"/>
            </w:pPr>
            <w:r/>
            <w:r>
              <w:rPr>
                <w:sz w:val="15"/>
              </w:rPr>
              <w:t>0</w:t>
            </w:r>
          </w:p>
        </w:tc>
        <w:tc>
          <w:tcPr>
            <w:tcW w:type="dxa" w:w="720"/>
          </w:tcPr>
          <w:p>
            <w:pPr>
              <w:spacing w:after="20"/>
            </w:pPr>
            <w:r/>
            <w:r>
              <w:rPr>
                <w:sz w:val="15"/>
              </w:rPr>
              <w:t>0</w:t>
            </w:r>
          </w:p>
        </w:tc>
        <w:tc>
          <w:tcPr>
            <w:tcW w:type="dxa" w:w="1800"/>
          </w:tcPr>
          <w:p>
            <w:pPr>
              <w:spacing w:after="20"/>
            </w:pPr>
            <w:r/>
            <w:r>
              <w:rPr>
                <w:sz w:val="15"/>
              </w:rPr>
              <w:t>not carried across</w:t>
            </w:r>
          </w:p>
        </w:tc>
      </w:tr>
      <w:tr>
        <w:tc>
          <w:tcPr>
            <w:tcW w:type="dxa" w:w="2952"/>
          </w:tcPr>
          <w:p>
            <w:pPr>
              <w:spacing w:after="20"/>
            </w:pPr>
            <w:r/>
            <w:r>
              <w:rPr>
                <w:sz w:val="15"/>
              </w:rPr>
              <w:t>common/annotations/validator</w:t>
            </w:r>
          </w:p>
        </w:tc>
        <w:tc>
          <w:tcPr>
            <w:tcW w:type="dxa" w:w="720"/>
          </w:tcPr>
          <w:p>
            <w:pPr>
              <w:spacing w:after="20"/>
            </w:pPr>
            <w:r/>
            <w:r>
              <w:rPr>
                <w:sz w:val="15"/>
              </w:rPr>
              <w:t>1</w:t>
            </w:r>
          </w:p>
        </w:tc>
        <w:tc>
          <w:tcPr>
            <w:tcW w:type="dxa" w:w="605"/>
          </w:tcPr>
          <w:p>
            <w:pPr>
              <w:spacing w:after="20"/>
            </w:pPr>
            <w:r/>
            <w:r>
              <w:rPr>
                <w:sz w:val="15"/>
              </w:rPr>
              <w:t>0</w:t>
            </w:r>
          </w:p>
        </w:tc>
        <w:tc>
          <w:tcPr>
            <w:tcW w:type="dxa" w:w="648"/>
          </w:tcPr>
          <w:p>
            <w:pPr>
              <w:spacing w:after="20"/>
            </w:pPr>
            <w:r/>
            <w:r>
              <w:rPr>
                <w:sz w:val="15"/>
              </w:rPr>
              <w:t>0</w:t>
            </w:r>
          </w:p>
        </w:tc>
        <w:tc>
          <w:tcPr>
            <w:tcW w:type="dxa" w:w="605"/>
          </w:tcPr>
          <w:p>
            <w:pPr>
              <w:spacing w:after="20"/>
            </w:pPr>
            <w:r/>
            <w:r>
              <w:rPr>
                <w:sz w:val="15"/>
              </w:rPr>
              <w:t>0</w:t>
            </w:r>
          </w:p>
        </w:tc>
        <w:tc>
          <w:tcPr>
            <w:tcW w:type="dxa" w:w="648"/>
          </w:tcPr>
          <w:p>
            <w:pPr>
              <w:spacing w:after="20"/>
            </w:pPr>
            <w:r/>
            <w:r>
              <w:rPr>
                <w:sz w:val="15"/>
              </w:rPr>
              <w:t>0</w:t>
            </w:r>
          </w:p>
        </w:tc>
        <w:tc>
          <w:tcPr>
            <w:tcW w:type="dxa" w:w="720"/>
          </w:tcPr>
          <w:p>
            <w:pPr>
              <w:spacing w:after="20"/>
            </w:pPr>
            <w:r/>
            <w:r>
              <w:rPr>
                <w:sz w:val="15"/>
              </w:rPr>
              <w:t>0</w:t>
            </w:r>
          </w:p>
        </w:tc>
        <w:tc>
          <w:tcPr>
            <w:tcW w:type="dxa" w:w="1800"/>
          </w:tcPr>
          <w:p>
            <w:pPr>
              <w:spacing w:after="20"/>
            </w:pPr>
            <w:r/>
            <w:r>
              <w:rPr>
                <w:sz w:val="15"/>
              </w:rPr>
              <w:t>not carried across</w:t>
            </w:r>
          </w:p>
        </w:tc>
      </w:tr>
      <w:tr>
        <w:tc>
          <w:tcPr>
            <w:tcW w:type="dxa" w:w="2952"/>
          </w:tcPr>
          <w:p>
            <w:pPr>
              <w:spacing w:after="20"/>
            </w:pPr>
            <w:r/>
            <w:r>
              <w:rPr>
                <w:sz w:val="15"/>
              </w:rPr>
              <w:t>common/converters</w:t>
            </w:r>
          </w:p>
        </w:tc>
        <w:tc>
          <w:tcPr>
            <w:tcW w:type="dxa" w:w="720"/>
          </w:tcPr>
          <w:p>
            <w:pPr>
              <w:spacing w:after="20"/>
            </w:pPr>
            <w:r/>
            <w:r>
              <w:rPr>
                <w:sz w:val="15"/>
              </w:rPr>
              <w:t>2</w:t>
            </w:r>
          </w:p>
        </w:tc>
        <w:tc>
          <w:tcPr>
            <w:tcW w:type="dxa" w:w="605"/>
          </w:tcPr>
          <w:p>
            <w:pPr>
              <w:spacing w:after="20"/>
            </w:pPr>
            <w:r/>
            <w:r>
              <w:rPr>
                <w:sz w:val="15"/>
              </w:rPr>
              <w:t>0</w:t>
            </w:r>
          </w:p>
        </w:tc>
        <w:tc>
          <w:tcPr>
            <w:tcW w:type="dxa" w:w="648"/>
          </w:tcPr>
          <w:p>
            <w:pPr>
              <w:spacing w:after="20"/>
            </w:pPr>
            <w:r/>
            <w:r>
              <w:rPr>
                <w:sz w:val="15"/>
              </w:rPr>
              <w:t>0</w:t>
            </w:r>
          </w:p>
        </w:tc>
        <w:tc>
          <w:tcPr>
            <w:tcW w:type="dxa" w:w="605"/>
          </w:tcPr>
          <w:p>
            <w:pPr>
              <w:spacing w:after="20"/>
            </w:pPr>
            <w:r/>
            <w:r>
              <w:rPr>
                <w:sz w:val="15"/>
              </w:rPr>
              <w:t>2</w:t>
            </w:r>
          </w:p>
        </w:tc>
        <w:tc>
          <w:tcPr>
            <w:tcW w:type="dxa" w:w="648"/>
          </w:tcPr>
          <w:p>
            <w:pPr>
              <w:spacing w:after="20"/>
            </w:pPr>
            <w:r/>
            <w:r>
              <w:rPr>
                <w:sz w:val="15"/>
              </w:rPr>
              <w:t>0</w:t>
            </w:r>
          </w:p>
        </w:tc>
        <w:tc>
          <w:tcPr>
            <w:tcW w:type="dxa" w:w="720"/>
          </w:tcPr>
          <w:p>
            <w:pPr>
              <w:spacing w:after="20"/>
            </w:pPr>
            <w:r/>
            <w:r>
              <w:rPr>
                <w:sz w:val="15"/>
              </w:rPr>
              <w:t>2</w:t>
            </w:r>
          </w:p>
        </w:tc>
        <w:tc>
          <w:tcPr>
            <w:tcW w:type="dxa" w:w="1800"/>
          </w:tcPr>
          <w:p>
            <w:pPr>
              <w:spacing w:after="20"/>
            </w:pPr>
            <w:r/>
            <w:r>
              <w:rPr>
                <w:sz w:val="15"/>
              </w:rPr>
            </w:r>
          </w:p>
        </w:tc>
      </w:tr>
      <w:tr>
        <w:tc>
          <w:tcPr>
            <w:tcW w:type="dxa" w:w="2952"/>
          </w:tcPr>
          <w:p>
            <w:pPr>
              <w:spacing w:after="20"/>
            </w:pPr>
            <w:r/>
            <w:r>
              <w:rPr>
                <w:sz w:val="15"/>
              </w:rPr>
              <w:t>common/exceptions</w:t>
            </w:r>
          </w:p>
        </w:tc>
        <w:tc>
          <w:tcPr>
            <w:tcW w:type="dxa" w:w="720"/>
          </w:tcPr>
          <w:p>
            <w:pPr>
              <w:spacing w:after="20"/>
            </w:pPr>
            <w:r/>
            <w:r>
              <w:rPr>
                <w:sz w:val="15"/>
              </w:rPr>
              <w:t>1</w:t>
            </w:r>
          </w:p>
        </w:tc>
        <w:tc>
          <w:tcPr>
            <w:tcW w:type="dxa" w:w="605"/>
          </w:tcPr>
          <w:p>
            <w:pPr>
              <w:spacing w:after="20"/>
            </w:pPr>
            <w:r/>
            <w:r>
              <w:rPr>
                <w:sz w:val="15"/>
              </w:rPr>
              <w:t>1</w:t>
            </w:r>
          </w:p>
        </w:tc>
        <w:tc>
          <w:tcPr>
            <w:tcW w:type="dxa" w:w="648"/>
          </w:tcPr>
          <w:p>
            <w:pPr>
              <w:spacing w:after="20"/>
            </w:pPr>
            <w:r/>
            <w:r>
              <w:rPr>
                <w:sz w:val="15"/>
              </w:rPr>
              <w:t>1</w:t>
            </w:r>
          </w:p>
        </w:tc>
        <w:tc>
          <w:tcPr>
            <w:tcW w:type="dxa" w:w="605"/>
          </w:tcPr>
          <w:p>
            <w:pPr>
              <w:spacing w:after="20"/>
            </w:pPr>
            <w:r/>
            <w:r>
              <w:rPr>
                <w:sz w:val="15"/>
              </w:rPr>
              <w:t>1</w:t>
            </w:r>
          </w:p>
        </w:tc>
        <w:tc>
          <w:tcPr>
            <w:tcW w:type="dxa" w:w="648"/>
          </w:tcPr>
          <w:p>
            <w:pPr>
              <w:spacing w:after="20"/>
            </w:pPr>
            <w:r/>
            <w:r>
              <w:rPr>
                <w:sz w:val="15"/>
              </w:rPr>
              <w:t>0</w:t>
            </w:r>
          </w:p>
        </w:tc>
        <w:tc>
          <w:tcPr>
            <w:tcW w:type="dxa" w:w="720"/>
          </w:tcPr>
          <w:p>
            <w:pPr>
              <w:spacing w:after="20"/>
            </w:pPr>
            <w:r/>
            <w:r>
              <w:rPr>
                <w:sz w:val="15"/>
              </w:rPr>
              <w:t>3</w:t>
            </w:r>
          </w:p>
        </w:tc>
        <w:tc>
          <w:tcPr>
            <w:tcW w:type="dxa" w:w="1800"/>
          </w:tcPr>
          <w:p>
            <w:pPr>
              <w:spacing w:after="20"/>
            </w:pPr>
            <w:r/>
            <w:r>
              <w:rPr>
                <w:sz w:val="15"/>
              </w:rPr>
              <w:t>duplicated per service</w:t>
            </w:r>
          </w:p>
        </w:tc>
      </w:tr>
      <w:tr>
        <w:tc>
          <w:tcPr>
            <w:tcW w:type="dxa" w:w="2952"/>
          </w:tcPr>
          <w:p>
            <w:pPr>
              <w:spacing w:after="20"/>
            </w:pPr>
            <w:r/>
            <w:r>
              <w:rPr>
                <w:sz w:val="15"/>
              </w:rPr>
              <w:t>common/services</w:t>
            </w:r>
          </w:p>
        </w:tc>
        <w:tc>
          <w:tcPr>
            <w:tcW w:type="dxa" w:w="720"/>
          </w:tcPr>
          <w:p>
            <w:pPr>
              <w:spacing w:after="20"/>
            </w:pPr>
            <w:r/>
            <w:r>
              <w:rPr>
                <w:sz w:val="15"/>
              </w:rPr>
              <w:t>1</w:t>
            </w:r>
          </w:p>
        </w:tc>
        <w:tc>
          <w:tcPr>
            <w:tcW w:type="dxa" w:w="605"/>
          </w:tcPr>
          <w:p>
            <w:pPr>
              <w:spacing w:after="20"/>
            </w:pPr>
            <w:r/>
            <w:r>
              <w:rPr>
                <w:sz w:val="15"/>
              </w:rPr>
              <w:t>0</w:t>
            </w:r>
          </w:p>
        </w:tc>
        <w:tc>
          <w:tcPr>
            <w:tcW w:type="dxa" w:w="648"/>
          </w:tcPr>
          <w:p>
            <w:pPr>
              <w:spacing w:after="20"/>
            </w:pPr>
            <w:r/>
            <w:r>
              <w:rPr>
                <w:sz w:val="15"/>
              </w:rPr>
              <w:t>1</w:t>
            </w:r>
          </w:p>
        </w:tc>
        <w:tc>
          <w:tcPr>
            <w:tcW w:type="dxa" w:w="605"/>
          </w:tcPr>
          <w:p>
            <w:pPr>
              <w:spacing w:after="20"/>
            </w:pPr>
            <w:r/>
            <w:r>
              <w:rPr>
                <w:sz w:val="15"/>
              </w:rPr>
              <w:t>0</w:t>
            </w:r>
          </w:p>
        </w:tc>
        <w:tc>
          <w:tcPr>
            <w:tcW w:type="dxa" w:w="648"/>
          </w:tcPr>
          <w:p>
            <w:pPr>
              <w:spacing w:after="20"/>
            </w:pPr>
            <w:r/>
            <w:r>
              <w:rPr>
                <w:sz w:val="15"/>
              </w:rPr>
              <w:t>0</w:t>
            </w:r>
          </w:p>
        </w:tc>
        <w:tc>
          <w:tcPr>
            <w:tcW w:type="dxa" w:w="720"/>
          </w:tcPr>
          <w:p>
            <w:pPr>
              <w:spacing w:after="20"/>
            </w:pPr>
            <w:r/>
            <w:r>
              <w:rPr>
                <w:sz w:val="15"/>
              </w:rPr>
              <w:t>1</w:t>
            </w:r>
          </w:p>
        </w:tc>
        <w:tc>
          <w:tcPr>
            <w:tcW w:type="dxa" w:w="1800"/>
          </w:tcPr>
          <w:p>
            <w:pPr>
              <w:spacing w:after="20"/>
            </w:pPr>
            <w:r/>
            <w:r>
              <w:rPr>
                <w:sz w:val="15"/>
              </w:rPr>
            </w:r>
          </w:p>
        </w:tc>
      </w:tr>
      <w:tr>
        <w:tc>
          <w:tcPr>
            <w:tcW w:type="dxa" w:w="2952"/>
          </w:tcPr>
          <w:p>
            <w:pPr>
              <w:spacing w:after="20"/>
            </w:pPr>
            <w:r/>
            <w:r>
              <w:rPr>
                <w:sz w:val="15"/>
              </w:rPr>
              <w:t>common/services/impl</w:t>
            </w:r>
          </w:p>
        </w:tc>
        <w:tc>
          <w:tcPr>
            <w:tcW w:type="dxa" w:w="720"/>
          </w:tcPr>
          <w:p>
            <w:pPr>
              <w:spacing w:after="20"/>
            </w:pPr>
            <w:r/>
            <w:r>
              <w:rPr>
                <w:sz w:val="15"/>
              </w:rPr>
              <w:t>1</w:t>
            </w:r>
          </w:p>
        </w:tc>
        <w:tc>
          <w:tcPr>
            <w:tcW w:type="dxa" w:w="605"/>
          </w:tcPr>
          <w:p>
            <w:pPr>
              <w:spacing w:after="20"/>
            </w:pPr>
            <w:r/>
            <w:r>
              <w:rPr>
                <w:sz w:val="15"/>
              </w:rPr>
              <w:t>0</w:t>
            </w:r>
          </w:p>
        </w:tc>
        <w:tc>
          <w:tcPr>
            <w:tcW w:type="dxa" w:w="648"/>
          </w:tcPr>
          <w:p>
            <w:pPr>
              <w:spacing w:after="20"/>
            </w:pPr>
            <w:r/>
            <w:r>
              <w:rPr>
                <w:sz w:val="15"/>
              </w:rPr>
              <w:t>1</w:t>
            </w:r>
          </w:p>
        </w:tc>
        <w:tc>
          <w:tcPr>
            <w:tcW w:type="dxa" w:w="605"/>
          </w:tcPr>
          <w:p>
            <w:pPr>
              <w:spacing w:after="20"/>
            </w:pPr>
            <w:r/>
            <w:r>
              <w:rPr>
                <w:sz w:val="15"/>
              </w:rPr>
              <w:t>0</w:t>
            </w:r>
          </w:p>
        </w:tc>
        <w:tc>
          <w:tcPr>
            <w:tcW w:type="dxa" w:w="648"/>
          </w:tcPr>
          <w:p>
            <w:pPr>
              <w:spacing w:after="20"/>
            </w:pPr>
            <w:r/>
            <w:r>
              <w:rPr>
                <w:sz w:val="15"/>
              </w:rPr>
              <w:t>0</w:t>
            </w:r>
          </w:p>
        </w:tc>
        <w:tc>
          <w:tcPr>
            <w:tcW w:type="dxa" w:w="720"/>
          </w:tcPr>
          <w:p>
            <w:pPr>
              <w:spacing w:after="20"/>
            </w:pPr>
            <w:r/>
            <w:r>
              <w:rPr>
                <w:sz w:val="15"/>
              </w:rPr>
              <w:t>1</w:t>
            </w:r>
          </w:p>
        </w:tc>
        <w:tc>
          <w:tcPr>
            <w:tcW w:type="dxa" w:w="1800"/>
          </w:tcPr>
          <w:p>
            <w:pPr>
              <w:spacing w:after="20"/>
            </w:pPr>
            <w:r/>
            <w:r>
              <w:rPr>
                <w:sz w:val="15"/>
              </w:rPr>
            </w:r>
          </w:p>
        </w:tc>
      </w:tr>
      <w:tr>
        <w:tc>
          <w:tcPr>
            <w:tcW w:type="dxa" w:w="2952"/>
          </w:tcPr>
          <w:p>
            <w:pPr>
              <w:spacing w:after="20"/>
            </w:pPr>
            <w:r/>
            <w:r>
              <w:rPr>
                <w:sz w:val="15"/>
              </w:rPr>
              <w:t>config</w:t>
            </w:r>
          </w:p>
        </w:tc>
        <w:tc>
          <w:tcPr>
            <w:tcW w:type="dxa" w:w="720"/>
          </w:tcPr>
          <w:p>
            <w:pPr>
              <w:spacing w:after="20"/>
            </w:pPr>
            <w:r/>
            <w:r>
              <w:rPr>
                <w:sz w:val="15"/>
              </w:rPr>
              <w:t>10</w:t>
            </w:r>
          </w:p>
        </w:tc>
        <w:tc>
          <w:tcPr>
            <w:tcW w:type="dxa" w:w="605"/>
          </w:tcPr>
          <w:p>
            <w:pPr>
              <w:spacing w:after="20"/>
            </w:pPr>
            <w:r/>
            <w:r>
              <w:rPr>
                <w:sz w:val="15"/>
              </w:rPr>
              <w:t>8</w:t>
            </w:r>
          </w:p>
        </w:tc>
        <w:tc>
          <w:tcPr>
            <w:tcW w:type="dxa" w:w="648"/>
          </w:tcPr>
          <w:p>
            <w:pPr>
              <w:spacing w:after="20"/>
            </w:pPr>
            <w:r/>
            <w:r>
              <w:rPr>
                <w:sz w:val="15"/>
              </w:rPr>
              <w:t>9</w:t>
            </w:r>
          </w:p>
        </w:tc>
        <w:tc>
          <w:tcPr>
            <w:tcW w:type="dxa" w:w="605"/>
          </w:tcPr>
          <w:p>
            <w:pPr>
              <w:spacing w:after="20"/>
            </w:pPr>
            <w:r/>
            <w:r>
              <w:rPr>
                <w:sz w:val="15"/>
              </w:rPr>
              <w:t>9</w:t>
            </w:r>
          </w:p>
        </w:tc>
        <w:tc>
          <w:tcPr>
            <w:tcW w:type="dxa" w:w="648"/>
          </w:tcPr>
          <w:p>
            <w:pPr>
              <w:spacing w:after="20"/>
            </w:pPr>
            <w:r/>
            <w:r>
              <w:rPr>
                <w:sz w:val="15"/>
              </w:rPr>
              <w:t>0</w:t>
            </w:r>
          </w:p>
        </w:tc>
        <w:tc>
          <w:tcPr>
            <w:tcW w:type="dxa" w:w="720"/>
          </w:tcPr>
          <w:p>
            <w:pPr>
              <w:spacing w:after="20"/>
            </w:pPr>
            <w:r/>
            <w:r>
              <w:rPr>
                <w:sz w:val="15"/>
              </w:rPr>
              <w:t>26</w:t>
            </w:r>
          </w:p>
        </w:tc>
        <w:tc>
          <w:tcPr>
            <w:tcW w:type="dxa" w:w="1800"/>
          </w:tcPr>
          <w:p>
            <w:pPr>
              <w:spacing w:after="20"/>
            </w:pPr>
            <w:r/>
            <w:r>
              <w:rPr>
                <w:sz w:val="15"/>
              </w:rPr>
              <w:t>duplicated per service</w:t>
            </w:r>
          </w:p>
        </w:tc>
      </w:tr>
      <w:tr>
        <w:tc>
          <w:tcPr>
            <w:tcW w:type="dxa" w:w="2952"/>
          </w:tcPr>
          <w:p>
            <w:pPr>
              <w:spacing w:after="20"/>
            </w:pPr>
            <w:r/>
            <w:r>
              <w:rPr>
                <w:sz w:val="15"/>
              </w:rPr>
              <w:t>config/exceptions</w:t>
            </w:r>
          </w:p>
        </w:tc>
        <w:tc>
          <w:tcPr>
            <w:tcW w:type="dxa" w:w="720"/>
          </w:tcPr>
          <w:p>
            <w:pPr>
              <w:spacing w:after="20"/>
            </w:pPr>
            <w:r/>
            <w:r>
              <w:rPr>
                <w:sz w:val="15"/>
              </w:rPr>
              <w:t>1</w:t>
            </w:r>
          </w:p>
        </w:tc>
        <w:tc>
          <w:tcPr>
            <w:tcW w:type="dxa" w:w="605"/>
          </w:tcPr>
          <w:p>
            <w:pPr>
              <w:spacing w:after="20"/>
            </w:pPr>
            <w:r/>
            <w:r>
              <w:rPr>
                <w:sz w:val="15"/>
              </w:rPr>
              <w:t>1</w:t>
            </w:r>
          </w:p>
        </w:tc>
        <w:tc>
          <w:tcPr>
            <w:tcW w:type="dxa" w:w="648"/>
          </w:tcPr>
          <w:p>
            <w:pPr>
              <w:spacing w:after="20"/>
            </w:pPr>
            <w:r/>
            <w:r>
              <w:rPr>
                <w:sz w:val="15"/>
              </w:rPr>
              <w:t>1</w:t>
            </w:r>
          </w:p>
        </w:tc>
        <w:tc>
          <w:tcPr>
            <w:tcW w:type="dxa" w:w="605"/>
          </w:tcPr>
          <w:p>
            <w:pPr>
              <w:spacing w:after="20"/>
            </w:pPr>
            <w:r/>
            <w:r>
              <w:rPr>
                <w:sz w:val="15"/>
              </w:rPr>
              <w:t>1</w:t>
            </w:r>
          </w:p>
        </w:tc>
        <w:tc>
          <w:tcPr>
            <w:tcW w:type="dxa" w:w="648"/>
          </w:tcPr>
          <w:p>
            <w:pPr>
              <w:spacing w:after="20"/>
            </w:pPr>
            <w:r/>
            <w:r>
              <w:rPr>
                <w:sz w:val="15"/>
              </w:rPr>
              <w:t>0</w:t>
            </w:r>
          </w:p>
        </w:tc>
        <w:tc>
          <w:tcPr>
            <w:tcW w:type="dxa" w:w="720"/>
          </w:tcPr>
          <w:p>
            <w:pPr>
              <w:spacing w:after="20"/>
            </w:pPr>
            <w:r/>
            <w:r>
              <w:rPr>
                <w:sz w:val="15"/>
              </w:rPr>
              <w:t>3</w:t>
            </w:r>
          </w:p>
        </w:tc>
        <w:tc>
          <w:tcPr>
            <w:tcW w:type="dxa" w:w="1800"/>
          </w:tcPr>
          <w:p>
            <w:pPr>
              <w:spacing w:after="20"/>
            </w:pPr>
            <w:r/>
            <w:r>
              <w:rPr>
                <w:sz w:val="15"/>
              </w:rPr>
              <w:t>duplicated per service</w:t>
            </w:r>
          </w:p>
        </w:tc>
      </w:tr>
      <w:tr>
        <w:tc>
          <w:tcPr>
            <w:tcW w:type="dxa" w:w="2952"/>
          </w:tcPr>
          <w:p>
            <w:pPr>
              <w:spacing w:after="20"/>
            </w:pPr>
            <w:r/>
            <w:r>
              <w:rPr>
                <w:sz w:val="15"/>
              </w:rPr>
              <w:t>integration</w:t>
            </w:r>
          </w:p>
        </w:tc>
        <w:tc>
          <w:tcPr>
            <w:tcW w:type="dxa" w:w="720"/>
          </w:tcPr>
          <w:p>
            <w:pPr>
              <w:spacing w:after="20"/>
            </w:pPr>
            <w:r/>
            <w:r>
              <w:rPr>
                <w:sz w:val="15"/>
              </w:rPr>
              <w:t>0</w:t>
            </w:r>
          </w:p>
        </w:tc>
        <w:tc>
          <w:tcPr>
            <w:tcW w:type="dxa" w:w="605"/>
          </w:tcPr>
          <w:p>
            <w:pPr>
              <w:spacing w:after="20"/>
            </w:pPr>
            <w:r/>
            <w:r>
              <w:rPr>
                <w:sz w:val="15"/>
              </w:rPr>
              <w:t>0</w:t>
            </w:r>
          </w:p>
        </w:tc>
        <w:tc>
          <w:tcPr>
            <w:tcW w:type="dxa" w:w="648"/>
          </w:tcPr>
          <w:p>
            <w:pPr>
              <w:spacing w:after="20"/>
            </w:pPr>
            <w:r/>
            <w:r>
              <w:rPr>
                <w:sz w:val="15"/>
              </w:rPr>
              <w:t>0</w:t>
            </w:r>
          </w:p>
        </w:tc>
        <w:tc>
          <w:tcPr>
            <w:tcW w:type="dxa" w:w="605"/>
          </w:tcPr>
          <w:p>
            <w:pPr>
              <w:spacing w:after="20"/>
            </w:pPr>
            <w:r/>
            <w:r>
              <w:rPr>
                <w:sz w:val="15"/>
              </w:rPr>
              <w:t>4</w:t>
            </w:r>
          </w:p>
        </w:tc>
        <w:tc>
          <w:tcPr>
            <w:tcW w:type="dxa" w:w="648"/>
          </w:tcPr>
          <w:p>
            <w:pPr>
              <w:spacing w:after="20"/>
            </w:pPr>
            <w:r/>
            <w:r>
              <w:rPr>
                <w:sz w:val="15"/>
              </w:rPr>
              <w:t>0</w:t>
            </w:r>
          </w:p>
        </w:tc>
        <w:tc>
          <w:tcPr>
            <w:tcW w:type="dxa" w:w="720"/>
          </w:tcPr>
          <w:p>
            <w:pPr>
              <w:spacing w:after="20"/>
            </w:pPr>
            <w:r/>
            <w:r>
              <w:rPr>
                <w:sz w:val="15"/>
              </w:rPr>
              <w:t>4</w:t>
            </w:r>
          </w:p>
        </w:tc>
        <w:tc>
          <w:tcPr>
            <w:tcW w:type="dxa" w:w="1800"/>
          </w:tcPr>
          <w:p>
            <w:pPr>
              <w:spacing w:after="20"/>
            </w:pPr>
            <w:r/>
            <w:r>
              <w:rPr>
                <w:sz w:val="15"/>
              </w:rPr>
              <w:t>new</w:t>
            </w:r>
          </w:p>
        </w:tc>
      </w:tr>
      <w:tr>
        <w:tc>
          <w:tcPr>
            <w:tcW w:type="dxa" w:w="2952"/>
          </w:tcPr>
          <w:p>
            <w:pPr>
              <w:spacing w:after="20"/>
            </w:pPr>
            <w:r/>
            <w:r>
              <w:rPr>
                <w:sz w:val="15"/>
              </w:rPr>
              <w:t>jpa</w:t>
            </w:r>
          </w:p>
        </w:tc>
        <w:tc>
          <w:tcPr>
            <w:tcW w:type="dxa" w:w="720"/>
          </w:tcPr>
          <w:p>
            <w:pPr>
              <w:spacing w:after="20"/>
            </w:pPr>
            <w:r/>
            <w:r>
              <w:rPr>
                <w:sz w:val="15"/>
              </w:rPr>
              <w:t>2</w:t>
            </w:r>
          </w:p>
        </w:tc>
        <w:tc>
          <w:tcPr>
            <w:tcW w:type="dxa" w:w="605"/>
          </w:tcPr>
          <w:p>
            <w:pPr>
              <w:spacing w:after="20"/>
            </w:pPr>
            <w:r/>
            <w:r>
              <w:rPr>
                <w:sz w:val="15"/>
              </w:rPr>
              <w:t>2</w:t>
            </w:r>
          </w:p>
        </w:tc>
        <w:tc>
          <w:tcPr>
            <w:tcW w:type="dxa" w:w="648"/>
          </w:tcPr>
          <w:p>
            <w:pPr>
              <w:spacing w:after="20"/>
            </w:pPr>
            <w:r/>
            <w:r>
              <w:rPr>
                <w:sz w:val="15"/>
              </w:rPr>
              <w:t>2</w:t>
            </w:r>
          </w:p>
        </w:tc>
        <w:tc>
          <w:tcPr>
            <w:tcW w:type="dxa" w:w="605"/>
          </w:tcPr>
          <w:p>
            <w:pPr>
              <w:spacing w:after="20"/>
            </w:pPr>
            <w:r/>
            <w:r>
              <w:rPr>
                <w:sz w:val="15"/>
              </w:rPr>
              <w:t>2</w:t>
            </w:r>
          </w:p>
        </w:tc>
        <w:tc>
          <w:tcPr>
            <w:tcW w:type="dxa" w:w="648"/>
          </w:tcPr>
          <w:p>
            <w:pPr>
              <w:spacing w:after="20"/>
            </w:pPr>
            <w:r/>
            <w:r>
              <w:rPr>
                <w:sz w:val="15"/>
              </w:rPr>
              <w:t>0</w:t>
            </w:r>
          </w:p>
        </w:tc>
        <w:tc>
          <w:tcPr>
            <w:tcW w:type="dxa" w:w="720"/>
          </w:tcPr>
          <w:p>
            <w:pPr>
              <w:spacing w:after="20"/>
            </w:pPr>
            <w:r/>
            <w:r>
              <w:rPr>
                <w:sz w:val="15"/>
              </w:rPr>
              <w:t>6</w:t>
            </w:r>
          </w:p>
        </w:tc>
        <w:tc>
          <w:tcPr>
            <w:tcW w:type="dxa" w:w="1800"/>
          </w:tcPr>
          <w:p>
            <w:pPr>
              <w:spacing w:after="20"/>
            </w:pPr>
            <w:r/>
            <w:r>
              <w:rPr>
                <w:sz w:val="15"/>
              </w:rPr>
              <w:t>duplicated per service</w:t>
            </w:r>
          </w:p>
        </w:tc>
      </w:tr>
      <w:tr>
        <w:tc>
          <w:tcPr>
            <w:tcW w:type="dxa" w:w="2952"/>
          </w:tcPr>
          <w:p>
            <w:pPr>
              <w:spacing w:after="20"/>
            </w:pPr>
            <w:r/>
            <w:r>
              <w:rPr>
                <w:sz w:val="15"/>
              </w:rPr>
              <w:t>jpa/entities</w:t>
            </w:r>
          </w:p>
        </w:tc>
        <w:tc>
          <w:tcPr>
            <w:tcW w:type="dxa" w:w="720"/>
          </w:tcPr>
          <w:p>
            <w:pPr>
              <w:spacing w:after="20"/>
            </w:pPr>
            <w:r/>
            <w:r>
              <w:rPr>
                <w:sz w:val="15"/>
              </w:rPr>
              <w:t>23</w:t>
            </w:r>
          </w:p>
        </w:tc>
        <w:tc>
          <w:tcPr>
            <w:tcW w:type="dxa" w:w="605"/>
          </w:tcPr>
          <w:p>
            <w:pPr>
              <w:spacing w:after="20"/>
            </w:pPr>
            <w:r/>
            <w:r>
              <w:rPr>
                <w:sz w:val="15"/>
              </w:rPr>
              <w:t>7</w:t>
            </w:r>
          </w:p>
        </w:tc>
        <w:tc>
          <w:tcPr>
            <w:tcW w:type="dxa" w:w="648"/>
          </w:tcPr>
          <w:p>
            <w:pPr>
              <w:spacing w:after="20"/>
            </w:pPr>
            <w:r/>
            <w:r>
              <w:rPr>
                <w:sz w:val="15"/>
              </w:rPr>
              <w:t>7</w:t>
            </w:r>
          </w:p>
        </w:tc>
        <w:tc>
          <w:tcPr>
            <w:tcW w:type="dxa" w:w="605"/>
          </w:tcPr>
          <w:p>
            <w:pPr>
              <w:spacing w:after="20"/>
            </w:pPr>
            <w:r/>
            <w:r>
              <w:rPr>
                <w:sz w:val="15"/>
              </w:rPr>
              <w:t>9</w:t>
            </w:r>
          </w:p>
        </w:tc>
        <w:tc>
          <w:tcPr>
            <w:tcW w:type="dxa" w:w="648"/>
          </w:tcPr>
          <w:p>
            <w:pPr>
              <w:spacing w:after="20"/>
            </w:pPr>
            <w:r/>
            <w:r>
              <w:rPr>
                <w:sz w:val="15"/>
              </w:rPr>
              <w:t>0</w:t>
            </w:r>
          </w:p>
        </w:tc>
        <w:tc>
          <w:tcPr>
            <w:tcW w:type="dxa" w:w="720"/>
          </w:tcPr>
          <w:p>
            <w:pPr>
              <w:spacing w:after="20"/>
            </w:pPr>
            <w:r/>
            <w:r>
              <w:rPr>
                <w:sz w:val="15"/>
              </w:rPr>
              <w:t>23</w:t>
            </w:r>
          </w:p>
        </w:tc>
        <w:tc>
          <w:tcPr>
            <w:tcW w:type="dxa" w:w="1800"/>
          </w:tcPr>
          <w:p>
            <w:pPr>
              <w:spacing w:after="20"/>
            </w:pPr>
            <w:r/>
            <w:r>
              <w:rPr>
                <w:sz w:val="15"/>
              </w:rPr>
            </w:r>
          </w:p>
        </w:tc>
      </w:tr>
      <w:tr>
        <w:tc>
          <w:tcPr>
            <w:tcW w:type="dxa" w:w="2952"/>
          </w:tcPr>
          <w:p>
            <w:pPr>
              <w:spacing w:after="20"/>
            </w:pPr>
            <w:r/>
            <w:r>
              <w:rPr>
                <w:sz w:val="15"/>
              </w:rPr>
              <w:t>jpa/exceptions</w:t>
            </w:r>
          </w:p>
        </w:tc>
        <w:tc>
          <w:tcPr>
            <w:tcW w:type="dxa" w:w="720"/>
          </w:tcPr>
          <w:p>
            <w:pPr>
              <w:spacing w:after="20"/>
            </w:pPr>
            <w:r/>
            <w:r>
              <w:rPr>
                <w:sz w:val="15"/>
              </w:rPr>
              <w:t>2</w:t>
            </w:r>
          </w:p>
        </w:tc>
        <w:tc>
          <w:tcPr>
            <w:tcW w:type="dxa" w:w="605"/>
          </w:tcPr>
          <w:p>
            <w:pPr>
              <w:spacing w:after="20"/>
            </w:pPr>
            <w:r/>
            <w:r>
              <w:rPr>
                <w:sz w:val="15"/>
              </w:rPr>
              <w:t>0</w:t>
            </w:r>
          </w:p>
        </w:tc>
        <w:tc>
          <w:tcPr>
            <w:tcW w:type="dxa" w:w="648"/>
          </w:tcPr>
          <w:p>
            <w:pPr>
              <w:spacing w:after="20"/>
            </w:pPr>
            <w:r/>
            <w:r>
              <w:rPr>
                <w:sz w:val="15"/>
              </w:rPr>
              <w:t>2</w:t>
            </w:r>
          </w:p>
        </w:tc>
        <w:tc>
          <w:tcPr>
            <w:tcW w:type="dxa" w:w="605"/>
          </w:tcPr>
          <w:p>
            <w:pPr>
              <w:spacing w:after="20"/>
            </w:pPr>
            <w:r/>
            <w:r>
              <w:rPr>
                <w:sz w:val="15"/>
              </w:rPr>
              <w:t>0</w:t>
            </w:r>
          </w:p>
        </w:tc>
        <w:tc>
          <w:tcPr>
            <w:tcW w:type="dxa" w:w="648"/>
          </w:tcPr>
          <w:p>
            <w:pPr>
              <w:spacing w:after="20"/>
            </w:pPr>
            <w:r/>
            <w:r>
              <w:rPr>
                <w:sz w:val="15"/>
              </w:rPr>
              <w:t>0</w:t>
            </w:r>
          </w:p>
        </w:tc>
        <w:tc>
          <w:tcPr>
            <w:tcW w:type="dxa" w:w="720"/>
          </w:tcPr>
          <w:p>
            <w:pPr>
              <w:spacing w:after="20"/>
            </w:pPr>
            <w:r/>
            <w:r>
              <w:rPr>
                <w:sz w:val="15"/>
              </w:rPr>
              <w:t>2</w:t>
            </w:r>
          </w:p>
        </w:tc>
        <w:tc>
          <w:tcPr>
            <w:tcW w:type="dxa" w:w="1800"/>
          </w:tcPr>
          <w:p>
            <w:pPr>
              <w:spacing w:after="20"/>
            </w:pPr>
            <w:r/>
            <w:r>
              <w:rPr>
                <w:sz w:val="15"/>
              </w:rPr>
            </w:r>
          </w:p>
        </w:tc>
      </w:tr>
      <w:tr>
        <w:tc>
          <w:tcPr>
            <w:tcW w:type="dxa" w:w="2952"/>
          </w:tcPr>
          <w:p>
            <w:pPr>
              <w:spacing w:after="20"/>
            </w:pPr>
            <w:r/>
            <w:r>
              <w:rPr>
                <w:sz w:val="15"/>
              </w:rPr>
              <w:t>jpa/repositories</w:t>
            </w:r>
          </w:p>
        </w:tc>
        <w:tc>
          <w:tcPr>
            <w:tcW w:type="dxa" w:w="720"/>
          </w:tcPr>
          <w:p>
            <w:pPr>
              <w:spacing w:after="20"/>
            </w:pPr>
            <w:r/>
            <w:r>
              <w:rPr>
                <w:sz w:val="15"/>
              </w:rPr>
              <w:t>23</w:t>
            </w:r>
          </w:p>
        </w:tc>
        <w:tc>
          <w:tcPr>
            <w:tcW w:type="dxa" w:w="605"/>
          </w:tcPr>
          <w:p>
            <w:pPr>
              <w:spacing w:after="20"/>
            </w:pPr>
            <w:r/>
            <w:r>
              <w:rPr>
                <w:sz w:val="15"/>
              </w:rPr>
              <w:t>7</w:t>
            </w:r>
          </w:p>
        </w:tc>
        <w:tc>
          <w:tcPr>
            <w:tcW w:type="dxa" w:w="648"/>
          </w:tcPr>
          <w:p>
            <w:pPr>
              <w:spacing w:after="20"/>
            </w:pPr>
            <w:r/>
            <w:r>
              <w:rPr>
                <w:sz w:val="15"/>
              </w:rPr>
              <w:t>7</w:t>
            </w:r>
          </w:p>
        </w:tc>
        <w:tc>
          <w:tcPr>
            <w:tcW w:type="dxa" w:w="605"/>
          </w:tcPr>
          <w:p>
            <w:pPr>
              <w:spacing w:after="20"/>
            </w:pPr>
            <w:r/>
            <w:r>
              <w:rPr>
                <w:sz w:val="15"/>
              </w:rPr>
              <w:t>9</w:t>
            </w:r>
          </w:p>
        </w:tc>
        <w:tc>
          <w:tcPr>
            <w:tcW w:type="dxa" w:w="648"/>
          </w:tcPr>
          <w:p>
            <w:pPr>
              <w:spacing w:after="20"/>
            </w:pPr>
            <w:r/>
            <w:r>
              <w:rPr>
                <w:sz w:val="15"/>
              </w:rPr>
              <w:t>0</w:t>
            </w:r>
          </w:p>
        </w:tc>
        <w:tc>
          <w:tcPr>
            <w:tcW w:type="dxa" w:w="720"/>
          </w:tcPr>
          <w:p>
            <w:pPr>
              <w:spacing w:after="20"/>
            </w:pPr>
            <w:r/>
            <w:r>
              <w:rPr>
                <w:sz w:val="15"/>
              </w:rPr>
              <w:t>23</w:t>
            </w:r>
          </w:p>
        </w:tc>
        <w:tc>
          <w:tcPr>
            <w:tcW w:type="dxa" w:w="1800"/>
          </w:tcPr>
          <w:p>
            <w:pPr>
              <w:spacing w:after="20"/>
            </w:pPr>
            <w:r/>
            <w:r>
              <w:rPr>
                <w:sz w:val="15"/>
              </w:rPr>
            </w:r>
          </w:p>
        </w:tc>
      </w:tr>
      <w:tr>
        <w:tc>
          <w:tcPr>
            <w:tcW w:type="dxa" w:w="2952"/>
          </w:tcPr>
          <w:p>
            <w:pPr>
              <w:spacing w:after="20"/>
            </w:pPr>
            <w:r/>
            <w:r>
              <w:rPr>
                <w:sz w:val="15"/>
              </w:rPr>
              <w:t>jpa/services</w:t>
            </w:r>
          </w:p>
        </w:tc>
        <w:tc>
          <w:tcPr>
            <w:tcW w:type="dxa" w:w="720"/>
          </w:tcPr>
          <w:p>
            <w:pPr>
              <w:spacing w:after="20"/>
            </w:pPr>
            <w:r/>
            <w:r>
              <w:rPr>
                <w:sz w:val="15"/>
              </w:rPr>
              <w:t>7</w:t>
            </w:r>
          </w:p>
        </w:tc>
        <w:tc>
          <w:tcPr>
            <w:tcW w:type="dxa" w:w="605"/>
          </w:tcPr>
          <w:p>
            <w:pPr>
              <w:spacing w:after="20"/>
            </w:pPr>
            <w:r/>
            <w:r>
              <w:rPr>
                <w:sz w:val="15"/>
              </w:rPr>
              <w:t>6</w:t>
            </w:r>
          </w:p>
        </w:tc>
        <w:tc>
          <w:tcPr>
            <w:tcW w:type="dxa" w:w="648"/>
          </w:tcPr>
          <w:p>
            <w:pPr>
              <w:spacing w:after="20"/>
            </w:pPr>
            <w:r/>
            <w:r>
              <w:rPr>
                <w:sz w:val="15"/>
              </w:rPr>
              <w:t>5</w:t>
            </w:r>
          </w:p>
        </w:tc>
        <w:tc>
          <w:tcPr>
            <w:tcW w:type="dxa" w:w="605"/>
          </w:tcPr>
          <w:p>
            <w:pPr>
              <w:spacing w:after="20"/>
            </w:pPr>
            <w:r/>
            <w:r>
              <w:rPr>
                <w:sz w:val="15"/>
              </w:rPr>
              <w:t>6</w:t>
            </w:r>
          </w:p>
        </w:tc>
        <w:tc>
          <w:tcPr>
            <w:tcW w:type="dxa" w:w="648"/>
          </w:tcPr>
          <w:p>
            <w:pPr>
              <w:spacing w:after="20"/>
            </w:pPr>
            <w:r/>
            <w:r>
              <w:rPr>
                <w:sz w:val="15"/>
              </w:rPr>
              <w:t>0</w:t>
            </w:r>
          </w:p>
        </w:tc>
        <w:tc>
          <w:tcPr>
            <w:tcW w:type="dxa" w:w="720"/>
          </w:tcPr>
          <w:p>
            <w:pPr>
              <w:spacing w:after="20"/>
            </w:pPr>
            <w:r/>
            <w:r>
              <w:rPr>
                <w:sz w:val="15"/>
              </w:rPr>
              <w:t>17</w:t>
            </w:r>
          </w:p>
        </w:tc>
        <w:tc>
          <w:tcPr>
            <w:tcW w:type="dxa" w:w="1800"/>
          </w:tcPr>
          <w:p>
            <w:pPr>
              <w:spacing w:after="20"/>
            </w:pPr>
            <w:r/>
            <w:r>
              <w:rPr>
                <w:sz w:val="15"/>
              </w:rPr>
              <w:t>duplicated per service</w:t>
            </w:r>
          </w:p>
        </w:tc>
      </w:tr>
      <w:tr>
        <w:tc>
          <w:tcPr>
            <w:tcW w:type="dxa" w:w="2952"/>
          </w:tcPr>
          <w:p>
            <w:pPr>
              <w:spacing w:after="20"/>
            </w:pPr>
            <w:r/>
            <w:r>
              <w:rPr>
                <w:sz w:val="15"/>
              </w:rPr>
              <w:t>jpa/services/contracts</w:t>
            </w:r>
          </w:p>
        </w:tc>
        <w:tc>
          <w:tcPr>
            <w:tcW w:type="dxa" w:w="720"/>
          </w:tcPr>
          <w:p>
            <w:pPr>
              <w:spacing w:after="20"/>
            </w:pPr>
            <w:r/>
            <w:r>
              <w:rPr>
                <w:sz w:val="15"/>
              </w:rPr>
              <w:t>5</w:t>
            </w:r>
          </w:p>
        </w:tc>
        <w:tc>
          <w:tcPr>
            <w:tcW w:type="dxa" w:w="605"/>
          </w:tcPr>
          <w:p>
            <w:pPr>
              <w:spacing w:after="20"/>
            </w:pPr>
            <w:r/>
            <w:r>
              <w:rPr>
                <w:sz w:val="15"/>
              </w:rPr>
              <w:t>1</w:t>
            </w:r>
          </w:p>
        </w:tc>
        <w:tc>
          <w:tcPr>
            <w:tcW w:type="dxa" w:w="648"/>
          </w:tcPr>
          <w:p>
            <w:pPr>
              <w:spacing w:after="20"/>
            </w:pPr>
            <w:r/>
            <w:r>
              <w:rPr>
                <w:sz w:val="15"/>
              </w:rPr>
              <w:t>2</w:t>
            </w:r>
          </w:p>
        </w:tc>
        <w:tc>
          <w:tcPr>
            <w:tcW w:type="dxa" w:w="605"/>
          </w:tcPr>
          <w:p>
            <w:pPr>
              <w:spacing w:after="20"/>
            </w:pPr>
            <w:r/>
            <w:r>
              <w:rPr>
                <w:sz w:val="15"/>
              </w:rPr>
              <w:t>6</w:t>
            </w:r>
          </w:p>
        </w:tc>
        <w:tc>
          <w:tcPr>
            <w:tcW w:type="dxa" w:w="648"/>
          </w:tcPr>
          <w:p>
            <w:pPr>
              <w:spacing w:after="20"/>
            </w:pPr>
            <w:r/>
            <w:r>
              <w:rPr>
                <w:sz w:val="15"/>
              </w:rPr>
              <w:t>0</w:t>
            </w:r>
          </w:p>
        </w:tc>
        <w:tc>
          <w:tcPr>
            <w:tcW w:type="dxa" w:w="720"/>
          </w:tcPr>
          <w:p>
            <w:pPr>
              <w:spacing w:after="20"/>
            </w:pPr>
            <w:r/>
            <w:r>
              <w:rPr>
                <w:sz w:val="15"/>
              </w:rPr>
              <w:t>9</w:t>
            </w:r>
          </w:p>
        </w:tc>
        <w:tc>
          <w:tcPr>
            <w:tcW w:type="dxa" w:w="1800"/>
          </w:tcPr>
          <w:p>
            <w:pPr>
              <w:spacing w:after="20"/>
            </w:pPr>
            <w:r/>
            <w:r>
              <w:rPr>
                <w:sz w:val="15"/>
              </w:rPr>
              <w:t>duplicated per service</w:t>
            </w:r>
          </w:p>
        </w:tc>
      </w:tr>
      <w:tr>
        <w:tc>
          <w:tcPr>
            <w:tcW w:type="dxa" w:w="2952"/>
          </w:tcPr>
          <w:p>
            <w:pPr>
              <w:spacing w:after="20"/>
            </w:pPr>
            <w:r/>
            <w:r>
              <w:rPr>
                <w:sz w:val="15"/>
              </w:rPr>
              <w:t>jpa/services/contracts/impl</w:t>
            </w:r>
          </w:p>
        </w:tc>
        <w:tc>
          <w:tcPr>
            <w:tcW w:type="dxa" w:w="720"/>
          </w:tcPr>
          <w:p>
            <w:pPr>
              <w:spacing w:after="20"/>
            </w:pPr>
            <w:r/>
            <w:r>
              <w:rPr>
                <w:sz w:val="15"/>
              </w:rPr>
              <w:t>5</w:t>
            </w:r>
          </w:p>
        </w:tc>
        <w:tc>
          <w:tcPr>
            <w:tcW w:type="dxa" w:w="605"/>
          </w:tcPr>
          <w:p>
            <w:pPr>
              <w:spacing w:after="20"/>
            </w:pPr>
            <w:r/>
            <w:r>
              <w:rPr>
                <w:sz w:val="15"/>
              </w:rPr>
              <w:t>1</w:t>
            </w:r>
          </w:p>
        </w:tc>
        <w:tc>
          <w:tcPr>
            <w:tcW w:type="dxa" w:w="648"/>
          </w:tcPr>
          <w:p>
            <w:pPr>
              <w:spacing w:after="20"/>
            </w:pPr>
            <w:r/>
            <w:r>
              <w:rPr>
                <w:sz w:val="15"/>
              </w:rPr>
              <w:t>2</w:t>
            </w:r>
          </w:p>
        </w:tc>
        <w:tc>
          <w:tcPr>
            <w:tcW w:type="dxa" w:w="605"/>
          </w:tcPr>
          <w:p>
            <w:pPr>
              <w:spacing w:after="20"/>
            </w:pPr>
            <w:r/>
            <w:r>
              <w:rPr>
                <w:sz w:val="15"/>
              </w:rPr>
              <w:t>5</w:t>
            </w:r>
          </w:p>
        </w:tc>
        <w:tc>
          <w:tcPr>
            <w:tcW w:type="dxa" w:w="648"/>
          </w:tcPr>
          <w:p>
            <w:pPr>
              <w:spacing w:after="20"/>
            </w:pPr>
            <w:r/>
            <w:r>
              <w:rPr>
                <w:sz w:val="15"/>
              </w:rPr>
              <w:t>0</w:t>
            </w:r>
          </w:p>
        </w:tc>
        <w:tc>
          <w:tcPr>
            <w:tcW w:type="dxa" w:w="720"/>
          </w:tcPr>
          <w:p>
            <w:pPr>
              <w:spacing w:after="20"/>
            </w:pPr>
            <w:r/>
            <w:r>
              <w:rPr>
                <w:sz w:val="15"/>
              </w:rPr>
              <w:t>8</w:t>
            </w:r>
          </w:p>
        </w:tc>
        <w:tc>
          <w:tcPr>
            <w:tcW w:type="dxa" w:w="1800"/>
          </w:tcPr>
          <w:p>
            <w:pPr>
              <w:spacing w:after="20"/>
            </w:pPr>
            <w:r/>
            <w:r>
              <w:rPr>
                <w:sz w:val="15"/>
              </w:rPr>
              <w:t>duplicated per service</w:t>
            </w:r>
          </w:p>
        </w:tc>
      </w:tr>
      <w:tr>
        <w:tc>
          <w:tcPr>
            <w:tcW w:type="dxa" w:w="2952"/>
          </w:tcPr>
          <w:p>
            <w:pPr>
              <w:spacing w:after="20"/>
            </w:pPr>
            <w:r/>
            <w:r>
              <w:rPr>
                <w:sz w:val="15"/>
              </w:rPr>
              <w:t>jpa/services/conversion</w:t>
            </w:r>
          </w:p>
        </w:tc>
        <w:tc>
          <w:tcPr>
            <w:tcW w:type="dxa" w:w="720"/>
          </w:tcPr>
          <w:p>
            <w:pPr>
              <w:spacing w:after="20"/>
            </w:pPr>
            <w:r/>
            <w:r>
              <w:rPr>
                <w:sz w:val="15"/>
              </w:rPr>
              <w:t>16</w:t>
            </w:r>
          </w:p>
        </w:tc>
        <w:tc>
          <w:tcPr>
            <w:tcW w:type="dxa" w:w="605"/>
          </w:tcPr>
          <w:p>
            <w:pPr>
              <w:spacing w:after="20"/>
            </w:pPr>
            <w:r/>
            <w:r>
              <w:rPr>
                <w:sz w:val="15"/>
              </w:rPr>
              <w:t>5</w:t>
            </w:r>
          </w:p>
        </w:tc>
        <w:tc>
          <w:tcPr>
            <w:tcW w:type="dxa" w:w="648"/>
          </w:tcPr>
          <w:p>
            <w:pPr>
              <w:spacing w:after="20"/>
            </w:pPr>
            <w:r/>
            <w:r>
              <w:rPr>
                <w:sz w:val="15"/>
              </w:rPr>
              <w:t>5</w:t>
            </w:r>
          </w:p>
        </w:tc>
        <w:tc>
          <w:tcPr>
            <w:tcW w:type="dxa" w:w="605"/>
          </w:tcPr>
          <w:p>
            <w:pPr>
              <w:spacing w:after="20"/>
            </w:pPr>
            <w:r/>
            <w:r>
              <w:rPr>
                <w:sz w:val="15"/>
              </w:rPr>
              <w:t>6</w:t>
            </w:r>
          </w:p>
        </w:tc>
        <w:tc>
          <w:tcPr>
            <w:tcW w:type="dxa" w:w="648"/>
          </w:tcPr>
          <w:p>
            <w:pPr>
              <w:spacing w:after="20"/>
            </w:pPr>
            <w:r/>
            <w:r>
              <w:rPr>
                <w:sz w:val="15"/>
              </w:rPr>
              <w:t>0</w:t>
            </w:r>
          </w:p>
        </w:tc>
        <w:tc>
          <w:tcPr>
            <w:tcW w:type="dxa" w:w="720"/>
          </w:tcPr>
          <w:p>
            <w:pPr>
              <w:spacing w:after="20"/>
            </w:pPr>
            <w:r/>
            <w:r>
              <w:rPr>
                <w:sz w:val="15"/>
              </w:rPr>
              <w:t>16</w:t>
            </w:r>
          </w:p>
        </w:tc>
        <w:tc>
          <w:tcPr>
            <w:tcW w:type="dxa" w:w="1800"/>
          </w:tcPr>
          <w:p>
            <w:pPr>
              <w:spacing w:after="20"/>
            </w:pPr>
            <w:r/>
            <w:r>
              <w:rPr>
                <w:sz w:val="15"/>
              </w:rPr>
            </w:r>
          </w:p>
        </w:tc>
      </w:tr>
      <w:tr>
        <w:tc>
          <w:tcPr>
            <w:tcW w:type="dxa" w:w="2952"/>
          </w:tcPr>
          <w:p>
            <w:pPr>
              <w:spacing w:after="20"/>
            </w:pPr>
            <w:r/>
            <w:r>
              <w:rPr>
                <w:sz w:val="15"/>
              </w:rPr>
              <w:t>jpa/services/conversion/impl</w:t>
            </w:r>
          </w:p>
        </w:tc>
        <w:tc>
          <w:tcPr>
            <w:tcW w:type="dxa" w:w="720"/>
          </w:tcPr>
          <w:p>
            <w:pPr>
              <w:spacing w:after="20"/>
            </w:pPr>
            <w:r/>
            <w:r>
              <w:rPr>
                <w:sz w:val="15"/>
              </w:rPr>
              <w:t>16</w:t>
            </w:r>
          </w:p>
        </w:tc>
        <w:tc>
          <w:tcPr>
            <w:tcW w:type="dxa" w:w="605"/>
          </w:tcPr>
          <w:p>
            <w:pPr>
              <w:spacing w:after="20"/>
            </w:pPr>
            <w:r/>
            <w:r>
              <w:rPr>
                <w:sz w:val="15"/>
              </w:rPr>
              <w:t>5</w:t>
            </w:r>
          </w:p>
        </w:tc>
        <w:tc>
          <w:tcPr>
            <w:tcW w:type="dxa" w:w="648"/>
          </w:tcPr>
          <w:p>
            <w:pPr>
              <w:spacing w:after="20"/>
            </w:pPr>
            <w:r/>
            <w:r>
              <w:rPr>
                <w:sz w:val="15"/>
              </w:rPr>
              <w:t>5</w:t>
            </w:r>
          </w:p>
        </w:tc>
        <w:tc>
          <w:tcPr>
            <w:tcW w:type="dxa" w:w="605"/>
          </w:tcPr>
          <w:p>
            <w:pPr>
              <w:spacing w:after="20"/>
            </w:pPr>
            <w:r/>
            <w:r>
              <w:rPr>
                <w:sz w:val="15"/>
              </w:rPr>
              <w:t>6</w:t>
            </w:r>
          </w:p>
        </w:tc>
        <w:tc>
          <w:tcPr>
            <w:tcW w:type="dxa" w:w="648"/>
          </w:tcPr>
          <w:p>
            <w:pPr>
              <w:spacing w:after="20"/>
            </w:pPr>
            <w:r/>
            <w:r>
              <w:rPr>
                <w:sz w:val="15"/>
              </w:rPr>
              <w:t>0</w:t>
            </w:r>
          </w:p>
        </w:tc>
        <w:tc>
          <w:tcPr>
            <w:tcW w:type="dxa" w:w="720"/>
          </w:tcPr>
          <w:p>
            <w:pPr>
              <w:spacing w:after="20"/>
            </w:pPr>
            <w:r/>
            <w:r>
              <w:rPr>
                <w:sz w:val="15"/>
              </w:rPr>
              <w:t>16</w:t>
            </w:r>
          </w:p>
        </w:tc>
        <w:tc>
          <w:tcPr>
            <w:tcW w:type="dxa" w:w="1800"/>
          </w:tcPr>
          <w:p>
            <w:pPr>
              <w:spacing w:after="20"/>
            </w:pPr>
            <w:r/>
            <w:r>
              <w:rPr>
                <w:sz w:val="15"/>
              </w:rPr>
            </w:r>
          </w:p>
        </w:tc>
      </w:tr>
      <w:tr>
        <w:tc>
          <w:tcPr>
            <w:tcW w:type="dxa" w:w="2952"/>
          </w:tcPr>
          <w:p>
            <w:pPr>
              <w:spacing w:after="20"/>
            </w:pPr>
            <w:r/>
            <w:r>
              <w:rPr>
                <w:sz w:val="15"/>
              </w:rPr>
              <w:t>jpa/services/crud</w:t>
            </w:r>
          </w:p>
        </w:tc>
        <w:tc>
          <w:tcPr>
            <w:tcW w:type="dxa" w:w="720"/>
          </w:tcPr>
          <w:p>
            <w:pPr>
              <w:spacing w:after="20"/>
            </w:pPr>
            <w:r/>
            <w:r>
              <w:rPr>
                <w:sz w:val="15"/>
              </w:rPr>
              <w:t>15</w:t>
            </w:r>
          </w:p>
        </w:tc>
        <w:tc>
          <w:tcPr>
            <w:tcW w:type="dxa" w:w="605"/>
          </w:tcPr>
          <w:p>
            <w:pPr>
              <w:spacing w:after="20"/>
            </w:pPr>
            <w:r/>
            <w:r>
              <w:rPr>
                <w:sz w:val="15"/>
              </w:rPr>
              <w:t>5</w:t>
            </w:r>
          </w:p>
        </w:tc>
        <w:tc>
          <w:tcPr>
            <w:tcW w:type="dxa" w:w="648"/>
          </w:tcPr>
          <w:p>
            <w:pPr>
              <w:spacing w:after="20"/>
            </w:pPr>
            <w:r/>
            <w:r>
              <w:rPr>
                <w:sz w:val="15"/>
              </w:rPr>
              <w:t>6</w:t>
            </w:r>
          </w:p>
        </w:tc>
        <w:tc>
          <w:tcPr>
            <w:tcW w:type="dxa" w:w="605"/>
          </w:tcPr>
          <w:p>
            <w:pPr>
              <w:spacing w:after="20"/>
            </w:pPr>
            <w:r/>
            <w:r>
              <w:rPr>
                <w:sz w:val="15"/>
              </w:rPr>
              <w:t>6</w:t>
            </w:r>
          </w:p>
        </w:tc>
        <w:tc>
          <w:tcPr>
            <w:tcW w:type="dxa" w:w="648"/>
          </w:tcPr>
          <w:p>
            <w:pPr>
              <w:spacing w:after="20"/>
            </w:pPr>
            <w:r/>
            <w:r>
              <w:rPr>
                <w:sz w:val="15"/>
              </w:rPr>
              <w:t>0</w:t>
            </w:r>
          </w:p>
        </w:tc>
        <w:tc>
          <w:tcPr>
            <w:tcW w:type="dxa" w:w="720"/>
          </w:tcPr>
          <w:p>
            <w:pPr>
              <w:spacing w:after="20"/>
            </w:pPr>
            <w:r/>
            <w:r>
              <w:rPr>
                <w:sz w:val="15"/>
              </w:rPr>
              <w:t>17</w:t>
            </w:r>
          </w:p>
        </w:tc>
        <w:tc>
          <w:tcPr>
            <w:tcW w:type="dxa" w:w="1800"/>
          </w:tcPr>
          <w:p>
            <w:pPr>
              <w:spacing w:after="20"/>
            </w:pPr>
            <w:r/>
            <w:r>
              <w:rPr>
                <w:sz w:val="15"/>
              </w:rPr>
              <w:t>duplicated per service</w:t>
            </w:r>
          </w:p>
        </w:tc>
      </w:tr>
      <w:tr>
        <w:tc>
          <w:tcPr>
            <w:tcW w:type="dxa" w:w="2952"/>
          </w:tcPr>
          <w:p>
            <w:pPr>
              <w:spacing w:after="20"/>
            </w:pPr>
            <w:r/>
            <w:r>
              <w:rPr>
                <w:sz w:val="15"/>
              </w:rPr>
              <w:t>jpa/services/crud/impl</w:t>
            </w:r>
          </w:p>
        </w:tc>
        <w:tc>
          <w:tcPr>
            <w:tcW w:type="dxa" w:w="720"/>
          </w:tcPr>
          <w:p>
            <w:pPr>
              <w:spacing w:after="20"/>
            </w:pPr>
            <w:r/>
            <w:r>
              <w:rPr>
                <w:sz w:val="15"/>
              </w:rPr>
              <w:t>14</w:t>
            </w:r>
          </w:p>
        </w:tc>
        <w:tc>
          <w:tcPr>
            <w:tcW w:type="dxa" w:w="605"/>
          </w:tcPr>
          <w:p>
            <w:pPr>
              <w:spacing w:after="20"/>
            </w:pPr>
            <w:r/>
            <w:r>
              <w:rPr>
                <w:sz w:val="15"/>
              </w:rPr>
              <w:t>4</w:t>
            </w:r>
          </w:p>
        </w:tc>
        <w:tc>
          <w:tcPr>
            <w:tcW w:type="dxa" w:w="648"/>
          </w:tcPr>
          <w:p>
            <w:pPr>
              <w:spacing w:after="20"/>
            </w:pPr>
            <w:r/>
            <w:r>
              <w:rPr>
                <w:sz w:val="15"/>
              </w:rPr>
              <w:t>5</w:t>
            </w:r>
          </w:p>
        </w:tc>
        <w:tc>
          <w:tcPr>
            <w:tcW w:type="dxa" w:w="605"/>
          </w:tcPr>
          <w:p>
            <w:pPr>
              <w:spacing w:after="20"/>
            </w:pPr>
            <w:r/>
            <w:r>
              <w:rPr>
                <w:sz w:val="15"/>
              </w:rPr>
              <w:t>5</w:t>
            </w:r>
          </w:p>
        </w:tc>
        <w:tc>
          <w:tcPr>
            <w:tcW w:type="dxa" w:w="648"/>
          </w:tcPr>
          <w:p>
            <w:pPr>
              <w:spacing w:after="20"/>
            </w:pPr>
            <w:r/>
            <w:r>
              <w:rPr>
                <w:sz w:val="15"/>
              </w:rPr>
              <w:t>0</w:t>
            </w:r>
          </w:p>
        </w:tc>
        <w:tc>
          <w:tcPr>
            <w:tcW w:type="dxa" w:w="720"/>
          </w:tcPr>
          <w:p>
            <w:pPr>
              <w:spacing w:after="20"/>
            </w:pPr>
            <w:r/>
            <w:r>
              <w:rPr>
                <w:sz w:val="15"/>
              </w:rPr>
              <w:t>14</w:t>
            </w:r>
          </w:p>
        </w:tc>
        <w:tc>
          <w:tcPr>
            <w:tcW w:type="dxa" w:w="1800"/>
          </w:tcPr>
          <w:p>
            <w:pPr>
              <w:spacing w:after="20"/>
            </w:pPr>
            <w:r/>
            <w:r>
              <w:rPr>
                <w:sz w:val="15"/>
              </w:rPr>
            </w:r>
          </w:p>
        </w:tc>
      </w:tr>
      <w:tr>
        <w:tc>
          <w:tcPr>
            <w:tcW w:type="dxa" w:w="2952"/>
          </w:tcPr>
          <w:p>
            <w:pPr>
              <w:spacing w:after="20"/>
            </w:pPr>
            <w:r/>
            <w:r>
              <w:rPr>
                <w:sz w:val="15"/>
              </w:rPr>
              <w:t>jpa/services/impl</w:t>
            </w:r>
          </w:p>
        </w:tc>
        <w:tc>
          <w:tcPr>
            <w:tcW w:type="dxa" w:w="720"/>
          </w:tcPr>
          <w:p>
            <w:pPr>
              <w:spacing w:after="20"/>
            </w:pPr>
            <w:r/>
            <w:r>
              <w:rPr>
                <w:sz w:val="15"/>
              </w:rPr>
              <w:t>2</w:t>
            </w:r>
          </w:p>
        </w:tc>
        <w:tc>
          <w:tcPr>
            <w:tcW w:type="dxa" w:w="605"/>
          </w:tcPr>
          <w:p>
            <w:pPr>
              <w:spacing w:after="20"/>
            </w:pPr>
            <w:r/>
            <w:r>
              <w:rPr>
                <w:sz w:val="15"/>
              </w:rPr>
              <w:t>2</w:t>
            </w:r>
          </w:p>
        </w:tc>
        <w:tc>
          <w:tcPr>
            <w:tcW w:type="dxa" w:w="648"/>
          </w:tcPr>
          <w:p>
            <w:pPr>
              <w:spacing w:after="20"/>
            </w:pPr>
            <w:r/>
            <w:r>
              <w:rPr>
                <w:sz w:val="15"/>
              </w:rPr>
              <w:t>1</w:t>
            </w:r>
          </w:p>
        </w:tc>
        <w:tc>
          <w:tcPr>
            <w:tcW w:type="dxa" w:w="605"/>
          </w:tcPr>
          <w:p>
            <w:pPr>
              <w:spacing w:after="20"/>
            </w:pPr>
            <w:r/>
            <w:r>
              <w:rPr>
                <w:sz w:val="15"/>
              </w:rPr>
              <w:t>1</w:t>
            </w:r>
          </w:p>
        </w:tc>
        <w:tc>
          <w:tcPr>
            <w:tcW w:type="dxa" w:w="648"/>
          </w:tcPr>
          <w:p>
            <w:pPr>
              <w:spacing w:after="20"/>
            </w:pPr>
            <w:r/>
            <w:r>
              <w:rPr>
                <w:sz w:val="15"/>
              </w:rPr>
              <w:t>0</w:t>
            </w:r>
          </w:p>
        </w:tc>
        <w:tc>
          <w:tcPr>
            <w:tcW w:type="dxa" w:w="720"/>
          </w:tcPr>
          <w:p>
            <w:pPr>
              <w:spacing w:after="20"/>
            </w:pPr>
            <w:r/>
            <w:r>
              <w:rPr>
                <w:sz w:val="15"/>
              </w:rPr>
              <w:t>4</w:t>
            </w:r>
          </w:p>
        </w:tc>
        <w:tc>
          <w:tcPr>
            <w:tcW w:type="dxa" w:w="1800"/>
          </w:tcPr>
          <w:p>
            <w:pPr>
              <w:spacing w:after="20"/>
            </w:pPr>
            <w:r/>
            <w:r>
              <w:rPr>
                <w:sz w:val="15"/>
              </w:rPr>
              <w:t>duplicated per service</w:t>
            </w:r>
          </w:p>
        </w:tc>
      </w:tr>
      <w:tr>
        <w:tc>
          <w:tcPr>
            <w:tcW w:type="dxa" w:w="2952"/>
          </w:tcPr>
          <w:p>
            <w:pPr>
              <w:spacing w:after="20"/>
            </w:pPr>
            <w:r/>
            <w:r>
              <w:rPr>
                <w:sz w:val="15"/>
              </w:rPr>
              <w:t>jpa/services/patch</w:t>
            </w:r>
          </w:p>
        </w:tc>
        <w:tc>
          <w:tcPr>
            <w:tcW w:type="dxa" w:w="720"/>
          </w:tcPr>
          <w:p>
            <w:pPr>
              <w:spacing w:after="20"/>
            </w:pPr>
            <w:r/>
            <w:r>
              <w:rPr>
                <w:sz w:val="15"/>
              </w:rPr>
              <w:t>14</w:t>
            </w:r>
          </w:p>
        </w:tc>
        <w:tc>
          <w:tcPr>
            <w:tcW w:type="dxa" w:w="605"/>
          </w:tcPr>
          <w:p>
            <w:pPr>
              <w:spacing w:after="20"/>
            </w:pPr>
            <w:r/>
            <w:r>
              <w:rPr>
                <w:sz w:val="15"/>
              </w:rPr>
              <w:t>4</w:t>
            </w:r>
          </w:p>
        </w:tc>
        <w:tc>
          <w:tcPr>
            <w:tcW w:type="dxa" w:w="648"/>
          </w:tcPr>
          <w:p>
            <w:pPr>
              <w:spacing w:after="20"/>
            </w:pPr>
            <w:r/>
            <w:r>
              <w:rPr>
                <w:sz w:val="15"/>
              </w:rPr>
              <w:t>5</w:t>
            </w:r>
          </w:p>
        </w:tc>
        <w:tc>
          <w:tcPr>
            <w:tcW w:type="dxa" w:w="605"/>
          </w:tcPr>
          <w:p>
            <w:pPr>
              <w:spacing w:after="20"/>
            </w:pPr>
            <w:r/>
            <w:r>
              <w:rPr>
                <w:sz w:val="15"/>
              </w:rPr>
              <w:t>5</w:t>
            </w:r>
          </w:p>
        </w:tc>
        <w:tc>
          <w:tcPr>
            <w:tcW w:type="dxa" w:w="648"/>
          </w:tcPr>
          <w:p>
            <w:pPr>
              <w:spacing w:after="20"/>
            </w:pPr>
            <w:r/>
            <w:r>
              <w:rPr>
                <w:sz w:val="15"/>
              </w:rPr>
              <w:t>0</w:t>
            </w:r>
          </w:p>
        </w:tc>
        <w:tc>
          <w:tcPr>
            <w:tcW w:type="dxa" w:w="720"/>
          </w:tcPr>
          <w:p>
            <w:pPr>
              <w:spacing w:after="20"/>
            </w:pPr>
            <w:r/>
            <w:r>
              <w:rPr>
                <w:sz w:val="15"/>
              </w:rPr>
              <w:t>14</w:t>
            </w:r>
          </w:p>
        </w:tc>
        <w:tc>
          <w:tcPr>
            <w:tcW w:type="dxa" w:w="1800"/>
          </w:tcPr>
          <w:p>
            <w:pPr>
              <w:spacing w:after="20"/>
            </w:pPr>
            <w:r/>
            <w:r>
              <w:rPr>
                <w:sz w:val="15"/>
              </w:rPr>
            </w:r>
          </w:p>
        </w:tc>
      </w:tr>
      <w:tr>
        <w:tc>
          <w:tcPr>
            <w:tcW w:type="dxa" w:w="2952"/>
          </w:tcPr>
          <w:p>
            <w:pPr>
              <w:spacing w:after="20"/>
            </w:pPr>
            <w:r/>
            <w:r>
              <w:rPr>
                <w:sz w:val="15"/>
              </w:rPr>
              <w:t>jpa/services/patch/impl</w:t>
            </w:r>
          </w:p>
        </w:tc>
        <w:tc>
          <w:tcPr>
            <w:tcW w:type="dxa" w:w="720"/>
          </w:tcPr>
          <w:p>
            <w:pPr>
              <w:spacing w:after="20"/>
            </w:pPr>
            <w:r/>
            <w:r>
              <w:rPr>
                <w:sz w:val="15"/>
              </w:rPr>
              <w:t>14</w:t>
            </w:r>
          </w:p>
        </w:tc>
        <w:tc>
          <w:tcPr>
            <w:tcW w:type="dxa" w:w="605"/>
          </w:tcPr>
          <w:p>
            <w:pPr>
              <w:spacing w:after="20"/>
            </w:pPr>
            <w:r/>
            <w:r>
              <w:rPr>
                <w:sz w:val="15"/>
              </w:rPr>
              <w:t>4</w:t>
            </w:r>
          </w:p>
        </w:tc>
        <w:tc>
          <w:tcPr>
            <w:tcW w:type="dxa" w:w="648"/>
          </w:tcPr>
          <w:p>
            <w:pPr>
              <w:spacing w:after="20"/>
            </w:pPr>
            <w:r/>
            <w:r>
              <w:rPr>
                <w:sz w:val="15"/>
              </w:rPr>
              <w:t>5</w:t>
            </w:r>
          </w:p>
        </w:tc>
        <w:tc>
          <w:tcPr>
            <w:tcW w:type="dxa" w:w="605"/>
          </w:tcPr>
          <w:p>
            <w:pPr>
              <w:spacing w:after="20"/>
            </w:pPr>
            <w:r/>
            <w:r>
              <w:rPr>
                <w:sz w:val="15"/>
              </w:rPr>
              <w:t>5</w:t>
            </w:r>
          </w:p>
        </w:tc>
        <w:tc>
          <w:tcPr>
            <w:tcW w:type="dxa" w:w="648"/>
          </w:tcPr>
          <w:p>
            <w:pPr>
              <w:spacing w:after="20"/>
            </w:pPr>
            <w:r/>
            <w:r>
              <w:rPr>
                <w:sz w:val="15"/>
              </w:rPr>
              <w:t>0</w:t>
            </w:r>
          </w:p>
        </w:tc>
        <w:tc>
          <w:tcPr>
            <w:tcW w:type="dxa" w:w="720"/>
          </w:tcPr>
          <w:p>
            <w:pPr>
              <w:spacing w:after="20"/>
            </w:pPr>
            <w:r/>
            <w:r>
              <w:rPr>
                <w:sz w:val="15"/>
              </w:rPr>
              <w:t>14</w:t>
            </w:r>
          </w:p>
        </w:tc>
        <w:tc>
          <w:tcPr>
            <w:tcW w:type="dxa" w:w="1800"/>
          </w:tcPr>
          <w:p>
            <w:pPr>
              <w:spacing w:after="20"/>
            </w:pPr>
            <w:r/>
            <w:r>
              <w:rPr>
                <w:sz w:val="15"/>
              </w:rPr>
            </w:r>
          </w:p>
        </w:tc>
      </w:tr>
      <w:tr>
        <w:tc>
          <w:tcPr>
            <w:tcW w:type="dxa" w:w="2952"/>
          </w:tcPr>
          <w:p>
            <w:pPr>
              <w:spacing w:after="20"/>
            </w:pPr>
            <w:r/>
            <w:r>
              <w:rPr>
                <w:sz w:val="15"/>
              </w:rPr>
              <w:t>jpa/services/predicates</w:t>
            </w:r>
          </w:p>
        </w:tc>
        <w:tc>
          <w:tcPr>
            <w:tcW w:type="dxa" w:w="720"/>
          </w:tcPr>
          <w:p>
            <w:pPr>
              <w:spacing w:after="20"/>
            </w:pPr>
            <w:r/>
            <w:r>
              <w:rPr>
                <w:sz w:val="15"/>
              </w:rPr>
              <w:t>15</w:t>
            </w:r>
          </w:p>
        </w:tc>
        <w:tc>
          <w:tcPr>
            <w:tcW w:type="dxa" w:w="605"/>
          </w:tcPr>
          <w:p>
            <w:pPr>
              <w:spacing w:after="20"/>
            </w:pPr>
            <w:r/>
            <w:r>
              <w:rPr>
                <w:sz w:val="15"/>
              </w:rPr>
              <w:t>5</w:t>
            </w:r>
          </w:p>
        </w:tc>
        <w:tc>
          <w:tcPr>
            <w:tcW w:type="dxa" w:w="648"/>
          </w:tcPr>
          <w:p>
            <w:pPr>
              <w:spacing w:after="20"/>
            </w:pPr>
            <w:r/>
            <w:r>
              <w:rPr>
                <w:sz w:val="15"/>
              </w:rPr>
              <w:t>5</w:t>
            </w:r>
          </w:p>
        </w:tc>
        <w:tc>
          <w:tcPr>
            <w:tcW w:type="dxa" w:w="605"/>
          </w:tcPr>
          <w:p>
            <w:pPr>
              <w:spacing w:after="20"/>
            </w:pPr>
            <w:r/>
            <w:r>
              <w:rPr>
                <w:sz w:val="15"/>
              </w:rPr>
              <w:t>5</w:t>
            </w:r>
          </w:p>
        </w:tc>
        <w:tc>
          <w:tcPr>
            <w:tcW w:type="dxa" w:w="648"/>
          </w:tcPr>
          <w:p>
            <w:pPr>
              <w:spacing w:after="20"/>
            </w:pPr>
            <w:r/>
            <w:r>
              <w:rPr>
                <w:sz w:val="15"/>
              </w:rPr>
              <w:t>0</w:t>
            </w:r>
          </w:p>
        </w:tc>
        <w:tc>
          <w:tcPr>
            <w:tcW w:type="dxa" w:w="720"/>
          </w:tcPr>
          <w:p>
            <w:pPr>
              <w:spacing w:after="20"/>
            </w:pPr>
            <w:r/>
            <w:r>
              <w:rPr>
                <w:sz w:val="15"/>
              </w:rPr>
              <w:t>15</w:t>
            </w:r>
          </w:p>
        </w:tc>
        <w:tc>
          <w:tcPr>
            <w:tcW w:type="dxa" w:w="1800"/>
          </w:tcPr>
          <w:p>
            <w:pPr>
              <w:spacing w:after="20"/>
            </w:pPr>
            <w:r/>
            <w:r>
              <w:rPr>
                <w:sz w:val="15"/>
              </w:rPr>
            </w:r>
          </w:p>
        </w:tc>
      </w:tr>
      <w:tr>
        <w:tc>
          <w:tcPr>
            <w:tcW w:type="dxa" w:w="2952"/>
          </w:tcPr>
          <w:p>
            <w:pPr>
              <w:spacing w:after="20"/>
            </w:pPr>
            <w:r/>
            <w:r>
              <w:rPr>
                <w:sz w:val="15"/>
              </w:rPr>
              <w:t>jpa/services/predicates/impl</w:t>
            </w:r>
          </w:p>
        </w:tc>
        <w:tc>
          <w:tcPr>
            <w:tcW w:type="dxa" w:w="720"/>
          </w:tcPr>
          <w:p>
            <w:pPr>
              <w:spacing w:after="20"/>
            </w:pPr>
            <w:r/>
            <w:r>
              <w:rPr>
                <w:sz w:val="15"/>
              </w:rPr>
              <w:t>15</w:t>
            </w:r>
          </w:p>
        </w:tc>
        <w:tc>
          <w:tcPr>
            <w:tcW w:type="dxa" w:w="605"/>
          </w:tcPr>
          <w:p>
            <w:pPr>
              <w:spacing w:after="20"/>
            </w:pPr>
            <w:r/>
            <w:r>
              <w:rPr>
                <w:sz w:val="15"/>
              </w:rPr>
              <w:t>5</w:t>
            </w:r>
          </w:p>
        </w:tc>
        <w:tc>
          <w:tcPr>
            <w:tcW w:type="dxa" w:w="648"/>
          </w:tcPr>
          <w:p>
            <w:pPr>
              <w:spacing w:after="20"/>
            </w:pPr>
            <w:r/>
            <w:r>
              <w:rPr>
                <w:sz w:val="15"/>
              </w:rPr>
              <w:t>5</w:t>
            </w:r>
          </w:p>
        </w:tc>
        <w:tc>
          <w:tcPr>
            <w:tcW w:type="dxa" w:w="605"/>
          </w:tcPr>
          <w:p>
            <w:pPr>
              <w:spacing w:after="20"/>
            </w:pPr>
            <w:r/>
            <w:r>
              <w:rPr>
                <w:sz w:val="15"/>
              </w:rPr>
              <w:t>5</w:t>
            </w:r>
          </w:p>
        </w:tc>
        <w:tc>
          <w:tcPr>
            <w:tcW w:type="dxa" w:w="648"/>
          </w:tcPr>
          <w:p>
            <w:pPr>
              <w:spacing w:after="20"/>
            </w:pPr>
            <w:r/>
            <w:r>
              <w:rPr>
                <w:sz w:val="15"/>
              </w:rPr>
              <w:t>0</w:t>
            </w:r>
          </w:p>
        </w:tc>
        <w:tc>
          <w:tcPr>
            <w:tcW w:type="dxa" w:w="720"/>
          </w:tcPr>
          <w:p>
            <w:pPr>
              <w:spacing w:after="20"/>
            </w:pPr>
            <w:r/>
            <w:r>
              <w:rPr>
                <w:sz w:val="15"/>
              </w:rPr>
              <w:t>15</w:t>
            </w:r>
          </w:p>
        </w:tc>
        <w:tc>
          <w:tcPr>
            <w:tcW w:type="dxa" w:w="1800"/>
          </w:tcPr>
          <w:p>
            <w:pPr>
              <w:spacing w:after="20"/>
            </w:pPr>
            <w:r/>
            <w:r>
              <w:rPr>
                <w:sz w:val="15"/>
              </w:rPr>
            </w:r>
          </w:p>
        </w:tc>
      </w:tr>
      <w:tr>
        <w:tc>
          <w:tcPr>
            <w:tcW w:type="dxa" w:w="2952"/>
          </w:tcPr>
          <w:p>
            <w:pPr>
              <w:spacing w:after="20"/>
            </w:pPr>
            <w:r/>
            <w:r>
              <w:rPr>
                <w:sz w:val="15"/>
              </w:rPr>
              <w:t>jpa/sortspecs</w:t>
            </w:r>
          </w:p>
        </w:tc>
        <w:tc>
          <w:tcPr>
            <w:tcW w:type="dxa" w:w="720"/>
          </w:tcPr>
          <w:p>
            <w:pPr>
              <w:spacing w:after="20"/>
            </w:pPr>
            <w:r/>
            <w:r>
              <w:rPr>
                <w:sz w:val="15"/>
              </w:rPr>
              <w:t>14</w:t>
            </w:r>
          </w:p>
        </w:tc>
        <w:tc>
          <w:tcPr>
            <w:tcW w:type="dxa" w:w="605"/>
          </w:tcPr>
          <w:p>
            <w:pPr>
              <w:spacing w:after="20"/>
            </w:pPr>
            <w:r/>
            <w:r>
              <w:rPr>
                <w:sz w:val="15"/>
              </w:rPr>
              <w:t>5</w:t>
            </w:r>
          </w:p>
        </w:tc>
        <w:tc>
          <w:tcPr>
            <w:tcW w:type="dxa" w:w="648"/>
          </w:tcPr>
          <w:p>
            <w:pPr>
              <w:spacing w:after="20"/>
            </w:pPr>
            <w:r/>
            <w:r>
              <w:rPr>
                <w:sz w:val="15"/>
              </w:rPr>
              <w:t>5</w:t>
            </w:r>
          </w:p>
        </w:tc>
        <w:tc>
          <w:tcPr>
            <w:tcW w:type="dxa" w:w="605"/>
          </w:tcPr>
          <w:p>
            <w:pPr>
              <w:spacing w:after="20"/>
            </w:pPr>
            <w:r/>
            <w:r>
              <w:rPr>
                <w:sz w:val="15"/>
              </w:rPr>
              <w:t>4</w:t>
            </w:r>
          </w:p>
        </w:tc>
        <w:tc>
          <w:tcPr>
            <w:tcW w:type="dxa" w:w="648"/>
          </w:tcPr>
          <w:p>
            <w:pPr>
              <w:spacing w:after="20"/>
            </w:pPr>
            <w:r/>
            <w:r>
              <w:rPr>
                <w:sz w:val="15"/>
              </w:rPr>
              <w:t>0</w:t>
            </w:r>
          </w:p>
        </w:tc>
        <w:tc>
          <w:tcPr>
            <w:tcW w:type="dxa" w:w="720"/>
          </w:tcPr>
          <w:p>
            <w:pPr>
              <w:spacing w:after="20"/>
            </w:pPr>
            <w:r/>
            <w:r>
              <w:rPr>
                <w:sz w:val="15"/>
              </w:rPr>
              <w:t>14</w:t>
            </w:r>
          </w:p>
        </w:tc>
        <w:tc>
          <w:tcPr>
            <w:tcW w:type="dxa" w:w="1800"/>
          </w:tcPr>
          <w:p>
            <w:pPr>
              <w:spacing w:after="20"/>
            </w:pPr>
            <w:r/>
            <w:r>
              <w:rPr>
                <w:sz w:val="15"/>
              </w:rPr>
            </w:r>
          </w:p>
        </w:tc>
      </w:tr>
      <w:tr>
        <w:tc>
          <w:tcPr>
            <w:tcW w:type="dxa" w:w="2952"/>
          </w:tcPr>
          <w:p>
            <w:pPr>
              <w:spacing w:after="20"/>
            </w:pPr>
            <w:r/>
            <w:r>
              <w:rPr>
                <w:sz w:val="15"/>
              </w:rPr>
              <w:t>mailing</w:t>
            </w:r>
          </w:p>
        </w:tc>
        <w:tc>
          <w:tcPr>
            <w:tcW w:type="dxa" w:w="720"/>
          </w:tcPr>
          <w:p>
            <w:pPr>
              <w:spacing w:after="20"/>
            </w:pPr>
            <w:r/>
            <w:r>
              <w:rPr>
                <w:sz w:val="15"/>
              </w:rPr>
              <w:t>3</w:t>
            </w:r>
          </w:p>
        </w:tc>
        <w:tc>
          <w:tcPr>
            <w:tcW w:type="dxa" w:w="605"/>
          </w:tcPr>
          <w:p>
            <w:pPr>
              <w:spacing w:after="20"/>
            </w:pPr>
            <w:r/>
            <w:r>
              <w:rPr>
                <w:sz w:val="15"/>
              </w:rPr>
              <w:t>0</w:t>
            </w:r>
          </w:p>
        </w:tc>
        <w:tc>
          <w:tcPr>
            <w:tcW w:type="dxa" w:w="648"/>
          </w:tcPr>
          <w:p>
            <w:pPr>
              <w:spacing w:after="20"/>
            </w:pPr>
            <w:r/>
            <w:r>
              <w:rPr>
                <w:sz w:val="15"/>
              </w:rPr>
              <w:t>0</w:t>
            </w:r>
          </w:p>
        </w:tc>
        <w:tc>
          <w:tcPr>
            <w:tcW w:type="dxa" w:w="605"/>
          </w:tcPr>
          <w:p>
            <w:pPr>
              <w:spacing w:after="20"/>
            </w:pPr>
            <w:r/>
            <w:r>
              <w:rPr>
                <w:sz w:val="15"/>
              </w:rPr>
              <w:t>3</w:t>
            </w:r>
          </w:p>
        </w:tc>
        <w:tc>
          <w:tcPr>
            <w:tcW w:type="dxa" w:w="648"/>
          </w:tcPr>
          <w:p>
            <w:pPr>
              <w:spacing w:after="20"/>
            </w:pPr>
            <w:r/>
            <w:r>
              <w:rPr>
                <w:sz w:val="15"/>
              </w:rPr>
              <w:t>0</w:t>
            </w:r>
          </w:p>
        </w:tc>
        <w:tc>
          <w:tcPr>
            <w:tcW w:type="dxa" w:w="720"/>
          </w:tcPr>
          <w:p>
            <w:pPr>
              <w:spacing w:after="20"/>
            </w:pPr>
            <w:r/>
            <w:r>
              <w:rPr>
                <w:sz w:val="15"/>
              </w:rPr>
              <w:t>3</w:t>
            </w:r>
          </w:p>
        </w:tc>
        <w:tc>
          <w:tcPr>
            <w:tcW w:type="dxa" w:w="1800"/>
          </w:tcPr>
          <w:p>
            <w:pPr>
              <w:spacing w:after="20"/>
            </w:pPr>
            <w:r/>
            <w:r>
              <w:rPr>
                <w:sz w:val="15"/>
              </w:rPr>
            </w:r>
          </w:p>
        </w:tc>
      </w:tr>
      <w:tr>
        <w:tc>
          <w:tcPr>
            <w:tcW w:type="dxa" w:w="2952"/>
          </w:tcPr>
          <w:p>
            <w:pPr>
              <w:spacing w:after="20"/>
            </w:pPr>
            <w:r/>
            <w:r>
              <w:rPr>
                <w:sz w:val="15"/>
              </w:rPr>
              <w:t>mailing/impl/mailgun</w:t>
            </w:r>
          </w:p>
        </w:tc>
        <w:tc>
          <w:tcPr>
            <w:tcW w:type="dxa" w:w="720"/>
          </w:tcPr>
          <w:p>
            <w:pPr>
              <w:spacing w:after="20"/>
            </w:pPr>
            <w:r/>
            <w:r>
              <w:rPr>
                <w:sz w:val="15"/>
              </w:rPr>
              <w:t>2</w:t>
            </w:r>
          </w:p>
        </w:tc>
        <w:tc>
          <w:tcPr>
            <w:tcW w:type="dxa" w:w="605"/>
          </w:tcPr>
          <w:p>
            <w:pPr>
              <w:spacing w:after="20"/>
            </w:pPr>
            <w:r/>
            <w:r>
              <w:rPr>
                <w:sz w:val="15"/>
              </w:rPr>
              <w:t>0</w:t>
            </w:r>
          </w:p>
        </w:tc>
        <w:tc>
          <w:tcPr>
            <w:tcW w:type="dxa" w:w="648"/>
          </w:tcPr>
          <w:p>
            <w:pPr>
              <w:spacing w:after="20"/>
            </w:pPr>
            <w:r/>
            <w:r>
              <w:rPr>
                <w:sz w:val="15"/>
              </w:rPr>
              <w:t>0</w:t>
            </w:r>
          </w:p>
        </w:tc>
        <w:tc>
          <w:tcPr>
            <w:tcW w:type="dxa" w:w="605"/>
          </w:tcPr>
          <w:p>
            <w:pPr>
              <w:spacing w:after="20"/>
            </w:pPr>
            <w:r/>
            <w:r>
              <w:rPr>
                <w:sz w:val="15"/>
              </w:rPr>
              <w:t>2</w:t>
            </w:r>
          </w:p>
        </w:tc>
        <w:tc>
          <w:tcPr>
            <w:tcW w:type="dxa" w:w="648"/>
          </w:tcPr>
          <w:p>
            <w:pPr>
              <w:spacing w:after="20"/>
            </w:pPr>
            <w:r/>
            <w:r>
              <w:rPr>
                <w:sz w:val="15"/>
              </w:rPr>
              <w:t>0</w:t>
            </w:r>
          </w:p>
        </w:tc>
        <w:tc>
          <w:tcPr>
            <w:tcW w:type="dxa" w:w="720"/>
          </w:tcPr>
          <w:p>
            <w:pPr>
              <w:spacing w:after="20"/>
            </w:pPr>
            <w:r/>
            <w:r>
              <w:rPr>
                <w:sz w:val="15"/>
              </w:rPr>
              <w:t>2</w:t>
            </w:r>
          </w:p>
        </w:tc>
        <w:tc>
          <w:tcPr>
            <w:tcW w:type="dxa" w:w="1800"/>
          </w:tcPr>
          <w:p>
            <w:pPr>
              <w:spacing w:after="20"/>
            </w:pPr>
            <w:r/>
            <w:r>
              <w:rPr>
                <w:sz w:val="15"/>
              </w:rPr>
            </w:r>
          </w:p>
        </w:tc>
      </w:tr>
      <w:tr>
        <w:tc>
          <w:tcPr>
            <w:tcW w:type="dxa" w:w="2952"/>
          </w:tcPr>
          <w:p>
            <w:pPr>
              <w:spacing w:after="20"/>
            </w:pPr>
            <w:r/>
            <w:r>
              <w:rPr>
                <w:sz w:val="15"/>
              </w:rPr>
              <w:t>mailing/outbox</w:t>
            </w:r>
          </w:p>
        </w:tc>
        <w:tc>
          <w:tcPr>
            <w:tcW w:type="dxa" w:w="720"/>
          </w:tcPr>
          <w:p>
            <w:pPr>
              <w:spacing w:after="20"/>
            </w:pPr>
            <w:r/>
            <w:r>
              <w:rPr>
                <w:sz w:val="15"/>
              </w:rPr>
              <w:t>3</w:t>
            </w:r>
          </w:p>
        </w:tc>
        <w:tc>
          <w:tcPr>
            <w:tcW w:type="dxa" w:w="605"/>
          </w:tcPr>
          <w:p>
            <w:pPr>
              <w:spacing w:after="20"/>
            </w:pPr>
            <w:r/>
            <w:r>
              <w:rPr>
                <w:sz w:val="15"/>
              </w:rPr>
              <w:t>0</w:t>
            </w:r>
          </w:p>
        </w:tc>
        <w:tc>
          <w:tcPr>
            <w:tcW w:type="dxa" w:w="648"/>
          </w:tcPr>
          <w:p>
            <w:pPr>
              <w:spacing w:after="20"/>
            </w:pPr>
            <w:r/>
            <w:r>
              <w:rPr>
                <w:sz w:val="15"/>
              </w:rPr>
              <w:t>0</w:t>
            </w:r>
          </w:p>
        </w:tc>
        <w:tc>
          <w:tcPr>
            <w:tcW w:type="dxa" w:w="605"/>
          </w:tcPr>
          <w:p>
            <w:pPr>
              <w:spacing w:after="20"/>
            </w:pPr>
            <w:r/>
            <w:r>
              <w:rPr>
                <w:sz w:val="15"/>
              </w:rPr>
              <w:t>3</w:t>
            </w:r>
          </w:p>
        </w:tc>
        <w:tc>
          <w:tcPr>
            <w:tcW w:type="dxa" w:w="648"/>
          </w:tcPr>
          <w:p>
            <w:pPr>
              <w:spacing w:after="20"/>
            </w:pPr>
            <w:r/>
            <w:r>
              <w:rPr>
                <w:sz w:val="15"/>
              </w:rPr>
              <w:t>0</w:t>
            </w:r>
          </w:p>
        </w:tc>
        <w:tc>
          <w:tcPr>
            <w:tcW w:type="dxa" w:w="720"/>
          </w:tcPr>
          <w:p>
            <w:pPr>
              <w:spacing w:after="20"/>
            </w:pPr>
            <w:r/>
            <w:r>
              <w:rPr>
                <w:sz w:val="15"/>
              </w:rPr>
              <w:t>3</w:t>
            </w:r>
          </w:p>
        </w:tc>
        <w:tc>
          <w:tcPr>
            <w:tcW w:type="dxa" w:w="1800"/>
          </w:tcPr>
          <w:p>
            <w:pPr>
              <w:spacing w:after="20"/>
            </w:pPr>
            <w:r/>
            <w:r>
              <w:rPr>
                <w:sz w:val="15"/>
              </w:rPr>
            </w:r>
          </w:p>
        </w:tc>
      </w:tr>
      <w:tr>
        <w:tc>
          <w:tcPr>
            <w:tcW w:type="dxa" w:w="2952"/>
          </w:tcPr>
          <w:p>
            <w:pPr>
              <w:spacing w:after="20"/>
            </w:pPr>
            <w:r/>
            <w:r>
              <w:rPr>
                <w:sz w:val="15"/>
              </w:rPr>
              <w:t>mailing/outbox/impl</w:t>
            </w:r>
          </w:p>
        </w:tc>
        <w:tc>
          <w:tcPr>
            <w:tcW w:type="dxa" w:w="720"/>
          </w:tcPr>
          <w:p>
            <w:pPr>
              <w:spacing w:after="20"/>
            </w:pPr>
            <w:r/>
            <w:r>
              <w:rPr>
                <w:sz w:val="15"/>
              </w:rPr>
              <w:t>1</w:t>
            </w:r>
          </w:p>
        </w:tc>
        <w:tc>
          <w:tcPr>
            <w:tcW w:type="dxa" w:w="605"/>
          </w:tcPr>
          <w:p>
            <w:pPr>
              <w:spacing w:after="20"/>
            </w:pPr>
            <w:r/>
            <w:r>
              <w:rPr>
                <w:sz w:val="15"/>
              </w:rPr>
              <w:t>0</w:t>
            </w:r>
          </w:p>
        </w:tc>
        <w:tc>
          <w:tcPr>
            <w:tcW w:type="dxa" w:w="648"/>
          </w:tcPr>
          <w:p>
            <w:pPr>
              <w:spacing w:after="20"/>
            </w:pPr>
            <w:r/>
            <w:r>
              <w:rPr>
                <w:sz w:val="15"/>
              </w:rPr>
              <w:t>0</w:t>
            </w:r>
          </w:p>
        </w:tc>
        <w:tc>
          <w:tcPr>
            <w:tcW w:type="dxa" w:w="605"/>
          </w:tcPr>
          <w:p>
            <w:pPr>
              <w:spacing w:after="20"/>
            </w:pPr>
            <w:r/>
            <w:r>
              <w:rPr>
                <w:sz w:val="15"/>
              </w:rPr>
              <w:t>1</w:t>
            </w:r>
          </w:p>
        </w:tc>
        <w:tc>
          <w:tcPr>
            <w:tcW w:type="dxa" w:w="648"/>
          </w:tcPr>
          <w:p>
            <w:pPr>
              <w:spacing w:after="20"/>
            </w:pPr>
            <w:r/>
            <w:r>
              <w:rPr>
                <w:sz w:val="15"/>
              </w:rPr>
              <w:t>0</w:t>
            </w:r>
          </w:p>
        </w:tc>
        <w:tc>
          <w:tcPr>
            <w:tcW w:type="dxa" w:w="720"/>
          </w:tcPr>
          <w:p>
            <w:pPr>
              <w:spacing w:after="20"/>
            </w:pPr>
            <w:r/>
            <w:r>
              <w:rPr>
                <w:sz w:val="15"/>
              </w:rPr>
              <w:t>1</w:t>
            </w:r>
          </w:p>
        </w:tc>
        <w:tc>
          <w:tcPr>
            <w:tcW w:type="dxa" w:w="1800"/>
          </w:tcPr>
          <w:p>
            <w:pPr>
              <w:spacing w:after="20"/>
            </w:pPr>
            <w:r/>
            <w:r>
              <w:rPr>
                <w:sz w:val="15"/>
              </w:rPr>
            </w:r>
          </w:p>
        </w:tc>
      </w:tr>
      <w:tr>
        <w:tc>
          <w:tcPr>
            <w:tcW w:type="dxa" w:w="2952"/>
          </w:tcPr>
          <w:p>
            <w:pPr>
              <w:spacing w:after="20"/>
            </w:pPr>
            <w:r/>
            <w:r>
              <w:rPr>
                <w:sz w:val="15"/>
              </w:rPr>
              <w:t>payment</w:t>
            </w:r>
          </w:p>
        </w:tc>
        <w:tc>
          <w:tcPr>
            <w:tcW w:type="dxa" w:w="720"/>
          </w:tcPr>
          <w:p>
            <w:pPr>
              <w:spacing w:after="20"/>
            </w:pPr>
            <w:r/>
            <w:r>
              <w:rPr>
                <w:sz w:val="15"/>
              </w:rPr>
              <w:t>2</w:t>
            </w:r>
          </w:p>
        </w:tc>
        <w:tc>
          <w:tcPr>
            <w:tcW w:type="dxa" w:w="605"/>
          </w:tcPr>
          <w:p>
            <w:pPr>
              <w:spacing w:after="20"/>
            </w:pPr>
            <w:r/>
            <w:r>
              <w:rPr>
                <w:sz w:val="15"/>
              </w:rPr>
              <w:t>0</w:t>
            </w:r>
          </w:p>
        </w:tc>
        <w:tc>
          <w:tcPr>
            <w:tcW w:type="dxa" w:w="648"/>
          </w:tcPr>
          <w:p>
            <w:pPr>
              <w:spacing w:after="20"/>
            </w:pPr>
            <w:r/>
            <w:r>
              <w:rPr>
                <w:sz w:val="15"/>
              </w:rPr>
              <w:t>0</w:t>
            </w:r>
          </w:p>
        </w:tc>
        <w:tc>
          <w:tcPr>
            <w:tcW w:type="dxa" w:w="605"/>
          </w:tcPr>
          <w:p>
            <w:pPr>
              <w:spacing w:after="20"/>
            </w:pPr>
            <w:r/>
            <w:r>
              <w:rPr>
                <w:sz w:val="15"/>
              </w:rPr>
              <w:t>2</w:t>
            </w:r>
          </w:p>
        </w:tc>
        <w:tc>
          <w:tcPr>
            <w:tcW w:type="dxa" w:w="648"/>
          </w:tcPr>
          <w:p>
            <w:pPr>
              <w:spacing w:after="20"/>
            </w:pPr>
            <w:r/>
            <w:r>
              <w:rPr>
                <w:sz w:val="15"/>
              </w:rPr>
              <w:t>0</w:t>
            </w:r>
          </w:p>
        </w:tc>
        <w:tc>
          <w:tcPr>
            <w:tcW w:type="dxa" w:w="720"/>
          </w:tcPr>
          <w:p>
            <w:pPr>
              <w:spacing w:after="20"/>
            </w:pPr>
            <w:r/>
            <w:r>
              <w:rPr>
                <w:sz w:val="15"/>
              </w:rPr>
              <w:t>2</w:t>
            </w:r>
          </w:p>
        </w:tc>
        <w:tc>
          <w:tcPr>
            <w:tcW w:type="dxa" w:w="1800"/>
          </w:tcPr>
          <w:p>
            <w:pPr>
              <w:spacing w:after="20"/>
            </w:pPr>
            <w:r/>
            <w:r>
              <w:rPr>
                <w:sz w:val="15"/>
              </w:rPr>
            </w:r>
          </w:p>
        </w:tc>
      </w:tr>
      <w:tr>
        <w:tc>
          <w:tcPr>
            <w:tcW w:type="dxa" w:w="2952"/>
          </w:tcPr>
          <w:p>
            <w:pPr>
              <w:spacing w:after="20"/>
            </w:pPr>
            <w:r/>
            <w:r>
              <w:rPr>
                <w:sz w:val="15"/>
              </w:rPr>
              <w:t>payment/impl/webpayplus</w:t>
            </w:r>
          </w:p>
        </w:tc>
        <w:tc>
          <w:tcPr>
            <w:tcW w:type="dxa" w:w="720"/>
          </w:tcPr>
          <w:p>
            <w:pPr>
              <w:spacing w:after="20"/>
            </w:pPr>
            <w:r/>
            <w:r>
              <w:rPr>
                <w:sz w:val="15"/>
              </w:rPr>
              <w:t>3</w:t>
            </w:r>
          </w:p>
        </w:tc>
        <w:tc>
          <w:tcPr>
            <w:tcW w:type="dxa" w:w="605"/>
          </w:tcPr>
          <w:p>
            <w:pPr>
              <w:spacing w:after="20"/>
            </w:pPr>
            <w:r/>
            <w:r>
              <w:rPr>
                <w:sz w:val="15"/>
              </w:rPr>
              <w:t>0</w:t>
            </w:r>
          </w:p>
        </w:tc>
        <w:tc>
          <w:tcPr>
            <w:tcW w:type="dxa" w:w="648"/>
          </w:tcPr>
          <w:p>
            <w:pPr>
              <w:spacing w:after="20"/>
            </w:pPr>
            <w:r/>
            <w:r>
              <w:rPr>
                <w:sz w:val="15"/>
              </w:rPr>
              <w:t>0</w:t>
            </w:r>
          </w:p>
        </w:tc>
        <w:tc>
          <w:tcPr>
            <w:tcW w:type="dxa" w:w="605"/>
          </w:tcPr>
          <w:p>
            <w:pPr>
              <w:spacing w:after="20"/>
            </w:pPr>
            <w:r/>
            <w:r>
              <w:rPr>
                <w:sz w:val="15"/>
              </w:rPr>
              <w:t>3</w:t>
            </w:r>
          </w:p>
        </w:tc>
        <w:tc>
          <w:tcPr>
            <w:tcW w:type="dxa" w:w="648"/>
          </w:tcPr>
          <w:p>
            <w:pPr>
              <w:spacing w:after="20"/>
            </w:pPr>
            <w:r/>
            <w:r>
              <w:rPr>
                <w:sz w:val="15"/>
              </w:rPr>
              <w:t>0</w:t>
            </w:r>
          </w:p>
        </w:tc>
        <w:tc>
          <w:tcPr>
            <w:tcW w:type="dxa" w:w="720"/>
          </w:tcPr>
          <w:p>
            <w:pPr>
              <w:spacing w:after="20"/>
            </w:pPr>
            <w:r/>
            <w:r>
              <w:rPr>
                <w:sz w:val="15"/>
              </w:rPr>
              <w:t>3</w:t>
            </w:r>
          </w:p>
        </w:tc>
        <w:tc>
          <w:tcPr>
            <w:tcW w:type="dxa" w:w="1800"/>
          </w:tcPr>
          <w:p>
            <w:pPr>
              <w:spacing w:after="20"/>
            </w:pPr>
            <w:r/>
            <w:r>
              <w:rPr>
                <w:sz w:val="15"/>
              </w:rPr>
            </w:r>
          </w:p>
        </w:tc>
      </w:tr>
      <w:tr>
        <w:tc>
          <w:tcPr>
            <w:tcW w:type="dxa" w:w="2952"/>
          </w:tcPr>
          <w:p>
            <w:pPr>
              <w:spacing w:after="20"/>
            </w:pPr>
            <w:r/>
            <w:r>
              <w:rPr>
                <w:sz w:val="15"/>
              </w:rPr>
              <w:t>payment/impl/webpayplus/impl</w:t>
            </w:r>
          </w:p>
        </w:tc>
        <w:tc>
          <w:tcPr>
            <w:tcW w:type="dxa" w:w="720"/>
          </w:tcPr>
          <w:p>
            <w:pPr>
              <w:spacing w:after="20"/>
            </w:pPr>
            <w:r/>
            <w:r>
              <w:rPr>
                <w:sz w:val="15"/>
              </w:rPr>
              <w:t>1</w:t>
            </w:r>
          </w:p>
        </w:tc>
        <w:tc>
          <w:tcPr>
            <w:tcW w:type="dxa" w:w="605"/>
          </w:tcPr>
          <w:p>
            <w:pPr>
              <w:spacing w:after="20"/>
            </w:pPr>
            <w:r/>
            <w:r>
              <w:rPr>
                <w:sz w:val="15"/>
              </w:rPr>
              <w:t>0</w:t>
            </w:r>
          </w:p>
        </w:tc>
        <w:tc>
          <w:tcPr>
            <w:tcW w:type="dxa" w:w="648"/>
          </w:tcPr>
          <w:p>
            <w:pPr>
              <w:spacing w:after="20"/>
            </w:pPr>
            <w:r/>
            <w:r>
              <w:rPr>
                <w:sz w:val="15"/>
              </w:rPr>
              <w:t>0</w:t>
            </w:r>
          </w:p>
        </w:tc>
        <w:tc>
          <w:tcPr>
            <w:tcW w:type="dxa" w:w="605"/>
          </w:tcPr>
          <w:p>
            <w:pPr>
              <w:spacing w:after="20"/>
            </w:pPr>
            <w:r/>
            <w:r>
              <w:rPr>
                <w:sz w:val="15"/>
              </w:rPr>
              <w:t>1</w:t>
            </w:r>
          </w:p>
        </w:tc>
        <w:tc>
          <w:tcPr>
            <w:tcW w:type="dxa" w:w="648"/>
          </w:tcPr>
          <w:p>
            <w:pPr>
              <w:spacing w:after="20"/>
            </w:pPr>
            <w:r/>
            <w:r>
              <w:rPr>
                <w:sz w:val="15"/>
              </w:rPr>
              <w:t>0</w:t>
            </w:r>
          </w:p>
        </w:tc>
        <w:tc>
          <w:tcPr>
            <w:tcW w:type="dxa" w:w="720"/>
          </w:tcPr>
          <w:p>
            <w:pPr>
              <w:spacing w:after="20"/>
            </w:pPr>
            <w:r/>
            <w:r>
              <w:rPr>
                <w:sz w:val="15"/>
              </w:rPr>
              <w:t>1</w:t>
            </w:r>
          </w:p>
        </w:tc>
        <w:tc>
          <w:tcPr>
            <w:tcW w:type="dxa" w:w="1800"/>
          </w:tcPr>
          <w:p>
            <w:pPr>
              <w:spacing w:after="20"/>
            </w:pPr>
            <w:r/>
            <w:r>
              <w:rPr>
                <w:sz w:val="15"/>
              </w:rPr>
            </w:r>
          </w:p>
        </w:tc>
      </w:tr>
      <w:tr>
        <w:tc>
          <w:tcPr>
            <w:tcW w:type="dxa" w:w="2952"/>
          </w:tcPr>
          <w:p>
            <w:pPr>
              <w:spacing w:after="20"/>
            </w:pPr>
            <w:r/>
            <w:r>
              <w:rPr>
                <w:sz w:val="15"/>
              </w:rPr>
              <w:t>security</w:t>
            </w:r>
          </w:p>
        </w:tc>
        <w:tc>
          <w:tcPr>
            <w:tcW w:type="dxa" w:w="720"/>
          </w:tcPr>
          <w:p>
            <w:pPr>
              <w:spacing w:after="20"/>
            </w:pPr>
            <w:r/>
            <w:r>
              <w:rPr>
                <w:sz w:val="15"/>
              </w:rPr>
              <w:t>6</w:t>
            </w:r>
          </w:p>
        </w:tc>
        <w:tc>
          <w:tcPr>
            <w:tcW w:type="dxa" w:w="605"/>
          </w:tcPr>
          <w:p>
            <w:pPr>
              <w:spacing w:after="20"/>
            </w:pPr>
            <w:r/>
            <w:r>
              <w:rPr>
                <w:sz w:val="15"/>
              </w:rPr>
              <w:t>1</w:t>
            </w:r>
          </w:p>
        </w:tc>
        <w:tc>
          <w:tcPr>
            <w:tcW w:type="dxa" w:w="648"/>
          </w:tcPr>
          <w:p>
            <w:pPr>
              <w:spacing w:after="20"/>
            </w:pPr>
            <w:r/>
            <w:r>
              <w:rPr>
                <w:sz w:val="15"/>
              </w:rPr>
              <w:t>6</w:t>
            </w:r>
          </w:p>
        </w:tc>
        <w:tc>
          <w:tcPr>
            <w:tcW w:type="dxa" w:w="605"/>
          </w:tcPr>
          <w:p>
            <w:pPr>
              <w:spacing w:after="20"/>
            </w:pPr>
            <w:r/>
            <w:r>
              <w:rPr>
                <w:sz w:val="15"/>
              </w:rPr>
              <w:t>1</w:t>
            </w:r>
          </w:p>
        </w:tc>
        <w:tc>
          <w:tcPr>
            <w:tcW w:type="dxa" w:w="648"/>
          </w:tcPr>
          <w:p>
            <w:pPr>
              <w:spacing w:after="20"/>
            </w:pPr>
            <w:r/>
            <w:r>
              <w:rPr>
                <w:sz w:val="15"/>
              </w:rPr>
              <w:t>0</w:t>
            </w:r>
          </w:p>
        </w:tc>
        <w:tc>
          <w:tcPr>
            <w:tcW w:type="dxa" w:w="720"/>
          </w:tcPr>
          <w:p>
            <w:pPr>
              <w:spacing w:after="20"/>
            </w:pPr>
            <w:r/>
            <w:r>
              <w:rPr>
                <w:sz w:val="15"/>
              </w:rPr>
              <w:t>8</w:t>
            </w:r>
          </w:p>
        </w:tc>
        <w:tc>
          <w:tcPr>
            <w:tcW w:type="dxa" w:w="1800"/>
          </w:tcPr>
          <w:p>
            <w:pPr>
              <w:spacing w:after="20"/>
            </w:pPr>
            <w:r/>
            <w:r>
              <w:rPr>
                <w:sz w:val="15"/>
              </w:rPr>
              <w:t>duplicated per service</w:t>
            </w:r>
          </w:p>
        </w:tc>
      </w:tr>
      <w:tr>
        <w:tc>
          <w:tcPr>
            <w:tcW w:type="dxa" w:w="2952"/>
          </w:tcPr>
          <w:p>
            <w:pPr>
              <w:spacing w:after="20"/>
            </w:pPr>
            <w:r/>
            <w:r>
              <w:rPr>
                <w:sz w:val="15"/>
              </w:rPr>
              <w:t>security/authorities</w:t>
            </w:r>
          </w:p>
        </w:tc>
        <w:tc>
          <w:tcPr>
            <w:tcW w:type="dxa" w:w="720"/>
          </w:tcPr>
          <w:p>
            <w:pPr>
              <w:spacing w:after="20"/>
            </w:pPr>
            <w:r/>
            <w:r>
              <w:rPr>
                <w:sz w:val="15"/>
              </w:rPr>
              <w:t>0</w:t>
            </w:r>
          </w:p>
        </w:tc>
        <w:tc>
          <w:tcPr>
            <w:tcW w:type="dxa" w:w="605"/>
          </w:tcPr>
          <w:p>
            <w:pPr>
              <w:spacing w:after="20"/>
            </w:pPr>
            <w:r/>
            <w:r>
              <w:rPr>
                <w:sz w:val="15"/>
              </w:rPr>
              <w:t>0</w:t>
            </w:r>
          </w:p>
        </w:tc>
        <w:tc>
          <w:tcPr>
            <w:tcW w:type="dxa" w:w="648"/>
          </w:tcPr>
          <w:p>
            <w:pPr>
              <w:spacing w:after="20"/>
            </w:pPr>
            <w:r/>
            <w:r>
              <w:rPr>
                <w:sz w:val="15"/>
              </w:rPr>
              <w:t>0</w:t>
            </w:r>
          </w:p>
        </w:tc>
        <w:tc>
          <w:tcPr>
            <w:tcW w:type="dxa" w:w="605"/>
          </w:tcPr>
          <w:p>
            <w:pPr>
              <w:spacing w:after="20"/>
            </w:pPr>
            <w:r/>
            <w:r>
              <w:rPr>
                <w:sz w:val="15"/>
              </w:rPr>
              <w:t>0</w:t>
            </w:r>
          </w:p>
        </w:tc>
        <w:tc>
          <w:tcPr>
            <w:tcW w:type="dxa" w:w="648"/>
          </w:tcPr>
          <w:p>
            <w:pPr>
              <w:spacing w:after="20"/>
            </w:pPr>
            <w:r/>
            <w:r>
              <w:rPr>
                <w:sz w:val="15"/>
              </w:rPr>
              <w:t>1</w:t>
            </w:r>
          </w:p>
        </w:tc>
        <w:tc>
          <w:tcPr>
            <w:tcW w:type="dxa" w:w="720"/>
          </w:tcPr>
          <w:p>
            <w:pPr>
              <w:spacing w:after="20"/>
            </w:pPr>
            <w:r/>
            <w:r>
              <w:rPr>
                <w:sz w:val="15"/>
              </w:rPr>
              <w:t>1</w:t>
            </w:r>
          </w:p>
        </w:tc>
        <w:tc>
          <w:tcPr>
            <w:tcW w:type="dxa" w:w="1800"/>
          </w:tcPr>
          <w:p>
            <w:pPr>
              <w:spacing w:after="20"/>
            </w:pPr>
            <w:r/>
            <w:r>
              <w:rPr>
                <w:sz w:val="15"/>
              </w:rPr>
              <w:t>new</w:t>
            </w:r>
          </w:p>
        </w:tc>
      </w:tr>
      <w:tr>
        <w:tc>
          <w:tcPr>
            <w:tcW w:type="dxa" w:w="2952"/>
          </w:tcPr>
          <w:p>
            <w:pPr>
              <w:spacing w:after="20"/>
            </w:pPr>
            <w:r/>
            <w:r>
              <w:rPr>
                <w:sz w:val="15"/>
              </w:rPr>
              <w:t>security/exceptions</w:t>
            </w:r>
          </w:p>
        </w:tc>
        <w:tc>
          <w:tcPr>
            <w:tcW w:type="dxa" w:w="720"/>
          </w:tcPr>
          <w:p>
            <w:pPr>
              <w:spacing w:after="20"/>
            </w:pPr>
            <w:r/>
            <w:r>
              <w:rPr>
                <w:sz w:val="15"/>
              </w:rPr>
              <w:t>1</w:t>
            </w:r>
          </w:p>
        </w:tc>
        <w:tc>
          <w:tcPr>
            <w:tcW w:type="dxa" w:w="605"/>
          </w:tcPr>
          <w:p>
            <w:pPr>
              <w:spacing w:after="20"/>
            </w:pPr>
            <w:r/>
            <w:r>
              <w:rPr>
                <w:sz w:val="15"/>
              </w:rPr>
              <w:t>0</w:t>
            </w:r>
          </w:p>
        </w:tc>
        <w:tc>
          <w:tcPr>
            <w:tcW w:type="dxa" w:w="648"/>
          </w:tcPr>
          <w:p>
            <w:pPr>
              <w:spacing w:after="20"/>
            </w:pPr>
            <w:r/>
            <w:r>
              <w:rPr>
                <w:sz w:val="15"/>
              </w:rPr>
              <w:t>1</w:t>
            </w:r>
          </w:p>
        </w:tc>
        <w:tc>
          <w:tcPr>
            <w:tcW w:type="dxa" w:w="605"/>
          </w:tcPr>
          <w:p>
            <w:pPr>
              <w:spacing w:after="20"/>
            </w:pPr>
            <w:r/>
            <w:r>
              <w:rPr>
                <w:sz w:val="15"/>
              </w:rPr>
              <w:t>0</w:t>
            </w:r>
          </w:p>
        </w:tc>
        <w:tc>
          <w:tcPr>
            <w:tcW w:type="dxa" w:w="648"/>
          </w:tcPr>
          <w:p>
            <w:pPr>
              <w:spacing w:after="20"/>
            </w:pPr>
            <w:r/>
            <w:r>
              <w:rPr>
                <w:sz w:val="15"/>
              </w:rPr>
              <w:t>0</w:t>
            </w:r>
          </w:p>
        </w:tc>
        <w:tc>
          <w:tcPr>
            <w:tcW w:type="dxa" w:w="720"/>
          </w:tcPr>
          <w:p>
            <w:pPr>
              <w:spacing w:after="20"/>
            </w:pPr>
            <w:r/>
            <w:r>
              <w:rPr>
                <w:sz w:val="15"/>
              </w:rPr>
              <w:t>1</w:t>
            </w:r>
          </w:p>
        </w:tc>
        <w:tc>
          <w:tcPr>
            <w:tcW w:type="dxa" w:w="1800"/>
          </w:tcPr>
          <w:p>
            <w:pPr>
              <w:spacing w:after="20"/>
            </w:pPr>
            <w:r/>
            <w:r>
              <w:rPr>
                <w:sz w:val="15"/>
              </w:rPr>
            </w:r>
          </w:p>
        </w:tc>
      </w:tr>
      <w:tr>
        <w:tc>
          <w:tcPr>
            <w:tcW w:type="dxa" w:w="2952"/>
          </w:tcPr>
          <w:p>
            <w:pPr>
              <w:spacing w:after="20"/>
            </w:pPr>
            <w:r/>
            <w:r>
              <w:rPr>
                <w:sz w:val="15"/>
              </w:rPr>
              <w:t>security/services</w:t>
            </w:r>
          </w:p>
        </w:tc>
        <w:tc>
          <w:tcPr>
            <w:tcW w:type="dxa" w:w="720"/>
          </w:tcPr>
          <w:p>
            <w:pPr>
              <w:spacing w:after="20"/>
            </w:pPr>
            <w:r/>
            <w:r>
              <w:rPr>
                <w:sz w:val="15"/>
              </w:rPr>
              <w:t>3</w:t>
            </w:r>
          </w:p>
        </w:tc>
        <w:tc>
          <w:tcPr>
            <w:tcW w:type="dxa" w:w="605"/>
          </w:tcPr>
          <w:p>
            <w:pPr>
              <w:spacing w:after="20"/>
            </w:pPr>
            <w:r/>
            <w:r>
              <w:rPr>
                <w:sz w:val="15"/>
              </w:rPr>
              <w:t>1</w:t>
            </w:r>
          </w:p>
        </w:tc>
        <w:tc>
          <w:tcPr>
            <w:tcW w:type="dxa" w:w="648"/>
          </w:tcPr>
          <w:p>
            <w:pPr>
              <w:spacing w:after="20"/>
            </w:pPr>
            <w:r/>
            <w:r>
              <w:rPr>
                <w:sz w:val="15"/>
              </w:rPr>
              <w:t>3</w:t>
            </w:r>
          </w:p>
        </w:tc>
        <w:tc>
          <w:tcPr>
            <w:tcW w:type="dxa" w:w="605"/>
          </w:tcPr>
          <w:p>
            <w:pPr>
              <w:spacing w:after="20"/>
            </w:pPr>
            <w:r/>
            <w:r>
              <w:rPr>
                <w:sz w:val="15"/>
              </w:rPr>
              <w:t>1</w:t>
            </w:r>
          </w:p>
        </w:tc>
        <w:tc>
          <w:tcPr>
            <w:tcW w:type="dxa" w:w="648"/>
          </w:tcPr>
          <w:p>
            <w:pPr>
              <w:spacing w:after="20"/>
            </w:pPr>
            <w:r/>
            <w:r>
              <w:rPr>
                <w:sz w:val="15"/>
              </w:rPr>
              <w:t>0</w:t>
            </w:r>
          </w:p>
        </w:tc>
        <w:tc>
          <w:tcPr>
            <w:tcW w:type="dxa" w:w="720"/>
          </w:tcPr>
          <w:p>
            <w:pPr>
              <w:spacing w:after="20"/>
            </w:pPr>
            <w:r/>
            <w:r>
              <w:rPr>
                <w:sz w:val="15"/>
              </w:rPr>
              <w:t>5</w:t>
            </w:r>
          </w:p>
        </w:tc>
        <w:tc>
          <w:tcPr>
            <w:tcW w:type="dxa" w:w="1800"/>
          </w:tcPr>
          <w:p>
            <w:pPr>
              <w:spacing w:after="20"/>
            </w:pPr>
            <w:r/>
            <w:r>
              <w:rPr>
                <w:sz w:val="15"/>
              </w:rPr>
              <w:t>duplicated per service</w:t>
            </w:r>
          </w:p>
        </w:tc>
      </w:tr>
      <w:tr>
        <w:tc>
          <w:tcPr>
            <w:tcW w:type="dxa" w:w="2952"/>
          </w:tcPr>
          <w:p>
            <w:pPr>
              <w:spacing w:after="20"/>
            </w:pPr>
            <w:r/>
            <w:r>
              <w:rPr>
                <w:sz w:val="15"/>
              </w:rPr>
              <w:t>security/services/impl</w:t>
            </w:r>
          </w:p>
        </w:tc>
        <w:tc>
          <w:tcPr>
            <w:tcW w:type="dxa" w:w="720"/>
          </w:tcPr>
          <w:p>
            <w:pPr>
              <w:spacing w:after="20"/>
            </w:pPr>
            <w:r/>
            <w:r>
              <w:rPr>
                <w:sz w:val="15"/>
              </w:rPr>
              <w:t>3</w:t>
            </w:r>
          </w:p>
        </w:tc>
        <w:tc>
          <w:tcPr>
            <w:tcW w:type="dxa" w:w="605"/>
          </w:tcPr>
          <w:p>
            <w:pPr>
              <w:spacing w:after="20"/>
            </w:pPr>
            <w:r/>
            <w:r>
              <w:rPr>
                <w:sz w:val="15"/>
              </w:rPr>
              <w:t>1</w:t>
            </w:r>
          </w:p>
        </w:tc>
        <w:tc>
          <w:tcPr>
            <w:tcW w:type="dxa" w:w="648"/>
          </w:tcPr>
          <w:p>
            <w:pPr>
              <w:spacing w:after="20"/>
            </w:pPr>
            <w:r/>
            <w:r>
              <w:rPr>
                <w:sz w:val="15"/>
              </w:rPr>
              <w:t>3</w:t>
            </w:r>
          </w:p>
        </w:tc>
        <w:tc>
          <w:tcPr>
            <w:tcW w:type="dxa" w:w="605"/>
          </w:tcPr>
          <w:p>
            <w:pPr>
              <w:spacing w:after="20"/>
            </w:pPr>
            <w:r/>
            <w:r>
              <w:rPr>
                <w:sz w:val="15"/>
              </w:rPr>
              <w:t>1</w:t>
            </w:r>
          </w:p>
        </w:tc>
        <w:tc>
          <w:tcPr>
            <w:tcW w:type="dxa" w:w="648"/>
          </w:tcPr>
          <w:p>
            <w:pPr>
              <w:spacing w:after="20"/>
            </w:pPr>
            <w:r/>
            <w:r>
              <w:rPr>
                <w:sz w:val="15"/>
              </w:rPr>
              <w:t>0</w:t>
            </w:r>
          </w:p>
        </w:tc>
        <w:tc>
          <w:tcPr>
            <w:tcW w:type="dxa" w:w="720"/>
          </w:tcPr>
          <w:p>
            <w:pPr>
              <w:spacing w:after="20"/>
            </w:pPr>
            <w:r/>
            <w:r>
              <w:rPr>
                <w:sz w:val="15"/>
              </w:rPr>
              <w:t>5</w:t>
            </w:r>
          </w:p>
        </w:tc>
        <w:tc>
          <w:tcPr>
            <w:tcW w:type="dxa" w:w="1800"/>
          </w:tcPr>
          <w:p>
            <w:pPr>
              <w:spacing w:after="20"/>
            </w:pPr>
            <w:r/>
            <w:r>
              <w:rPr>
                <w:sz w:val="15"/>
              </w:rPr>
              <w:t>duplicated per service</w:t>
            </w:r>
          </w:p>
        </w:tc>
      </w:tr>
    </w:tbl>
    <w:p>
      <w:pPr>
        <w:spacing w:after="80"/>
      </w:pPr>
    </w:p>
    <w:p>
      <w:pPr>
        <w:spacing w:after="120"/>
      </w:pPr>
      <w:r>
        <w:rPr>
          <w:b w:val="0"/>
          <w:i w:val="0"/>
          <w:sz w:val="21"/>
        </w:rPr>
        <w:t>Totals: 316 source files became 397. The increase is the shared kernel - configuration classes, exception types, the generic CRUD and controller bases, the transport models - being duplicated into each service that needs it. That duplication is the deliberate price of independent deployability: a service that shared those classes through a library would be recoupled at build time to every other service.</w:t>
      </w:r>
    </w:p>
    <w:p>
      <w:pPr>
        <w:pStyle w:val="Heading2"/>
      </w:pPr>
      <w:r>
        <w:t>2.5  Where the growth and the losses are</w:t>
      </w:r>
    </w:p>
    <w:p>
      <w:pPr>
        <w:jc w:val="center"/>
      </w:pPr>
      <w:r>
        <w:drawing>
          <wp:inline xmlns:a="http://schemas.openxmlformats.org/drawingml/2006/main" xmlns:pic="http://schemas.openxmlformats.org/drawingml/2006/picture">
            <wp:extent cx="6400800" cy="3517498"/>
            <wp:docPr id="5" name="Picture 5"/>
            <wp:cNvGraphicFramePr>
              <a:graphicFrameLocks noChangeAspect="1"/>
            </wp:cNvGraphicFramePr>
            <a:graphic>
              <a:graphicData uri="http://schemas.openxmlformats.org/drawingml/2006/picture">
                <pic:pic>
                  <pic:nvPicPr>
                    <pic:cNvPr id="0" name="cmp5_distribution.png"/>
                    <pic:cNvPicPr/>
                  </pic:nvPicPr>
                  <pic:blipFill>
                    <a:blip r:embed="rId13"/>
                    <a:stretch>
                      <a:fillRect/>
                    </a:stretch>
                  </pic:blipFill>
                  <pic:spPr>
                    <a:xfrm>
                      <a:off x="0" y="0"/>
                      <a:ext cx="6400800" cy="3517498"/>
                    </a:xfrm>
                    <a:prstGeom prst="rect"/>
                  </pic:spPr>
                </pic:pic>
              </a:graphicData>
            </a:graphic>
          </wp:inline>
        </w:drawing>
      </w:r>
    </w:p>
    <w:p>
      <w:pPr>
        <w:spacing w:after="240"/>
        <w:jc w:val="center"/>
      </w:pPr>
      <w:r>
        <w:rPr>
          <w:b w:val="0"/>
          <w:i/>
          <w:color w:val="595959"/>
          <w:sz w:val="18"/>
        </w:rPr>
        <w:t>Figure 5 - Source files by layer.</w:t>
      </w:r>
    </w:p>
    <w:tbl>
      <w:tblPr>
        <w:tblStyle w:val="LightGrid-Accent1"/>
        <w:tblW w:type="auto" w:w="0"/>
        <w:jc w:val="center"/>
        <w:tblLook w:firstColumn="1" w:firstRow="1" w:lastColumn="0" w:lastRow="0" w:noHBand="0" w:noVBand="1" w:val="04A0"/>
      </w:tblPr>
      <w:tblGrid>
        <w:gridCol w:w="4968"/>
        <w:gridCol w:w="4968"/>
      </w:tblGrid>
      <w:tr>
        <w:tc>
          <w:tcPr>
            <w:tcW w:type="dxa" w:w="2304"/>
          </w:tcPr>
          <w:p>
            <w:r/>
            <w:r>
              <w:rPr>
                <w:b/>
                <w:sz w:val="18"/>
              </w:rPr>
              <w:t>Observation</w:t>
            </w:r>
          </w:p>
        </w:tc>
        <w:tc>
          <w:tcPr>
            <w:tcW w:type="dxa" w:w="7056"/>
          </w:tcPr>
          <w:p>
            <w:r/>
            <w:r>
              <w:rPr>
                <w:b/>
                <w:sz w:val="18"/>
              </w:rPr>
              <w:t>Detail</w:t>
            </w:r>
          </w:p>
        </w:tc>
      </w:tr>
      <w:tr>
        <w:tc>
          <w:tcPr>
            <w:tcW w:type="dxa" w:w="2304"/>
          </w:tcPr>
          <w:p>
            <w:pPr>
              <w:spacing w:after="20"/>
            </w:pPr>
            <w:r/>
            <w:r>
              <w:rPr>
                <w:sz w:val="18"/>
              </w:rPr>
              <w:t>config nearly tripled</w:t>
            </w:r>
          </w:p>
        </w:tc>
        <w:tc>
          <w:tcPr>
            <w:tcW w:type="dxa" w:w="7056"/>
          </w:tcPr>
          <w:p>
            <w:pPr>
              <w:spacing w:after="20"/>
            </w:pPr>
            <w:r/>
            <w:r>
              <w:rPr>
                <w:sz w:val="18"/>
              </w:rPr>
              <w:t>10 to 26. Each service needs its own security, CORS, JPA and API configuration. This is the single largest duplication.</w:t>
            </w:r>
          </w:p>
        </w:tc>
      </w:tr>
      <w:tr>
        <w:tc>
          <w:tcPr>
            <w:tcW w:type="dxa" w:w="2304"/>
          </w:tcPr>
          <w:p>
            <w:pPr>
              <w:spacing w:after="20"/>
            </w:pPr>
            <w:r/>
            <w:r>
              <w:rPr>
                <w:sz w:val="18"/>
              </w:rPr>
              <w:t>api/models grew 24 to 32</w:t>
            </w:r>
          </w:p>
        </w:tc>
        <w:tc>
          <w:tcPr>
            <w:tcW w:type="dxa" w:w="7056"/>
          </w:tcPr>
          <w:p>
            <w:pPr>
              <w:spacing w:after="20"/>
            </w:pPr>
            <w:r/>
            <w:r>
              <w:rPr>
                <w:sz w:val="18"/>
              </w:rPr>
              <w:t>Orders needs the catalogue and person transport models to deserialise contract responses, so some models exist in two services.</w:t>
            </w:r>
          </w:p>
        </w:tc>
      </w:tr>
      <w:tr>
        <w:tc>
          <w:tcPr>
            <w:tcW w:type="dxa" w:w="2304"/>
          </w:tcPr>
          <w:p>
            <w:pPr>
              <w:spacing w:after="20"/>
            </w:pPr>
            <w:r/>
            <w:r>
              <w:rPr>
                <w:sz w:val="18"/>
              </w:rPr>
              <w:t>jpa/entities stayed at 23</w:t>
            </w:r>
          </w:p>
        </w:tc>
        <w:tc>
          <w:tcPr>
            <w:tcW w:type="dxa" w:w="7056"/>
          </w:tcPr>
          <w:p>
            <w:pPr>
              <w:spacing w:after="20"/>
            </w:pPr>
            <w:r/>
            <w:r>
              <w:rPr>
                <w:sz w:val="18"/>
              </w:rPr>
              <w:t>7 + 7 + 9. Exactly the original set, each entity now in precisely one service.</w:t>
            </w:r>
          </w:p>
        </w:tc>
      </w:tr>
      <w:tr>
        <w:tc>
          <w:tcPr>
            <w:tcW w:type="dxa" w:w="2304"/>
          </w:tcPr>
          <w:p>
            <w:pPr>
              <w:spacing w:after="20"/>
            </w:pPr>
            <w:r/>
            <w:r>
              <w:rPr>
                <w:sz w:val="18"/>
              </w:rPr>
              <w:t>jpa/repositories stayed at 23</w:t>
            </w:r>
          </w:p>
        </w:tc>
        <w:tc>
          <w:tcPr>
            <w:tcW w:type="dxa" w:w="7056"/>
          </w:tcPr>
          <w:p>
            <w:pPr>
              <w:spacing w:after="20"/>
            </w:pPr>
            <w:r/>
            <w:r>
              <w:rPr>
                <w:sz w:val="18"/>
              </w:rPr>
              <w:t>Same split. No repository exists in two services.</w:t>
            </w:r>
          </w:p>
        </w:tc>
      </w:tr>
      <w:tr>
        <w:tc>
          <w:tcPr>
            <w:tcW w:type="dxa" w:w="2304"/>
          </w:tcPr>
          <w:p>
            <w:pPr>
              <w:spacing w:after="20"/>
            </w:pPr>
            <w:r/>
            <w:r>
              <w:rPr>
                <w:sz w:val="18"/>
              </w:rPr>
              <w:t>contracts grew 5 to 9</w:t>
            </w:r>
          </w:p>
        </w:tc>
        <w:tc>
          <w:tcPr>
            <w:tcW w:type="dxa" w:w="7056"/>
          </w:tcPr>
          <w:p>
            <w:pPr>
              <w:spacing w:after="20"/>
            </w:pPr>
            <w:r/>
            <w:r>
              <w:rPr>
                <w:sz w:val="18"/>
              </w:rPr>
              <w:t>Orders redeclared the three cross-service contracts to exchange business keys instead of entities, and kept the two local ones.</w:t>
            </w:r>
          </w:p>
        </w:tc>
      </w:tr>
      <w:tr>
        <w:tc>
          <w:tcPr>
            <w:tcW w:type="dxa" w:w="2304"/>
          </w:tcPr>
          <w:p>
            <w:pPr>
              <w:spacing w:after="20"/>
            </w:pPr>
            <w:r/>
            <w:r>
              <w:rPr>
                <w:sz w:val="18"/>
              </w:rPr>
              <w:t>integration/ is new</w:t>
            </w:r>
          </w:p>
        </w:tc>
        <w:tc>
          <w:tcPr>
            <w:tcW w:type="dxa" w:w="7056"/>
          </w:tcPr>
          <w:p>
            <w:pPr>
              <w:spacing w:after="20"/>
            </w:pPr>
            <w:r/>
            <w:r>
              <w:rPr>
                <w:sz w:val="18"/>
              </w:rPr>
              <w:t>4 classes in Orders: the RestClient configuration, the endpoint properties and the caller-token relay. The source had no outbound service calls.</w:t>
            </w:r>
          </w:p>
        </w:tc>
      </w:tr>
      <w:tr>
        <w:tc>
          <w:tcPr>
            <w:tcW w:type="dxa" w:w="2304"/>
          </w:tcPr>
          <w:p>
            <w:pPr>
              <w:spacing w:after="20"/>
            </w:pPr>
            <w:r/>
            <w:r>
              <w:rPr>
                <w:sz w:val="18"/>
              </w:rPr>
              <w:t>mailing/outbox is new</w:t>
            </w:r>
          </w:p>
        </w:tc>
        <w:tc>
          <w:tcPr>
            <w:tcW w:type="dxa" w:w="7056"/>
          </w:tcPr>
          <w:p>
            <w:pPr>
              <w:spacing w:after="20"/>
            </w:pPr>
            <w:r/>
            <w:r>
              <w:rPr>
                <w:sz w:val="18"/>
              </w:rPr>
              <w:t>4 classes. The source sent mail synchronously after commit; there was no broker, queue or scheduled work anywhere.</w:t>
            </w:r>
          </w:p>
        </w:tc>
      </w:tr>
      <w:tr>
        <w:tc>
          <w:tcPr>
            <w:tcW w:type="dxa" w:w="2304"/>
          </w:tcPr>
          <w:p>
            <w:pPr>
              <w:spacing w:after="20"/>
            </w:pPr>
            <w:r/>
            <w:r>
              <w:rPr>
                <w:sz w:val="18"/>
              </w:rPr>
              <w:t>common/ shrank</w:t>
            </w:r>
          </w:p>
        </w:tc>
        <w:tc>
          <w:tcPr>
            <w:tcW w:type="dxa" w:w="7056"/>
          </w:tcPr>
          <w:p>
            <w:pPr>
              <w:spacing w:after="20"/>
            </w:pPr>
            <w:r/>
            <w:r>
              <w:rPr>
                <w:sz w:val="18"/>
              </w:rPr>
              <w:t>The only two packages that went nowhere: common/annotations and its validator - a phone-number annotation that nothing in the source referenced. Dead code, verified before being dropped.</w:t>
            </w:r>
          </w:p>
        </w:tc>
      </w:tr>
    </w:tbl>
    <w:p>
      <w:pPr>
        <w:spacing w:after="80"/>
      </w:pPr>
    </w:p>
    <w:p>
      <w:pPr>
        <w:pStyle w:val="Heading2"/>
      </w:pPr>
      <w:r>
        <w:t>2.6  Resources and schema files</w:t>
      </w:r>
    </w:p>
    <w:tbl>
      <w:tblPr>
        <w:tblStyle w:val="LightGrid-Accent1"/>
        <w:tblW w:type="auto" w:w="0"/>
        <w:jc w:val="center"/>
        <w:tblLook w:firstColumn="1" w:firstRow="1" w:lastColumn="0" w:lastRow="0" w:noHBand="0" w:noVBand="1" w:val="04A0"/>
      </w:tblPr>
      <w:tblGrid>
        <w:gridCol w:w="3312"/>
        <w:gridCol w:w="3312"/>
        <w:gridCol w:w="3312"/>
      </w:tblGrid>
      <w:tr>
        <w:tc>
          <w:tcPr>
            <w:tcW w:type="dxa" w:w="2160"/>
          </w:tcPr>
          <w:p>
            <w:r/>
            <w:r>
              <w:rPr>
                <w:b/>
                <w:sz w:val="18"/>
              </w:rPr>
              <w:t>File</w:t>
            </w:r>
          </w:p>
        </w:tc>
        <w:tc>
          <w:tcPr>
            <w:tcW w:type="dxa" w:w="3600"/>
          </w:tcPr>
          <w:p>
            <w:r/>
            <w:r>
              <w:rPr>
                <w:b/>
                <w:sz w:val="18"/>
              </w:rPr>
              <w:t>Source</w:t>
            </w:r>
          </w:p>
        </w:tc>
        <w:tc>
          <w:tcPr>
            <w:tcW w:type="dxa" w:w="3600"/>
          </w:tcPr>
          <w:p>
            <w:r/>
            <w:r>
              <w:rPr>
                <w:b/>
                <w:sz w:val="18"/>
              </w:rPr>
              <w:t>Target</w:t>
            </w:r>
          </w:p>
        </w:tc>
      </w:tr>
      <w:tr>
        <w:tc>
          <w:tcPr>
            <w:tcW w:type="dxa" w:w="2160"/>
          </w:tcPr>
          <w:p>
            <w:pPr>
              <w:spacing w:after="20"/>
            </w:pPr>
            <w:r/>
            <w:r>
              <w:rPr>
                <w:sz w:val="18"/>
              </w:rPr>
              <w:t>schema-mariadb.sql</w:t>
            </w:r>
          </w:p>
        </w:tc>
        <w:tc>
          <w:tcPr>
            <w:tcW w:type="dxa" w:w="3600"/>
          </w:tcPr>
          <w:p>
            <w:pPr>
              <w:spacing w:after="20"/>
            </w:pPr>
            <w:r/>
            <w:r>
              <w:rPr>
                <w:sz w:val="18"/>
              </w:rPr>
              <w:t>One file, 22 tables (23 after the outbox was added), with cross-domain foreign keys</w:t>
            </w:r>
          </w:p>
        </w:tc>
        <w:tc>
          <w:tcPr>
            <w:tcW w:type="dxa" w:w="3600"/>
          </w:tcPr>
          <w:p>
            <w:pPr>
              <w:spacing w:after="20"/>
            </w:pPr>
            <w:r/>
            <w:r>
              <w:rPr>
                <w:sz w:val="18"/>
              </w:rPr>
              <w:t>Three files - 7, 7 and 9 tables. Every foreign key internal.</w:t>
            </w:r>
          </w:p>
        </w:tc>
      </w:tr>
      <w:tr>
        <w:tc>
          <w:tcPr>
            <w:tcW w:type="dxa" w:w="2160"/>
          </w:tcPr>
          <w:p>
            <w:pPr>
              <w:spacing w:after="20"/>
            </w:pPr>
            <w:r/>
            <w:r>
              <w:rPr>
                <w:sz w:val="18"/>
              </w:rPr>
              <w:t>data.sql</w:t>
            </w:r>
          </w:p>
        </w:tc>
        <w:tc>
          <w:tcPr>
            <w:tcW w:type="dxa" w:w="3600"/>
          </w:tcPr>
          <w:p>
            <w:pPr>
              <w:spacing w:after="20"/>
            </w:pPr>
            <w:r/>
            <w:r>
              <w:rPr>
                <w:sz w:val="18"/>
              </w:rPr>
              <w:t>One file. Included four demonstration accounts with committed bcrypt password hashes.</w:t>
            </w:r>
          </w:p>
        </w:tc>
        <w:tc>
          <w:tcPr>
            <w:tcW w:type="dxa" w:w="3600"/>
          </w:tcPr>
          <w:p>
            <w:pPr>
              <w:spacing w:after="20"/>
            </w:pPr>
            <w:r/>
            <w:r>
              <w:rPr>
                <w:sz w:val="18"/>
              </w:rPr>
              <w:t>Three files. Identity seeds roles, permissions and grants but NO accounts - credentials are no longer committed.</w:t>
            </w:r>
          </w:p>
        </w:tc>
      </w:tr>
      <w:tr>
        <w:tc>
          <w:tcPr>
            <w:tcW w:type="dxa" w:w="2160"/>
          </w:tcPr>
          <w:p>
            <w:pPr>
              <w:spacing w:after="20"/>
            </w:pPr>
            <w:r/>
            <w:r>
              <w:rPr>
                <w:sz w:val="18"/>
              </w:rPr>
              <w:t>application.properties</w:t>
            </w:r>
          </w:p>
        </w:tc>
        <w:tc>
          <w:tcPr>
            <w:tcW w:type="dxa" w:w="3600"/>
          </w:tcPr>
          <w:p>
            <w:pPr>
              <w:spacing w:after="20"/>
            </w:pPr>
            <w:r/>
            <w:r>
              <w:rPr>
                <w:sz w:val="18"/>
              </w:rPr>
              <w:t>One file configuring the whole system, with literal values.</w:t>
            </w:r>
          </w:p>
        </w:tc>
        <w:tc>
          <w:tcPr>
            <w:tcW w:type="dxa" w:w="3600"/>
          </w:tcPr>
          <w:p>
            <w:pPr>
              <w:spacing w:after="20"/>
            </w:pPr>
            <w:r/>
            <w:r>
              <w:rPr>
                <w:sz w:val="18"/>
              </w:rPr>
              <w:t>One per service. Every secret is an environment placeholder; the signing key and database passwords have no default at all.</w:t>
            </w:r>
          </w:p>
        </w:tc>
      </w:tr>
      <w:tr>
        <w:tc>
          <w:tcPr>
            <w:tcW w:type="dxa" w:w="2160"/>
          </w:tcPr>
          <w:p>
            <w:pPr>
              <w:spacing w:after="20"/>
            </w:pPr>
            <w:r/>
            <w:r>
              <w:rPr>
                <w:sz w:val="18"/>
              </w:rPr>
              <w:t>application-mailgun.empty.properties</w:t>
            </w:r>
          </w:p>
        </w:tc>
        <w:tc>
          <w:tcPr>
            <w:tcW w:type="dxa" w:w="3600"/>
          </w:tcPr>
          <w:p>
            <w:pPr>
              <w:spacing w:after="20"/>
            </w:pPr>
            <w:r/>
            <w:r>
              <w:rPr>
                <w:sz w:val="18"/>
              </w:rPr>
              <w:t>Present</w:t>
            </w:r>
          </w:p>
        </w:tc>
        <w:tc>
          <w:tcPr>
            <w:tcW w:type="dxa" w:w="3600"/>
          </w:tcPr>
          <w:p>
            <w:pPr>
              <w:spacing w:after="20"/>
            </w:pPr>
            <w:r/>
            <w:r>
              <w:rPr>
                <w:sz w:val="18"/>
              </w:rPr>
              <w:t>Carried into Orders, the only service that sends mail.</w:t>
            </w:r>
          </w:p>
        </w:tc>
      </w:tr>
    </w:tbl>
    <w:p>
      <w:pPr>
        <w:spacing w:after="80"/>
      </w:pPr>
    </w:p>
    <w:p>
      <w:pPr>
        <w:pStyle w:val="Heading2"/>
      </w:pPr>
      <w:r>
        <w:t>2.7  Files that were not carried across</w:t>
      </w:r>
    </w:p>
    <w:p>
      <w:pPr>
        <w:spacing w:after="120"/>
      </w:pPr>
      <w:r>
        <w:rPr>
          <w:b/>
          <w:i w:val="0"/>
          <w:color w:val="A61C1C"/>
          <w:sz w:val="21"/>
        </w:rPr>
        <w:t>This is the one finding in this comparison that needs action rather than just recording. The project governance files lived inside the monolith module, not at the repository root, so they were removed when the module was deleted and they were not relocated.</w:t>
      </w:r>
    </w:p>
    <w:tbl>
      <w:tblPr>
        <w:tblStyle w:val="LightGrid-Accent1"/>
        <w:tblW w:type="auto" w:w="0"/>
        <w:jc w:val="center"/>
        <w:tblLook w:firstColumn="1" w:firstRow="1" w:lastColumn="0" w:lastRow="0" w:noHBand="0" w:noVBand="1" w:val="04A0"/>
      </w:tblPr>
      <w:tblGrid>
        <w:gridCol w:w="3312"/>
        <w:gridCol w:w="3312"/>
        <w:gridCol w:w="3312"/>
      </w:tblGrid>
      <w:tr>
        <w:tc>
          <w:tcPr>
            <w:tcW w:type="dxa" w:w="2160"/>
          </w:tcPr>
          <w:p>
            <w:r/>
            <w:r>
              <w:rPr>
                <w:b/>
                <w:sz w:val="18"/>
              </w:rPr>
              <w:t>File</w:t>
            </w:r>
          </w:p>
        </w:tc>
        <w:tc>
          <w:tcPr>
            <w:tcW w:type="dxa" w:w="2304"/>
          </w:tcPr>
          <w:p>
            <w:r/>
            <w:r>
              <w:rPr>
                <w:b/>
                <w:sz w:val="18"/>
              </w:rPr>
              <w:t>What it was</w:t>
            </w:r>
          </w:p>
        </w:tc>
        <w:tc>
          <w:tcPr>
            <w:tcW w:type="dxa" w:w="4896"/>
          </w:tcPr>
          <w:p>
            <w:r/>
            <w:r>
              <w:rPr>
                <w:b/>
                <w:sz w:val="18"/>
              </w:rPr>
              <w:t>Impact</w:t>
            </w:r>
          </w:p>
        </w:tc>
      </w:tr>
      <w:tr>
        <w:tc>
          <w:tcPr>
            <w:tcW w:type="dxa" w:w="2160"/>
          </w:tcPr>
          <w:p>
            <w:pPr>
              <w:spacing w:after="20"/>
            </w:pPr>
            <w:r/>
            <w:r>
              <w:rPr>
                <w:sz w:val="18"/>
              </w:rPr>
              <w:t>LICENSE</w:t>
            </w:r>
          </w:p>
        </w:tc>
        <w:tc>
          <w:tcPr>
            <w:tcW w:type="dxa" w:w="2304"/>
          </w:tcPr>
          <w:p>
            <w:pPr>
              <w:spacing w:after="20"/>
            </w:pPr>
            <w:r/>
            <w:r>
              <w:rPr>
                <w:sz w:val="18"/>
              </w:rPr>
              <w:t>The project licence text</w:t>
            </w:r>
          </w:p>
        </w:tc>
        <w:tc>
          <w:tcPr>
            <w:tcW w:type="dxa" w:w="4896"/>
          </w:tcPr>
          <w:p>
            <w:pPr>
              <w:spacing w:after="20"/>
            </w:pPr>
            <w:r/>
            <w:r>
              <w:rPr>
                <w:sz w:val="18"/>
              </w:rPr>
              <w:t>Every source file in all three services still carries an MIT-style copyright header referring to a licence that is no longer in the repository. This is a licensing hygiene problem and should be restored.</w:t>
            </w:r>
          </w:p>
        </w:tc>
      </w:tr>
      <w:tr>
        <w:tc>
          <w:tcPr>
            <w:tcW w:type="dxa" w:w="2160"/>
          </w:tcPr>
          <w:p>
            <w:pPr>
              <w:spacing w:after="20"/>
            </w:pPr>
            <w:r/>
            <w:r>
              <w:rPr>
                <w:sz w:val="18"/>
              </w:rPr>
              <w:t>.github/workflows/build.yml</w:t>
            </w:r>
          </w:p>
        </w:tc>
        <w:tc>
          <w:tcPr>
            <w:tcW w:type="dxa" w:w="2304"/>
          </w:tcPr>
          <w:p>
            <w:pPr>
              <w:spacing w:after="20"/>
            </w:pPr>
            <w:r/>
            <w:r>
              <w:rPr>
                <w:sz w:val="18"/>
              </w:rPr>
              <w:t>The CI pipeline</w:t>
            </w:r>
          </w:p>
        </w:tc>
        <w:tc>
          <w:tcPr>
            <w:tcW w:type="dxa" w:w="4896"/>
          </w:tcPr>
          <w:p>
            <w:pPr>
              <w:spacing w:after="20"/>
            </w:pPr>
            <w:r/>
            <w:r>
              <w:rPr>
                <w:sz w:val="18"/>
              </w:rPr>
              <w:t>There is now no automated build on push. The old workflow also targeted the monolith module, so it needs rewriting for the four-module reactor rather than simply restoring.</w:t>
            </w:r>
          </w:p>
        </w:tc>
      </w:tr>
      <w:tr>
        <w:tc>
          <w:tcPr>
            <w:tcW w:type="dxa" w:w="2160"/>
          </w:tcPr>
          <w:p>
            <w:pPr>
              <w:spacing w:after="20"/>
            </w:pPr>
            <w:r/>
            <w:r>
              <w:rPr>
                <w:sz w:val="18"/>
              </w:rPr>
              <w:t>README.md</w:t>
            </w:r>
          </w:p>
        </w:tc>
        <w:tc>
          <w:tcPr>
            <w:tcW w:type="dxa" w:w="2304"/>
          </w:tcPr>
          <w:p>
            <w:pPr>
              <w:spacing w:after="20"/>
            </w:pPr>
            <w:r/>
            <w:r>
              <w:rPr>
                <w:sz w:val="18"/>
              </w:rPr>
              <w:t>Project overview and build instructions</w:t>
            </w:r>
          </w:p>
        </w:tc>
        <w:tc>
          <w:tcPr>
            <w:tcW w:type="dxa" w:w="4896"/>
          </w:tcPr>
          <w:p>
            <w:pPr>
              <w:spacing w:after="20"/>
            </w:pPr>
            <w:r/>
            <w:r>
              <w:rPr>
                <w:sz w:val="18"/>
              </w:rPr>
              <w:t>A new reader has no entry point. Needs rewriting for the three-service architecture, not restoring.</w:t>
            </w:r>
          </w:p>
        </w:tc>
      </w:tr>
      <w:tr>
        <w:tc>
          <w:tcPr>
            <w:tcW w:type="dxa" w:w="2160"/>
          </w:tcPr>
          <w:p>
            <w:pPr>
              <w:spacing w:after="20"/>
            </w:pPr>
            <w:r/>
            <w:r>
              <w:rPr>
                <w:sz w:val="18"/>
              </w:rPr>
              <w:t>CONTRIBUTING.md, CHANGELOG.md</w:t>
            </w:r>
          </w:p>
        </w:tc>
        <w:tc>
          <w:tcPr>
            <w:tcW w:type="dxa" w:w="2304"/>
          </w:tcPr>
          <w:p>
            <w:pPr>
              <w:spacing w:after="20"/>
            </w:pPr>
            <w:r/>
            <w:r>
              <w:rPr>
                <w:sz w:val="18"/>
              </w:rPr>
              <w:t>Contribution guide and history</w:t>
            </w:r>
          </w:p>
        </w:tc>
        <w:tc>
          <w:tcPr>
            <w:tcW w:type="dxa" w:w="4896"/>
          </w:tcPr>
          <w:p>
            <w:pPr>
              <w:spacing w:after="20"/>
            </w:pPr>
            <w:r/>
            <w:r>
              <w:rPr>
                <w:sz w:val="18"/>
              </w:rPr>
              <w:t>Should be restored; the changelog deserves an entry for this migration.</w:t>
            </w:r>
          </w:p>
        </w:tc>
      </w:tr>
      <w:tr>
        <w:tc>
          <w:tcPr>
            <w:tcW w:type="dxa" w:w="2160"/>
          </w:tcPr>
          <w:p>
            <w:pPr>
              <w:spacing w:after="20"/>
            </w:pPr>
            <w:r/>
            <w:r>
              <w:rPr>
                <w:sz w:val="18"/>
              </w:rPr>
              <w:t>.editorconfig</w:t>
            </w:r>
          </w:p>
        </w:tc>
        <w:tc>
          <w:tcPr>
            <w:tcW w:type="dxa" w:w="2304"/>
          </w:tcPr>
          <w:p>
            <w:pPr>
              <w:spacing w:after="20"/>
            </w:pPr>
            <w:r/>
            <w:r>
              <w:rPr>
                <w:sz w:val="18"/>
              </w:rPr>
              <w:t>Editor settings, including line-ending policy</w:t>
            </w:r>
          </w:p>
        </w:tc>
        <w:tc>
          <w:tcPr>
            <w:tcW w:type="dxa" w:w="4896"/>
          </w:tcPr>
          <w:p>
            <w:pPr>
              <w:spacing w:after="20"/>
            </w:pPr>
            <w:r/>
            <w:r>
              <w:rPr>
                <w:sz w:val="18"/>
              </w:rPr>
              <w:t>Worth restoring - the repository is CRLF throughout and two files have already drifted to mixed endings.</w:t>
            </w:r>
          </w:p>
        </w:tc>
      </w:tr>
      <w:tr>
        <w:tc>
          <w:tcPr>
            <w:tcW w:type="dxa" w:w="2160"/>
          </w:tcPr>
          <w:p>
            <w:pPr>
              <w:spacing w:after="20"/>
            </w:pPr>
            <w:r/>
            <w:r>
              <w:rPr>
                <w:sz w:val="18"/>
              </w:rPr>
              <w:t>.github/ISSUE_TEMPLATE/ (3), PULL_REQUEST_TEMPLATE.md</w:t>
            </w:r>
          </w:p>
        </w:tc>
        <w:tc>
          <w:tcPr>
            <w:tcW w:type="dxa" w:w="2304"/>
          </w:tcPr>
          <w:p>
            <w:pPr>
              <w:spacing w:after="20"/>
            </w:pPr>
            <w:r/>
            <w:r>
              <w:rPr>
                <w:sz w:val="18"/>
              </w:rPr>
              <w:t>Issue and PR templates</w:t>
            </w:r>
          </w:p>
        </w:tc>
        <w:tc>
          <w:tcPr>
            <w:tcW w:type="dxa" w:w="4896"/>
          </w:tcPr>
          <w:p>
            <w:pPr>
              <w:spacing w:after="20"/>
            </w:pPr>
            <w:r/>
            <w:r>
              <w:rPr>
                <w:sz w:val="18"/>
              </w:rPr>
              <w:t>Cosmetic.</w:t>
            </w:r>
          </w:p>
        </w:tc>
      </w:tr>
      <w:tr>
        <w:tc>
          <w:tcPr>
            <w:tcW w:type="dxa" w:w="2160"/>
          </w:tcPr>
          <w:p>
            <w:pPr>
              <w:spacing w:after="20"/>
            </w:pPr>
            <w:r/>
            <w:r>
              <w:rPr>
                <w:sz w:val="18"/>
              </w:rPr>
              <w:t>schema.png</w:t>
            </w:r>
          </w:p>
        </w:tc>
        <w:tc>
          <w:tcPr>
            <w:tcW w:type="dxa" w:w="2304"/>
          </w:tcPr>
          <w:p>
            <w:pPr>
              <w:spacing w:after="20"/>
            </w:pPr>
            <w:r/>
            <w:r>
              <w:rPr>
                <w:sz w:val="18"/>
              </w:rPr>
              <w:t>A diagram of the old shared 22-table schema</w:t>
            </w:r>
          </w:p>
        </w:tc>
        <w:tc>
          <w:tcPr>
            <w:tcW w:type="dxa" w:w="4896"/>
          </w:tcPr>
          <w:p>
            <w:pPr>
              <w:spacing w:after="20"/>
            </w:pPr>
            <w:r/>
            <w:r>
              <w:rPr>
                <w:sz w:val="18"/>
              </w:rPr>
              <w:t>Obsolete by design. Superseded by the diagrams in this pack.</w:t>
            </w:r>
          </w:p>
        </w:tc>
      </w:tr>
      <w:tr>
        <w:tc>
          <w:tcPr>
            <w:tcW w:type="dxa" w:w="2160"/>
          </w:tcPr>
          <w:p>
            <w:pPr>
              <w:spacing w:after="20"/>
            </w:pPr>
            <w:r/>
            <w:r>
              <w:rPr>
                <w:sz w:val="18"/>
              </w:rPr>
              <w:t>.gitignore</w:t>
            </w:r>
          </w:p>
        </w:tc>
        <w:tc>
          <w:tcPr>
            <w:tcW w:type="dxa" w:w="2304"/>
          </w:tcPr>
          <w:p>
            <w:pPr>
              <w:spacing w:after="20"/>
            </w:pPr>
            <w:r/>
            <w:r>
              <w:rPr>
                <w:sz w:val="18"/>
              </w:rPr>
              <w:t>Module-level ignore rules</w:t>
            </w:r>
          </w:p>
        </w:tc>
        <w:tc>
          <w:tcPr>
            <w:tcW w:type="dxa" w:w="4896"/>
          </w:tcPr>
          <w:p>
            <w:pPr>
              <w:spacing w:after="20"/>
            </w:pPr>
            <w:r/>
            <w:r>
              <w:rPr>
                <w:sz w:val="18"/>
              </w:rPr>
              <w:t>A root .gitignore exists but covers only log files. Build output is tracked in version control as a result - a pre-existing issue.</w:t>
            </w:r>
          </w:p>
        </w:tc>
      </w:tr>
    </w:tbl>
    <w:p>
      <w:pPr>
        <w:spacing w:after="80"/>
      </w:pPr>
    </w:p>
    <w:p>
      <w:pPr>
        <w:spacing w:after="120"/>
      </w:pPr>
      <w:r>
        <w:rPr>
          <w:b w:val="0"/>
          <w:i w:val="0"/>
          <w:sz w:val="21"/>
        </w:rPr>
        <w:t>All of these remain recoverable from version control at commit 8f4e22b. Restoring the licence is a one-line operation; the README and CI workflow need to be rewritten for the new structure rather than copied back, because both described a module that no longer exists.</w:t>
      </w:r>
    </w:p>
    <w:p>
      <w:pPr>
        <w:pStyle w:val="Heading2"/>
      </w:pPr>
      <w:r>
        <w:t>2.8  Test structure</w:t>
      </w:r>
    </w:p>
    <w:tbl>
      <w:tblPr>
        <w:tblStyle w:val="LightGrid-Accent1"/>
        <w:tblW w:type="auto" w:w="0"/>
        <w:jc w:val="center"/>
        <w:tblLook w:firstColumn="1" w:firstRow="1" w:lastColumn="0" w:lastRow="0" w:noHBand="0" w:noVBand="1" w:val="04A0"/>
      </w:tblPr>
      <w:tblGrid>
        <w:gridCol w:w="3312"/>
        <w:gridCol w:w="3312"/>
        <w:gridCol w:w="3312"/>
      </w:tblGrid>
      <w:tr>
        <w:tc>
          <w:tcPr>
            <w:tcW w:type="dxa" w:w="2160"/>
          </w:tcPr>
          <w:p>
            <w:r/>
            <w:r>
              <w:rPr>
                <w:b/>
                <w:sz w:val="18"/>
              </w:rPr>
              <w:t>Measure</w:t>
            </w:r>
          </w:p>
        </w:tc>
        <w:tc>
          <w:tcPr>
            <w:tcW w:type="dxa" w:w="3456"/>
          </w:tcPr>
          <w:p>
            <w:r/>
            <w:r>
              <w:rPr>
                <w:b/>
                <w:sz w:val="18"/>
              </w:rPr>
              <w:t>Source</w:t>
            </w:r>
          </w:p>
        </w:tc>
        <w:tc>
          <w:tcPr>
            <w:tcW w:type="dxa" w:w="3744"/>
          </w:tcPr>
          <w:p>
            <w:r/>
            <w:r>
              <w:rPr>
                <w:b/>
                <w:sz w:val="18"/>
              </w:rPr>
              <w:t>Target</w:t>
            </w:r>
          </w:p>
        </w:tc>
      </w:tr>
      <w:tr>
        <w:tc>
          <w:tcPr>
            <w:tcW w:type="dxa" w:w="2160"/>
          </w:tcPr>
          <w:p>
            <w:pPr>
              <w:spacing w:after="20"/>
            </w:pPr>
            <w:r/>
            <w:r>
              <w:rPr>
                <w:sz w:val="18"/>
              </w:rPr>
              <w:t>Test source files</w:t>
            </w:r>
          </w:p>
        </w:tc>
        <w:tc>
          <w:tcPr>
            <w:tcW w:type="dxa" w:w="3456"/>
          </w:tcPr>
          <w:p>
            <w:pPr>
              <w:spacing w:after="20"/>
            </w:pPr>
            <w:r/>
            <w:r>
              <w:rPr>
                <w:sz w:val="18"/>
              </w:rPr>
              <w:t>132</w:t>
            </w:r>
          </w:p>
        </w:tc>
        <w:tc>
          <w:tcPr>
            <w:tcW w:type="dxa" w:w="3744"/>
          </w:tcPr>
          <w:p>
            <w:pPr>
              <w:spacing w:after="20"/>
            </w:pPr>
            <w:r/>
            <w:r>
              <w:rPr>
                <w:sz w:val="18"/>
              </w:rPr>
              <w:t>149 across four modules</w:t>
            </w:r>
          </w:p>
        </w:tc>
      </w:tr>
      <w:tr>
        <w:tc>
          <w:tcPr>
            <w:tcW w:type="dxa" w:w="2160"/>
          </w:tcPr>
          <w:p>
            <w:pPr>
              <w:spacing w:after="20"/>
            </w:pPr>
            <w:r/>
            <w:r>
              <w:rPr>
                <w:sz w:val="18"/>
              </w:rPr>
              <w:t>Tests executed</w:t>
            </w:r>
          </w:p>
        </w:tc>
        <w:tc>
          <w:tcPr>
            <w:tcW w:type="dxa" w:w="3456"/>
          </w:tcPr>
          <w:p>
            <w:pPr>
              <w:spacing w:after="20"/>
            </w:pPr>
            <w:r/>
            <w:r>
              <w:rPr>
                <w:sz w:val="18"/>
              </w:rPr>
              <w:t>460 (363 before the programme began, with 3 permanently failing)</w:t>
            </w:r>
          </w:p>
        </w:tc>
        <w:tc>
          <w:tcPr>
            <w:tcW w:type="dxa" w:w="3744"/>
          </w:tcPr>
          <w:p>
            <w:pPr>
              <w:spacing w:after="20"/>
            </w:pPr>
            <w:r/>
            <w:r>
              <w:rPr>
                <w:sz w:val="18"/>
              </w:rPr>
              <w:t>495, all passing</w:t>
            </w:r>
          </w:p>
        </w:tc>
      </w:tr>
      <w:tr>
        <w:tc>
          <w:tcPr>
            <w:tcW w:type="dxa" w:w="2160"/>
          </w:tcPr>
          <w:p>
            <w:pPr>
              <w:spacing w:after="20"/>
            </w:pPr>
            <w:r/>
            <w:r>
              <w:rPr>
                <w:sz w:val="18"/>
              </w:rPr>
              <w:t>Architecture tests</w:t>
            </w:r>
          </w:p>
        </w:tc>
        <w:tc>
          <w:tcPr>
            <w:tcW w:type="dxa" w:w="3456"/>
          </w:tcPr>
          <w:p>
            <w:pPr>
              <w:spacing w:after="20"/>
            </w:pPr>
            <w:r/>
            <w:r>
              <w:rPr>
                <w:sz w:val="18"/>
              </w:rPr>
              <w:t>2</w:t>
            </w:r>
          </w:p>
        </w:tc>
        <w:tc>
          <w:tcPr>
            <w:tcW w:type="dxa" w:w="3744"/>
          </w:tcPr>
          <w:p>
            <w:pPr>
              <w:spacing w:after="20"/>
            </w:pPr>
            <w:r/>
            <w:r>
              <w:rPr>
                <w:sz w:val="18"/>
              </w:rPr>
              <w:t>7 - route parity, authority literals and boundary coupling, per service</w:t>
            </w:r>
          </w:p>
        </w:tc>
      </w:tr>
      <w:tr>
        <w:tc>
          <w:tcPr>
            <w:tcW w:type="dxa" w:w="2160"/>
          </w:tcPr>
          <w:p>
            <w:pPr>
              <w:spacing w:after="20"/>
            </w:pPr>
            <w:r/>
            <w:r>
              <w:rPr>
                <w:sz w:val="18"/>
              </w:rPr>
              <w:t>Context-load tests</w:t>
            </w:r>
          </w:p>
        </w:tc>
        <w:tc>
          <w:tcPr>
            <w:tcW w:type="dxa" w:w="3456"/>
          </w:tcPr>
          <w:p>
            <w:pPr>
              <w:spacing w:after="20"/>
            </w:pPr>
            <w:r/>
            <w:r>
              <w:rPr>
                <w:sz w:val="18"/>
              </w:rPr>
              <w:t>1 (BackendAppTest)</w:t>
            </w:r>
          </w:p>
        </w:tc>
        <w:tc>
          <w:tcPr>
            <w:tcW w:type="dxa" w:w="3744"/>
          </w:tcPr>
          <w:p>
            <w:pPr>
              <w:spacing w:after="20"/>
            </w:pPr>
            <w:r/>
            <w:r>
              <w:rPr>
                <w:sz w:val="18"/>
              </w:rPr>
              <w:t>3, one per service</w:t>
            </w:r>
          </w:p>
        </w:tc>
      </w:tr>
      <w:tr>
        <w:tc>
          <w:tcPr>
            <w:tcW w:type="dxa" w:w="2160"/>
          </w:tcPr>
          <w:p>
            <w:pPr>
              <w:spacing w:after="20"/>
            </w:pPr>
            <w:r/>
            <w:r>
              <w:rPr>
                <w:sz w:val="18"/>
              </w:rPr>
              <w:t>Authority catalogue tests</w:t>
            </w:r>
          </w:p>
        </w:tc>
        <w:tc>
          <w:tcPr>
            <w:tcW w:type="dxa" w:w="3456"/>
          </w:tcPr>
          <w:p>
            <w:pPr>
              <w:spacing w:after="20"/>
            </w:pPr>
            <w:r/>
            <w:r>
              <w:rPr>
                <w:sz w:val="18"/>
              </w:rPr>
              <w:t>In the monolith test tree</w:t>
            </w:r>
          </w:p>
        </w:tc>
        <w:tc>
          <w:tcPr>
            <w:tcW w:type="dxa" w:w="3744"/>
          </w:tcPr>
          <w:p>
            <w:pPr>
              <w:spacing w:after="20"/>
            </w:pPr>
            <w:r/>
            <w:r>
              <w:rPr>
                <w:sz w:val="18"/>
              </w:rPr>
              <w:t>Moved into shared-contracts, with the generator, so the catalogue stays a generated artefact</w:t>
            </w:r>
          </w:p>
        </w:tc>
      </w:tr>
    </w:tbl>
    <w:p>
      <w:pPr>
        <w:spacing w:after="80"/>
      </w:pPr>
    </w:p>
    <w:p>
      <w:pPr>
        <w:spacing w:after="120"/>
      </w:pPr>
      <w:r>
        <w:rPr>
          <w:b w:val="0"/>
          <w:i/>
          <w:color w:val="595959"/>
          <w:sz w:val="19"/>
        </w:rPr>
        <w:t>Five test classes covering live code were found missing during decommissioning and restored - including the only executing evidence for the payment callback criterion. The comparison that found them was a test-class diff against the monolith in version control, which is the same technique this document uses for its counts.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