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70F56" w14:textId="36F17E9A" w:rsidR="00794AFD" w:rsidRDefault="00847642" w:rsidP="00847642">
      <w:pPr>
        <w:jc w:val="center"/>
        <w:rPr>
          <w:b/>
          <w:bCs/>
          <w:sz w:val="72"/>
          <w:szCs w:val="72"/>
          <w:u w:val="single"/>
          <w:lang w:val="en-US"/>
        </w:rPr>
      </w:pPr>
      <w:r w:rsidRPr="00847642">
        <w:rPr>
          <w:b/>
          <w:bCs/>
          <w:sz w:val="72"/>
          <w:szCs w:val="72"/>
          <w:u w:val="single"/>
          <w:lang w:val="en-US"/>
        </w:rPr>
        <w:t>CaseProject3</w:t>
      </w:r>
    </w:p>
    <w:p w14:paraId="07162240" w14:textId="66C3AB20" w:rsidR="00847642" w:rsidRPr="00847642" w:rsidRDefault="00847642" w:rsidP="00847642">
      <w:pPr>
        <w:rPr>
          <w:b/>
          <w:bCs/>
          <w:sz w:val="40"/>
          <w:szCs w:val="40"/>
          <w:lang w:val="en-US"/>
        </w:rPr>
      </w:pPr>
      <w:r w:rsidRPr="00847642">
        <w:rPr>
          <w:b/>
          <w:bCs/>
          <w:sz w:val="40"/>
          <w:szCs w:val="40"/>
          <w:lang w:val="en-US"/>
        </w:rPr>
        <w:t>From the CaseProject3.csv</w:t>
      </w:r>
    </w:p>
    <w:p w14:paraId="4CAE8F52" w14:textId="5A7D206C" w:rsidR="00847642" w:rsidRPr="00906006" w:rsidRDefault="00000CC8" w:rsidP="00847642">
      <w:pPr>
        <w:rPr>
          <w:b/>
          <w:bCs/>
          <w:sz w:val="32"/>
          <w:szCs w:val="32"/>
          <w:u w:val="single"/>
          <w:lang w:val="en-US"/>
        </w:rPr>
      </w:pPr>
      <w:r>
        <w:rPr>
          <w:b/>
          <w:bCs/>
          <w:sz w:val="32"/>
          <w:szCs w:val="32"/>
          <w:u w:val="single"/>
          <w:lang w:val="en-US"/>
        </w:rPr>
        <w:t>Model1_</w:t>
      </w:r>
      <w:r w:rsidR="00847642" w:rsidRPr="00906006">
        <w:rPr>
          <w:b/>
          <w:bCs/>
          <w:sz w:val="32"/>
          <w:szCs w:val="32"/>
          <w:u w:val="single"/>
          <w:lang w:val="en-US"/>
        </w:rPr>
        <w:t>Summary after performing regression analysis:</w:t>
      </w:r>
    </w:p>
    <w:p w14:paraId="17524AE6" w14:textId="4D400199" w:rsidR="00847642" w:rsidRDefault="00847642" w:rsidP="00847642">
      <w:pPr>
        <w:rPr>
          <w:b/>
          <w:bCs/>
          <w:sz w:val="32"/>
          <w:szCs w:val="32"/>
          <w:lang w:val="en-US"/>
        </w:rPr>
      </w:pPr>
      <w:r w:rsidRPr="00847642">
        <w:rPr>
          <w:b/>
          <w:bCs/>
          <w:sz w:val="32"/>
          <w:szCs w:val="32"/>
          <w:lang w:val="en-US"/>
        </w:rPr>
        <w:drawing>
          <wp:inline distT="0" distB="0" distL="0" distR="0" wp14:anchorId="2B8A2E3E" wp14:editId="39E3E9E8">
            <wp:extent cx="5731510" cy="2889885"/>
            <wp:effectExtent l="0" t="0" r="2540" b="5715"/>
            <wp:docPr id="21137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99818" name=""/>
                    <pic:cNvPicPr/>
                  </pic:nvPicPr>
                  <pic:blipFill>
                    <a:blip r:embed="rId5"/>
                    <a:stretch>
                      <a:fillRect/>
                    </a:stretch>
                  </pic:blipFill>
                  <pic:spPr>
                    <a:xfrm>
                      <a:off x="0" y="0"/>
                      <a:ext cx="5731510" cy="2889885"/>
                    </a:xfrm>
                    <a:prstGeom prst="rect">
                      <a:avLst/>
                    </a:prstGeom>
                  </pic:spPr>
                </pic:pic>
              </a:graphicData>
            </a:graphic>
          </wp:inline>
        </w:drawing>
      </w:r>
    </w:p>
    <w:p w14:paraId="04BD27AB" w14:textId="69FACB7A" w:rsidR="00906006" w:rsidRPr="00906006" w:rsidRDefault="00906006" w:rsidP="00906006">
      <w:pPr>
        <w:rPr>
          <w:rFonts w:ascii="Segoe UI Emoji" w:hAnsi="Segoe UI Emoji" w:cs="Segoe UI Emoji"/>
          <w:b/>
          <w:bCs/>
          <w:sz w:val="32"/>
          <w:szCs w:val="32"/>
        </w:rPr>
      </w:pPr>
      <w:r w:rsidRPr="00906006">
        <w:rPr>
          <w:rFonts w:ascii="Segoe UI Emoji" w:hAnsi="Segoe UI Emoji" w:cs="Segoe UI Emoji"/>
          <w:b/>
          <w:bCs/>
          <w:sz w:val="32"/>
          <w:szCs w:val="32"/>
        </w:rPr>
        <w:t>Interpretation of the Regression Output</w:t>
      </w:r>
      <w:r w:rsidRPr="00906006">
        <w:rPr>
          <w:rFonts w:ascii="Segoe UI Emoji" w:hAnsi="Segoe UI Emoji" w:cs="Segoe UI Emoji"/>
          <w:b/>
          <w:bCs/>
          <w:sz w:val="32"/>
          <w:szCs w:val="32"/>
        </w:rPr>
        <w:t>:</w:t>
      </w:r>
    </w:p>
    <w:p w14:paraId="67A78F01" w14:textId="77777777" w:rsidR="00906006" w:rsidRPr="00906006" w:rsidRDefault="00906006" w:rsidP="00906006">
      <w:pPr>
        <w:numPr>
          <w:ilvl w:val="0"/>
          <w:numId w:val="3"/>
        </w:numPr>
        <w:rPr>
          <w:rFonts w:ascii="Segoe UI Emoji" w:hAnsi="Segoe UI Emoji" w:cs="Segoe UI Emoji"/>
          <w:sz w:val="32"/>
          <w:szCs w:val="32"/>
        </w:rPr>
      </w:pPr>
      <w:r w:rsidRPr="00906006">
        <w:rPr>
          <w:rFonts w:ascii="Segoe UI Emoji" w:hAnsi="Segoe UI Emoji" w:cs="Segoe UI Emoji"/>
          <w:sz w:val="32"/>
          <w:szCs w:val="32"/>
        </w:rPr>
        <w:t>The R Square (R²) value is 0.5455, meaning 54.55% of the variation in the target variable is explained by the independent variables in the model.</w:t>
      </w:r>
    </w:p>
    <w:p w14:paraId="222608EF" w14:textId="77777777" w:rsidR="00906006" w:rsidRPr="00906006" w:rsidRDefault="00906006" w:rsidP="00906006">
      <w:pPr>
        <w:numPr>
          <w:ilvl w:val="0"/>
          <w:numId w:val="3"/>
        </w:numPr>
        <w:rPr>
          <w:rFonts w:ascii="Segoe UI Emoji" w:hAnsi="Segoe UI Emoji" w:cs="Segoe UI Emoji"/>
          <w:sz w:val="32"/>
          <w:szCs w:val="32"/>
        </w:rPr>
      </w:pPr>
      <w:r w:rsidRPr="00906006">
        <w:rPr>
          <w:rFonts w:ascii="Segoe UI Emoji" w:hAnsi="Segoe UI Emoji" w:cs="Segoe UI Emoji"/>
          <w:sz w:val="32"/>
          <w:szCs w:val="32"/>
        </w:rPr>
        <w:t>The Adjusted R Square value is 0.5338, which is more reliable because it accounts for the number of predictors and reduces the effect of overfitting.</w:t>
      </w:r>
    </w:p>
    <w:p w14:paraId="28317E0F" w14:textId="77777777" w:rsidR="00906006" w:rsidRPr="00906006" w:rsidRDefault="00906006" w:rsidP="00906006">
      <w:pPr>
        <w:numPr>
          <w:ilvl w:val="0"/>
          <w:numId w:val="3"/>
        </w:numPr>
        <w:rPr>
          <w:rFonts w:ascii="Segoe UI Emoji" w:hAnsi="Segoe UI Emoji" w:cs="Segoe UI Emoji"/>
          <w:sz w:val="32"/>
          <w:szCs w:val="32"/>
        </w:rPr>
      </w:pPr>
      <w:r w:rsidRPr="00906006">
        <w:rPr>
          <w:rFonts w:ascii="Segoe UI Emoji" w:hAnsi="Segoe UI Emoji" w:cs="Segoe UI Emoji"/>
          <w:sz w:val="32"/>
          <w:szCs w:val="32"/>
        </w:rPr>
        <w:t>The Standard Error is 3.5166, representing the average prediction error. This means predictions from the model deviate from the actual values by about 3.52 units on average.</w:t>
      </w:r>
    </w:p>
    <w:p w14:paraId="0DBDD8FF" w14:textId="77777777" w:rsidR="00906006" w:rsidRPr="00906006" w:rsidRDefault="00906006" w:rsidP="00906006">
      <w:pPr>
        <w:rPr>
          <w:rFonts w:ascii="Segoe UI Emoji" w:hAnsi="Segoe UI Emoji" w:cs="Segoe UI Emoji"/>
          <w:sz w:val="32"/>
          <w:szCs w:val="32"/>
        </w:rPr>
      </w:pPr>
      <w:r w:rsidRPr="00906006">
        <w:rPr>
          <w:rFonts w:ascii="Segoe UI Emoji" w:hAnsi="Segoe UI Emoji" w:cs="Segoe UI Emoji"/>
          <w:sz w:val="32"/>
          <w:szCs w:val="32"/>
        </w:rPr>
        <w:pict w14:anchorId="7A980C35">
          <v:rect id="_x0000_i1055" style="width:0;height:1.5pt" o:hralign="center" o:hrstd="t" o:hr="t" fillcolor="#a0a0a0" stroked="f"/>
        </w:pict>
      </w:r>
    </w:p>
    <w:p w14:paraId="473A766B" w14:textId="67E04BEF" w:rsidR="00906006" w:rsidRPr="00906006" w:rsidRDefault="00906006" w:rsidP="00906006">
      <w:pPr>
        <w:rPr>
          <w:rFonts w:ascii="Segoe UI Emoji" w:hAnsi="Segoe UI Emoji" w:cs="Segoe UI Emoji"/>
          <w:b/>
          <w:bCs/>
          <w:sz w:val="32"/>
          <w:szCs w:val="32"/>
        </w:rPr>
      </w:pPr>
      <w:r w:rsidRPr="00906006">
        <w:rPr>
          <w:rFonts w:ascii="Segoe UI Emoji" w:hAnsi="Segoe UI Emoji" w:cs="Segoe UI Emoji"/>
          <w:b/>
          <w:bCs/>
          <w:sz w:val="32"/>
          <w:szCs w:val="32"/>
        </w:rPr>
        <w:t>Individual Predictor Analysis (Based on P-values):</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448"/>
        <w:gridCol w:w="1290"/>
        <w:gridCol w:w="1069"/>
        <w:gridCol w:w="5832"/>
      </w:tblGrid>
      <w:tr w:rsidR="00906006" w:rsidRPr="00906006" w14:paraId="5F6CE97F" w14:textId="77777777" w:rsidTr="00906006">
        <w:trPr>
          <w:trHeight w:val="610"/>
          <w:tblHeader/>
          <w:tblCellSpacing w:w="15" w:type="dxa"/>
        </w:trPr>
        <w:tc>
          <w:tcPr>
            <w:tcW w:w="0" w:type="auto"/>
            <w:vAlign w:val="center"/>
            <w:hideMark/>
          </w:tcPr>
          <w:p w14:paraId="28DDC129"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lastRenderedPageBreak/>
              <w:t>Variable</w:t>
            </w:r>
          </w:p>
        </w:tc>
        <w:tc>
          <w:tcPr>
            <w:tcW w:w="0" w:type="auto"/>
            <w:vAlign w:val="center"/>
            <w:hideMark/>
          </w:tcPr>
          <w:p w14:paraId="5E481703"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Coefficient</w:t>
            </w:r>
          </w:p>
        </w:tc>
        <w:tc>
          <w:tcPr>
            <w:tcW w:w="0" w:type="auto"/>
            <w:vAlign w:val="center"/>
            <w:hideMark/>
          </w:tcPr>
          <w:p w14:paraId="0EA7B51F"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P-value</w:t>
            </w:r>
          </w:p>
        </w:tc>
        <w:tc>
          <w:tcPr>
            <w:tcW w:w="5787" w:type="dxa"/>
            <w:vAlign w:val="center"/>
            <w:hideMark/>
          </w:tcPr>
          <w:p w14:paraId="52DC105F"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Interpretation</w:t>
            </w:r>
          </w:p>
        </w:tc>
      </w:tr>
      <w:tr w:rsidR="00906006" w:rsidRPr="00906006" w14:paraId="6890B249" w14:textId="77777777" w:rsidTr="00906006">
        <w:trPr>
          <w:trHeight w:val="2441"/>
          <w:tblCellSpacing w:w="15" w:type="dxa"/>
        </w:trPr>
        <w:tc>
          <w:tcPr>
            <w:tcW w:w="0" w:type="auto"/>
            <w:vAlign w:val="center"/>
            <w:hideMark/>
          </w:tcPr>
          <w:p w14:paraId="704696EF"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Kms_Driven</w:t>
            </w:r>
          </w:p>
        </w:tc>
        <w:tc>
          <w:tcPr>
            <w:tcW w:w="0" w:type="auto"/>
            <w:vAlign w:val="center"/>
            <w:hideMark/>
          </w:tcPr>
          <w:p w14:paraId="5F193AF2"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-2.85718E-05</w:t>
            </w:r>
          </w:p>
        </w:tc>
        <w:tc>
          <w:tcPr>
            <w:tcW w:w="0" w:type="auto"/>
            <w:vAlign w:val="center"/>
            <w:hideMark/>
          </w:tcPr>
          <w:p w14:paraId="65F733F2"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0.0503</w:t>
            </w:r>
          </w:p>
        </w:tc>
        <w:tc>
          <w:tcPr>
            <w:tcW w:w="5787" w:type="dxa"/>
            <w:vAlign w:val="center"/>
            <w:hideMark/>
          </w:tcPr>
          <w:p w14:paraId="5790C98B"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 xml:space="preserve">Just on the edge of significance (slightly above 0.05). More </w:t>
            </w:r>
            <w:proofErr w:type="spellStart"/>
            <w:r w:rsidRPr="00906006">
              <w:rPr>
                <w:rFonts w:ascii="Segoe UI Emoji" w:hAnsi="Segoe UI Emoji" w:cs="Segoe UI Emoji"/>
                <w:sz w:val="24"/>
                <w:szCs w:val="24"/>
              </w:rPr>
              <w:t>kilometers</w:t>
            </w:r>
            <w:proofErr w:type="spellEnd"/>
            <w:r w:rsidRPr="00906006">
              <w:rPr>
                <w:rFonts w:ascii="Segoe UI Emoji" w:hAnsi="Segoe UI Emoji" w:cs="Segoe UI Emoji"/>
                <w:sz w:val="24"/>
                <w:szCs w:val="24"/>
              </w:rPr>
              <w:t xml:space="preserve"> driven reduces the predicted value slightly.</w:t>
            </w:r>
          </w:p>
        </w:tc>
      </w:tr>
      <w:tr w:rsidR="00906006" w:rsidRPr="00906006" w14:paraId="33E17AEF" w14:textId="77777777" w:rsidTr="00906006">
        <w:trPr>
          <w:trHeight w:val="1520"/>
          <w:tblCellSpacing w:w="15" w:type="dxa"/>
        </w:trPr>
        <w:tc>
          <w:tcPr>
            <w:tcW w:w="0" w:type="auto"/>
            <w:vAlign w:val="center"/>
            <w:hideMark/>
          </w:tcPr>
          <w:p w14:paraId="12147DBA"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Fuel_Type</w:t>
            </w:r>
          </w:p>
        </w:tc>
        <w:tc>
          <w:tcPr>
            <w:tcW w:w="0" w:type="auto"/>
            <w:vAlign w:val="center"/>
            <w:hideMark/>
          </w:tcPr>
          <w:p w14:paraId="37280EEE"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-4.7788</w:t>
            </w:r>
          </w:p>
        </w:tc>
        <w:tc>
          <w:tcPr>
            <w:tcW w:w="0" w:type="auto"/>
            <w:vAlign w:val="center"/>
            <w:hideMark/>
          </w:tcPr>
          <w:p w14:paraId="16D18972"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6.0513E-14</w:t>
            </w:r>
          </w:p>
        </w:tc>
        <w:tc>
          <w:tcPr>
            <w:tcW w:w="5787" w:type="dxa"/>
            <w:vAlign w:val="center"/>
            <w:hideMark/>
          </w:tcPr>
          <w:p w14:paraId="7F928ABD"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Highly significant. Changing the fuel type results in a decrease of ~4.78 units.</w:t>
            </w:r>
          </w:p>
        </w:tc>
      </w:tr>
      <w:tr w:rsidR="00906006" w:rsidRPr="00906006" w14:paraId="470850AD" w14:textId="77777777" w:rsidTr="00906006">
        <w:trPr>
          <w:trHeight w:val="1520"/>
          <w:tblCellSpacing w:w="15" w:type="dxa"/>
        </w:trPr>
        <w:tc>
          <w:tcPr>
            <w:tcW w:w="0" w:type="auto"/>
            <w:vAlign w:val="center"/>
            <w:hideMark/>
          </w:tcPr>
          <w:p w14:paraId="6C35E97B"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Transmission</w:t>
            </w:r>
          </w:p>
        </w:tc>
        <w:tc>
          <w:tcPr>
            <w:tcW w:w="0" w:type="auto"/>
            <w:vAlign w:val="center"/>
            <w:hideMark/>
          </w:tcPr>
          <w:p w14:paraId="6B4AF889"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5.4248</w:t>
            </w:r>
          </w:p>
        </w:tc>
        <w:tc>
          <w:tcPr>
            <w:tcW w:w="0" w:type="auto"/>
            <w:vAlign w:val="center"/>
            <w:hideMark/>
          </w:tcPr>
          <w:p w14:paraId="362D8C7E"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6.8947E-13</w:t>
            </w:r>
          </w:p>
        </w:tc>
        <w:tc>
          <w:tcPr>
            <w:tcW w:w="5787" w:type="dxa"/>
            <w:vAlign w:val="center"/>
            <w:hideMark/>
          </w:tcPr>
          <w:p w14:paraId="0C7386D5"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Highly significant. Switching transmission type leads to an increase of ~5.42 units.</w:t>
            </w:r>
          </w:p>
        </w:tc>
      </w:tr>
      <w:tr w:rsidR="00906006" w:rsidRPr="00906006" w14:paraId="7CB54420" w14:textId="77777777" w:rsidTr="00906006">
        <w:trPr>
          <w:trHeight w:val="1520"/>
          <w:tblCellSpacing w:w="15" w:type="dxa"/>
        </w:trPr>
        <w:tc>
          <w:tcPr>
            <w:tcW w:w="0" w:type="auto"/>
            <w:vAlign w:val="center"/>
            <w:hideMark/>
          </w:tcPr>
          <w:p w14:paraId="250BD8A3"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Years_Used</w:t>
            </w:r>
          </w:p>
        </w:tc>
        <w:tc>
          <w:tcPr>
            <w:tcW w:w="0" w:type="auto"/>
            <w:vAlign w:val="center"/>
            <w:hideMark/>
          </w:tcPr>
          <w:p w14:paraId="5282AC3F"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-0.38897</w:t>
            </w:r>
          </w:p>
        </w:tc>
        <w:tc>
          <w:tcPr>
            <w:tcW w:w="0" w:type="auto"/>
            <w:vAlign w:val="center"/>
            <w:hideMark/>
          </w:tcPr>
          <w:p w14:paraId="7A16CE37"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0.0037</w:t>
            </w:r>
          </w:p>
        </w:tc>
        <w:tc>
          <w:tcPr>
            <w:tcW w:w="5787" w:type="dxa"/>
            <w:vAlign w:val="center"/>
            <w:hideMark/>
          </w:tcPr>
          <w:p w14:paraId="57F2124F"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Statistically significant. Each additional year of use reduces value by ~0.39.</w:t>
            </w:r>
          </w:p>
        </w:tc>
      </w:tr>
      <w:tr w:rsidR="00906006" w:rsidRPr="00906006" w14:paraId="75A69330" w14:textId="77777777" w:rsidTr="00906006">
        <w:trPr>
          <w:trHeight w:val="1520"/>
          <w:tblCellSpacing w:w="15" w:type="dxa"/>
        </w:trPr>
        <w:tc>
          <w:tcPr>
            <w:tcW w:w="0" w:type="auto"/>
            <w:vAlign w:val="center"/>
            <w:hideMark/>
          </w:tcPr>
          <w:p w14:paraId="51038140"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Brand</w:t>
            </w:r>
          </w:p>
        </w:tc>
        <w:tc>
          <w:tcPr>
            <w:tcW w:w="0" w:type="auto"/>
            <w:vAlign w:val="center"/>
            <w:hideMark/>
          </w:tcPr>
          <w:p w14:paraId="0E825762"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-3.0459</w:t>
            </w:r>
          </w:p>
        </w:tc>
        <w:tc>
          <w:tcPr>
            <w:tcW w:w="0" w:type="auto"/>
            <w:vAlign w:val="center"/>
            <w:hideMark/>
          </w:tcPr>
          <w:p w14:paraId="395F09FE"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1.7039E-08</w:t>
            </w:r>
          </w:p>
        </w:tc>
        <w:tc>
          <w:tcPr>
            <w:tcW w:w="5787" w:type="dxa"/>
            <w:vAlign w:val="center"/>
            <w:hideMark/>
          </w:tcPr>
          <w:p w14:paraId="0E0F2261" w14:textId="77777777" w:rsidR="00906006" w:rsidRPr="00906006" w:rsidRDefault="00906006" w:rsidP="00906006">
            <w:pPr>
              <w:rPr>
                <w:rFonts w:ascii="Segoe UI Emoji" w:hAnsi="Segoe UI Emoji" w:cs="Segoe UI Emoji"/>
                <w:sz w:val="24"/>
                <w:szCs w:val="24"/>
              </w:rPr>
            </w:pPr>
            <w:r w:rsidRPr="00906006">
              <w:rPr>
                <w:rFonts w:ascii="Segoe UI Emoji" w:hAnsi="Segoe UI Emoji" w:cs="Segoe UI Emoji"/>
                <w:sz w:val="24"/>
                <w:szCs w:val="24"/>
              </w:rPr>
              <w:t>Highly significant. Different brand reduces predicted value by ~3.05 units.</w:t>
            </w:r>
          </w:p>
        </w:tc>
      </w:tr>
    </w:tbl>
    <w:p w14:paraId="1269A23C" w14:textId="5447255D" w:rsidR="00906006" w:rsidRDefault="00906006" w:rsidP="00906006">
      <w:pPr>
        <w:rPr>
          <w:rFonts w:ascii="Segoe UI Emoji" w:hAnsi="Segoe UI Emoji" w:cs="Segoe UI Emoji"/>
          <w:sz w:val="32"/>
          <w:szCs w:val="32"/>
        </w:rPr>
      </w:pPr>
      <w:r w:rsidRPr="00906006">
        <w:rPr>
          <w:rFonts w:ascii="Segoe UI Emoji" w:hAnsi="Segoe UI Emoji" w:cs="Segoe UI Emoji"/>
          <w:sz w:val="32"/>
          <w:szCs w:val="32"/>
        </w:rPr>
        <w:t>All predictors except Kms_Driven have p-values &lt; 0.05, meaning they are statistically significant.</w:t>
      </w:r>
      <w:r w:rsidRPr="00906006">
        <w:rPr>
          <w:rFonts w:ascii="Segoe UI Emoji" w:hAnsi="Segoe UI Emoji" w:cs="Segoe UI Emoji"/>
          <w:sz w:val="32"/>
          <w:szCs w:val="32"/>
        </w:rPr>
        <w:br/>
        <w:t>Kms_Driven is borderline (p ≈ 0.0503), so its significance is weak and may be considered marginal depending on context.</w:t>
      </w:r>
    </w:p>
    <w:p w14:paraId="79818CC5" w14:textId="77777777" w:rsidR="00906006" w:rsidRPr="00906006" w:rsidRDefault="00906006" w:rsidP="00906006">
      <w:pPr>
        <w:rPr>
          <w:rFonts w:ascii="Segoe UI Emoji" w:hAnsi="Segoe UI Emoji" w:cs="Segoe UI Emoji"/>
          <w:sz w:val="28"/>
          <w:szCs w:val="28"/>
        </w:rPr>
      </w:pPr>
      <w:r w:rsidRPr="00906006">
        <w:rPr>
          <w:rFonts w:ascii="Segoe UI Emoji" w:hAnsi="Segoe UI Emoji" w:cs="Segoe UI Emoji"/>
          <w:sz w:val="28"/>
          <w:szCs w:val="28"/>
        </w:rPr>
        <w:pict w14:anchorId="36195420">
          <v:rect id="_x0000_i1056" style="width:0;height:1.5pt" o:hralign="center" o:hrstd="t" o:hr="t" fillcolor="#a0a0a0" stroked="f"/>
        </w:pict>
      </w:r>
    </w:p>
    <w:p w14:paraId="7A024B83" w14:textId="3C21EF71" w:rsidR="00906006" w:rsidRPr="00906006" w:rsidRDefault="00906006" w:rsidP="00906006">
      <w:pPr>
        <w:rPr>
          <w:rFonts w:ascii="Segoe UI Emoji" w:hAnsi="Segoe UI Emoji" w:cs="Segoe UI Emoji"/>
          <w:b/>
          <w:bCs/>
          <w:sz w:val="32"/>
          <w:szCs w:val="32"/>
        </w:rPr>
      </w:pPr>
      <w:r w:rsidRPr="00906006">
        <w:rPr>
          <w:rFonts w:ascii="Segoe UI Emoji" w:hAnsi="Segoe UI Emoji" w:cs="Segoe UI Emoji"/>
          <w:b/>
          <w:bCs/>
          <w:sz w:val="32"/>
          <w:szCs w:val="32"/>
        </w:rPr>
        <w:t>Conclusion:</w:t>
      </w:r>
    </w:p>
    <w:p w14:paraId="21137D14" w14:textId="66B34D98" w:rsidR="00000CC8" w:rsidRDefault="00906006" w:rsidP="00000CC8">
      <w:pPr>
        <w:pBdr>
          <w:bottom w:val="single" w:sz="12" w:space="1" w:color="auto"/>
        </w:pBdr>
        <w:rPr>
          <w:rFonts w:ascii="Segoe UI Emoji" w:hAnsi="Segoe UI Emoji" w:cs="Segoe UI Emoji"/>
          <w:sz w:val="32"/>
          <w:szCs w:val="32"/>
        </w:rPr>
      </w:pPr>
      <w:r w:rsidRPr="00906006">
        <w:rPr>
          <w:rFonts w:ascii="Segoe UI Emoji" w:hAnsi="Segoe UI Emoji" w:cs="Segoe UI Emoji"/>
          <w:sz w:val="32"/>
          <w:szCs w:val="32"/>
        </w:rPr>
        <w:t xml:space="preserve">The regression model is statistically significant overall (Significance F = 1.80996E-31) and explains 54.55% of the </w:t>
      </w:r>
      <w:r w:rsidRPr="00906006">
        <w:rPr>
          <w:rFonts w:ascii="Segoe UI Emoji" w:hAnsi="Segoe UI Emoji" w:cs="Segoe UI Emoji"/>
          <w:sz w:val="32"/>
          <w:szCs w:val="32"/>
        </w:rPr>
        <w:lastRenderedPageBreak/>
        <w:t>variance in the dependent variable.</w:t>
      </w:r>
      <w:r w:rsidRPr="00906006">
        <w:rPr>
          <w:rFonts w:ascii="Segoe UI Emoji" w:hAnsi="Segoe UI Emoji" w:cs="Segoe UI Emoji"/>
          <w:sz w:val="32"/>
          <w:szCs w:val="32"/>
        </w:rPr>
        <w:br/>
        <w:t>The Adjusted R² = 0.5338 reflects a reliable model with moderate explanatory power.</w:t>
      </w:r>
      <w:r w:rsidRPr="00906006">
        <w:rPr>
          <w:rFonts w:ascii="Segoe UI Emoji" w:hAnsi="Segoe UI Emoji" w:cs="Segoe UI Emoji"/>
          <w:sz w:val="32"/>
          <w:szCs w:val="32"/>
        </w:rPr>
        <w:br/>
        <w:t>Fuel type, transmission, years used, and brand are strong, significant predictors, while Kms driven is only marginally significant.</w:t>
      </w:r>
    </w:p>
    <w:p w14:paraId="38950B75" w14:textId="77777777" w:rsidR="00000CC8" w:rsidRPr="00000CC8" w:rsidRDefault="00000CC8" w:rsidP="00000CC8">
      <w:pPr>
        <w:pBdr>
          <w:bottom w:val="single" w:sz="12" w:space="1" w:color="auto"/>
        </w:pBdr>
        <w:rPr>
          <w:rFonts w:ascii="Segoe UI Emoji" w:hAnsi="Segoe UI Emoji" w:cs="Segoe UI Emoji"/>
          <w:sz w:val="32"/>
          <w:szCs w:val="32"/>
        </w:rPr>
      </w:pPr>
    </w:p>
    <w:p w14:paraId="03D6CF88" w14:textId="4C0BD0CC" w:rsidR="00906006" w:rsidRDefault="00F40B37" w:rsidP="00847642">
      <w:pPr>
        <w:rPr>
          <w:b/>
          <w:bCs/>
          <w:sz w:val="40"/>
          <w:szCs w:val="40"/>
          <w:u w:val="single"/>
          <w:lang w:val="en-US"/>
        </w:rPr>
      </w:pPr>
      <w:r>
        <w:rPr>
          <w:sz w:val="32"/>
          <w:szCs w:val="32"/>
          <w:lang w:val="en-US"/>
        </w:rPr>
        <w:br/>
      </w:r>
      <w:r>
        <w:rPr>
          <w:sz w:val="32"/>
          <w:szCs w:val="32"/>
          <w:lang w:val="en-US"/>
        </w:rPr>
        <w:br/>
      </w:r>
      <w:r w:rsidR="00000CC8">
        <w:rPr>
          <w:b/>
          <w:bCs/>
          <w:sz w:val="40"/>
          <w:szCs w:val="40"/>
          <w:u w:val="single"/>
          <w:lang w:val="en-US"/>
        </w:rPr>
        <w:t>Model2_</w:t>
      </w:r>
      <w:r w:rsidRPr="00906006">
        <w:rPr>
          <w:b/>
          <w:bCs/>
          <w:sz w:val="40"/>
          <w:szCs w:val="40"/>
          <w:u w:val="single"/>
          <w:lang w:val="en-US"/>
        </w:rPr>
        <w:t xml:space="preserve">Summary after excluding the </w:t>
      </w:r>
      <w:r w:rsidRPr="00906006">
        <w:rPr>
          <w:b/>
          <w:bCs/>
          <w:sz w:val="40"/>
          <w:szCs w:val="40"/>
          <w:u w:val="single"/>
          <w:lang w:val="en-US"/>
        </w:rPr>
        <w:t>Kms-Driven</w:t>
      </w:r>
      <w:r w:rsidRPr="00906006">
        <w:rPr>
          <w:b/>
          <w:bCs/>
          <w:sz w:val="40"/>
          <w:szCs w:val="40"/>
          <w:u w:val="single"/>
          <w:lang w:val="en-US"/>
        </w:rPr>
        <w:t xml:space="preserve"> from the sheet:</w:t>
      </w:r>
    </w:p>
    <w:p w14:paraId="341C06F9" w14:textId="532BFFEC" w:rsidR="00906006" w:rsidRDefault="00906006" w:rsidP="00847642">
      <w:pPr>
        <w:rPr>
          <w:b/>
          <w:bCs/>
          <w:sz w:val="32"/>
          <w:szCs w:val="32"/>
          <w:lang w:val="en-US"/>
        </w:rPr>
      </w:pPr>
      <w:r w:rsidRPr="00906006">
        <w:rPr>
          <w:b/>
          <w:bCs/>
          <w:sz w:val="32"/>
          <w:szCs w:val="32"/>
          <w:lang w:val="en-US"/>
        </w:rPr>
        <w:drawing>
          <wp:inline distT="0" distB="0" distL="0" distR="0" wp14:anchorId="5A05E8A9" wp14:editId="0F4E6582">
            <wp:extent cx="5731510" cy="2742565"/>
            <wp:effectExtent l="0" t="0" r="2540" b="635"/>
            <wp:docPr id="185867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72711" name=""/>
                    <pic:cNvPicPr/>
                  </pic:nvPicPr>
                  <pic:blipFill>
                    <a:blip r:embed="rId6"/>
                    <a:stretch>
                      <a:fillRect/>
                    </a:stretch>
                  </pic:blipFill>
                  <pic:spPr>
                    <a:xfrm>
                      <a:off x="0" y="0"/>
                      <a:ext cx="5731510" cy="2742565"/>
                    </a:xfrm>
                    <a:prstGeom prst="rect">
                      <a:avLst/>
                    </a:prstGeom>
                  </pic:spPr>
                </pic:pic>
              </a:graphicData>
            </a:graphic>
          </wp:inline>
        </w:drawing>
      </w:r>
    </w:p>
    <w:p w14:paraId="1F34142B" w14:textId="6E65D28E" w:rsidR="00906006" w:rsidRPr="00906006" w:rsidRDefault="00906006" w:rsidP="00906006">
      <w:pPr>
        <w:rPr>
          <w:b/>
          <w:bCs/>
          <w:sz w:val="32"/>
          <w:szCs w:val="32"/>
        </w:rPr>
      </w:pPr>
      <w:r w:rsidRPr="00906006">
        <w:rPr>
          <w:b/>
          <w:bCs/>
          <w:sz w:val="32"/>
          <w:szCs w:val="32"/>
        </w:rPr>
        <w:t>Interpretation of the Regression Output</w:t>
      </w:r>
      <w:r w:rsidRPr="00906006">
        <w:rPr>
          <w:b/>
          <w:bCs/>
          <w:sz w:val="32"/>
          <w:szCs w:val="32"/>
        </w:rPr>
        <w:t>:</w:t>
      </w:r>
    </w:p>
    <w:p w14:paraId="2BF68A37" w14:textId="77777777" w:rsidR="00906006" w:rsidRPr="00906006" w:rsidRDefault="00906006" w:rsidP="00906006">
      <w:pPr>
        <w:numPr>
          <w:ilvl w:val="0"/>
          <w:numId w:val="2"/>
        </w:numPr>
        <w:rPr>
          <w:sz w:val="32"/>
          <w:szCs w:val="32"/>
        </w:rPr>
      </w:pPr>
      <w:r w:rsidRPr="00906006">
        <w:rPr>
          <w:sz w:val="32"/>
          <w:szCs w:val="32"/>
        </w:rPr>
        <w:t>The R Square (R²) value is 0.5364, meaning 53.64% of the variation in the target variable (e.g., car price) is explained by the independent variables used in the model.</w:t>
      </w:r>
    </w:p>
    <w:p w14:paraId="2C213C98" w14:textId="77777777" w:rsidR="00906006" w:rsidRPr="00906006" w:rsidRDefault="00906006" w:rsidP="00906006">
      <w:pPr>
        <w:numPr>
          <w:ilvl w:val="0"/>
          <w:numId w:val="2"/>
        </w:numPr>
        <w:rPr>
          <w:sz w:val="32"/>
          <w:szCs w:val="32"/>
        </w:rPr>
      </w:pPr>
      <w:r w:rsidRPr="00906006">
        <w:rPr>
          <w:sz w:val="32"/>
          <w:szCs w:val="32"/>
        </w:rPr>
        <w:t>The Adjusted R Square value is 0.5269, which is more reliable than R² because it adjusts for the number of predictors and penalizes the inclusion of irrelevant variables.</w:t>
      </w:r>
    </w:p>
    <w:p w14:paraId="121E5A2E" w14:textId="77777777" w:rsidR="00906006" w:rsidRPr="00906006" w:rsidRDefault="00906006" w:rsidP="00906006">
      <w:pPr>
        <w:numPr>
          <w:ilvl w:val="0"/>
          <w:numId w:val="2"/>
        </w:numPr>
        <w:rPr>
          <w:sz w:val="32"/>
          <w:szCs w:val="32"/>
        </w:rPr>
      </w:pPr>
      <w:r w:rsidRPr="00906006">
        <w:rPr>
          <w:sz w:val="32"/>
          <w:szCs w:val="32"/>
        </w:rPr>
        <w:lastRenderedPageBreak/>
        <w:t>The Standard Error is 3.5424, representing the average prediction error. On average, the predicted values deviate from the actual values by about 3.54 units.</w:t>
      </w:r>
    </w:p>
    <w:p w14:paraId="31764AB6" w14:textId="77777777" w:rsidR="00906006" w:rsidRPr="00906006" w:rsidRDefault="00906006" w:rsidP="00906006">
      <w:pPr>
        <w:rPr>
          <w:sz w:val="32"/>
          <w:szCs w:val="32"/>
        </w:rPr>
      </w:pPr>
      <w:r w:rsidRPr="00906006">
        <w:rPr>
          <w:sz w:val="32"/>
          <w:szCs w:val="32"/>
        </w:rPr>
        <w:pict w14:anchorId="628C0EB4">
          <v:rect id="_x0000_i1037" style="width:0;height:1.5pt" o:hralign="center" o:hrstd="t" o:hr="t" fillcolor="#a0a0a0" stroked="f"/>
        </w:pict>
      </w:r>
    </w:p>
    <w:p w14:paraId="221D0435" w14:textId="57F35619" w:rsidR="00906006" w:rsidRPr="00906006" w:rsidRDefault="00906006" w:rsidP="00906006">
      <w:pPr>
        <w:rPr>
          <w:b/>
          <w:bCs/>
          <w:sz w:val="32"/>
          <w:szCs w:val="32"/>
        </w:rPr>
      </w:pPr>
      <w:r w:rsidRPr="00906006">
        <w:rPr>
          <w:sz w:val="32"/>
          <w:szCs w:val="32"/>
        </w:rPr>
        <w:t xml:space="preserve"> </w:t>
      </w:r>
      <w:r w:rsidRPr="00906006">
        <w:rPr>
          <w:b/>
          <w:bCs/>
          <w:sz w:val="32"/>
          <w:szCs w:val="32"/>
        </w:rPr>
        <w:t>Individual Predictor Analysis (Based on P-values):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106"/>
        <w:gridCol w:w="1036"/>
        <w:gridCol w:w="5550"/>
      </w:tblGrid>
      <w:tr w:rsidR="00906006" w:rsidRPr="00906006" w14:paraId="45288804" w14:textId="77777777" w:rsidTr="00906006">
        <w:trPr>
          <w:tblHeader/>
          <w:tblCellSpacing w:w="15" w:type="dxa"/>
        </w:trPr>
        <w:tc>
          <w:tcPr>
            <w:tcW w:w="0" w:type="auto"/>
            <w:vAlign w:val="center"/>
            <w:hideMark/>
          </w:tcPr>
          <w:p w14:paraId="4E3721CC" w14:textId="77777777" w:rsidR="00906006" w:rsidRPr="00906006" w:rsidRDefault="00906006" w:rsidP="00906006">
            <w:pPr>
              <w:rPr>
                <w:sz w:val="24"/>
                <w:szCs w:val="24"/>
              </w:rPr>
            </w:pPr>
            <w:r w:rsidRPr="00906006">
              <w:rPr>
                <w:sz w:val="24"/>
                <w:szCs w:val="24"/>
              </w:rPr>
              <w:t>Variable</w:t>
            </w:r>
          </w:p>
        </w:tc>
        <w:tc>
          <w:tcPr>
            <w:tcW w:w="0" w:type="auto"/>
            <w:vAlign w:val="center"/>
            <w:hideMark/>
          </w:tcPr>
          <w:p w14:paraId="34185FF5" w14:textId="77777777" w:rsidR="00906006" w:rsidRPr="00906006" w:rsidRDefault="00906006" w:rsidP="00906006">
            <w:pPr>
              <w:rPr>
                <w:sz w:val="24"/>
                <w:szCs w:val="24"/>
              </w:rPr>
            </w:pPr>
            <w:r w:rsidRPr="00906006">
              <w:rPr>
                <w:sz w:val="24"/>
                <w:szCs w:val="24"/>
              </w:rPr>
              <w:t>Coefficient</w:t>
            </w:r>
          </w:p>
        </w:tc>
        <w:tc>
          <w:tcPr>
            <w:tcW w:w="0" w:type="auto"/>
            <w:vAlign w:val="center"/>
            <w:hideMark/>
          </w:tcPr>
          <w:p w14:paraId="26261378" w14:textId="77777777" w:rsidR="00906006" w:rsidRPr="00906006" w:rsidRDefault="00906006" w:rsidP="00906006">
            <w:pPr>
              <w:rPr>
                <w:sz w:val="24"/>
                <w:szCs w:val="24"/>
              </w:rPr>
            </w:pPr>
            <w:r w:rsidRPr="00906006">
              <w:rPr>
                <w:sz w:val="24"/>
                <w:szCs w:val="24"/>
              </w:rPr>
              <w:t>P-value</w:t>
            </w:r>
          </w:p>
        </w:tc>
        <w:tc>
          <w:tcPr>
            <w:tcW w:w="0" w:type="auto"/>
            <w:vAlign w:val="center"/>
            <w:hideMark/>
          </w:tcPr>
          <w:p w14:paraId="1DC5B7CA" w14:textId="77777777" w:rsidR="00906006" w:rsidRPr="00906006" w:rsidRDefault="00906006" w:rsidP="00906006">
            <w:pPr>
              <w:rPr>
                <w:sz w:val="24"/>
                <w:szCs w:val="24"/>
              </w:rPr>
            </w:pPr>
            <w:r w:rsidRPr="00906006">
              <w:rPr>
                <w:sz w:val="24"/>
                <w:szCs w:val="24"/>
              </w:rPr>
              <w:t>Interpretation</w:t>
            </w:r>
          </w:p>
        </w:tc>
      </w:tr>
      <w:tr w:rsidR="00906006" w:rsidRPr="00906006" w14:paraId="47E11582" w14:textId="77777777" w:rsidTr="00906006">
        <w:trPr>
          <w:tblCellSpacing w:w="15" w:type="dxa"/>
        </w:trPr>
        <w:tc>
          <w:tcPr>
            <w:tcW w:w="0" w:type="auto"/>
            <w:vAlign w:val="center"/>
            <w:hideMark/>
          </w:tcPr>
          <w:p w14:paraId="3EF6CDCE" w14:textId="77777777" w:rsidR="00906006" w:rsidRPr="00906006" w:rsidRDefault="00906006" w:rsidP="00906006">
            <w:pPr>
              <w:rPr>
                <w:sz w:val="24"/>
                <w:szCs w:val="24"/>
              </w:rPr>
            </w:pPr>
            <w:r w:rsidRPr="00906006">
              <w:rPr>
                <w:sz w:val="24"/>
                <w:szCs w:val="24"/>
              </w:rPr>
              <w:t>Fuel_Type</w:t>
            </w:r>
          </w:p>
        </w:tc>
        <w:tc>
          <w:tcPr>
            <w:tcW w:w="0" w:type="auto"/>
            <w:vAlign w:val="center"/>
            <w:hideMark/>
          </w:tcPr>
          <w:p w14:paraId="1D423533" w14:textId="77777777" w:rsidR="00906006" w:rsidRPr="00906006" w:rsidRDefault="00906006" w:rsidP="00906006">
            <w:pPr>
              <w:rPr>
                <w:sz w:val="24"/>
                <w:szCs w:val="24"/>
              </w:rPr>
            </w:pPr>
            <w:r w:rsidRPr="00906006">
              <w:rPr>
                <w:sz w:val="24"/>
                <w:szCs w:val="24"/>
              </w:rPr>
              <w:t>-4.3163</w:t>
            </w:r>
          </w:p>
        </w:tc>
        <w:tc>
          <w:tcPr>
            <w:tcW w:w="0" w:type="auto"/>
            <w:vAlign w:val="center"/>
            <w:hideMark/>
          </w:tcPr>
          <w:p w14:paraId="0FFFA572" w14:textId="77777777" w:rsidR="00906006" w:rsidRPr="00906006" w:rsidRDefault="00906006" w:rsidP="00906006">
            <w:pPr>
              <w:rPr>
                <w:sz w:val="24"/>
                <w:szCs w:val="24"/>
              </w:rPr>
            </w:pPr>
            <w:r w:rsidRPr="00906006">
              <w:rPr>
                <w:sz w:val="24"/>
                <w:szCs w:val="24"/>
              </w:rPr>
              <w:t>1.8225E-13</w:t>
            </w:r>
          </w:p>
        </w:tc>
        <w:tc>
          <w:tcPr>
            <w:tcW w:w="0" w:type="auto"/>
            <w:vAlign w:val="center"/>
            <w:hideMark/>
          </w:tcPr>
          <w:p w14:paraId="5D7AB791" w14:textId="77777777" w:rsidR="00906006" w:rsidRPr="00906006" w:rsidRDefault="00906006" w:rsidP="00906006">
            <w:pPr>
              <w:rPr>
                <w:sz w:val="24"/>
                <w:szCs w:val="24"/>
              </w:rPr>
            </w:pPr>
            <w:r w:rsidRPr="00906006">
              <w:rPr>
                <w:sz w:val="24"/>
                <w:szCs w:val="24"/>
              </w:rPr>
              <w:t>Highly significant. A change in fuel type is associated with a decrease of ~4.32 in the predicted value.</w:t>
            </w:r>
          </w:p>
        </w:tc>
      </w:tr>
      <w:tr w:rsidR="00906006" w:rsidRPr="00906006" w14:paraId="5FC92AB9" w14:textId="77777777" w:rsidTr="00906006">
        <w:trPr>
          <w:tblCellSpacing w:w="15" w:type="dxa"/>
        </w:trPr>
        <w:tc>
          <w:tcPr>
            <w:tcW w:w="0" w:type="auto"/>
            <w:vAlign w:val="center"/>
            <w:hideMark/>
          </w:tcPr>
          <w:p w14:paraId="21030248" w14:textId="77777777" w:rsidR="00906006" w:rsidRPr="00906006" w:rsidRDefault="00906006" w:rsidP="00906006">
            <w:pPr>
              <w:rPr>
                <w:sz w:val="24"/>
                <w:szCs w:val="24"/>
              </w:rPr>
            </w:pPr>
            <w:r w:rsidRPr="00906006">
              <w:rPr>
                <w:sz w:val="24"/>
                <w:szCs w:val="24"/>
              </w:rPr>
              <w:t>Transmission</w:t>
            </w:r>
          </w:p>
        </w:tc>
        <w:tc>
          <w:tcPr>
            <w:tcW w:w="0" w:type="auto"/>
            <w:vAlign w:val="center"/>
            <w:hideMark/>
          </w:tcPr>
          <w:p w14:paraId="0B7B46C5" w14:textId="77777777" w:rsidR="00906006" w:rsidRPr="00906006" w:rsidRDefault="00906006" w:rsidP="00906006">
            <w:pPr>
              <w:rPr>
                <w:sz w:val="24"/>
                <w:szCs w:val="24"/>
              </w:rPr>
            </w:pPr>
            <w:r w:rsidRPr="00906006">
              <w:rPr>
                <w:sz w:val="24"/>
                <w:szCs w:val="24"/>
              </w:rPr>
              <w:t>5.2309</w:t>
            </w:r>
          </w:p>
        </w:tc>
        <w:tc>
          <w:tcPr>
            <w:tcW w:w="0" w:type="auto"/>
            <w:vAlign w:val="center"/>
            <w:hideMark/>
          </w:tcPr>
          <w:p w14:paraId="1356B967" w14:textId="77777777" w:rsidR="00906006" w:rsidRPr="00906006" w:rsidRDefault="00906006" w:rsidP="00906006">
            <w:pPr>
              <w:rPr>
                <w:sz w:val="24"/>
                <w:szCs w:val="24"/>
              </w:rPr>
            </w:pPr>
            <w:r w:rsidRPr="00906006">
              <w:rPr>
                <w:sz w:val="24"/>
                <w:szCs w:val="24"/>
              </w:rPr>
              <w:t>3.6766E-12</w:t>
            </w:r>
          </w:p>
        </w:tc>
        <w:tc>
          <w:tcPr>
            <w:tcW w:w="0" w:type="auto"/>
            <w:vAlign w:val="center"/>
            <w:hideMark/>
          </w:tcPr>
          <w:p w14:paraId="011362FD" w14:textId="77777777" w:rsidR="00906006" w:rsidRPr="00906006" w:rsidRDefault="00906006" w:rsidP="00906006">
            <w:pPr>
              <w:rPr>
                <w:sz w:val="24"/>
                <w:szCs w:val="24"/>
              </w:rPr>
            </w:pPr>
            <w:r w:rsidRPr="00906006">
              <w:rPr>
                <w:sz w:val="24"/>
                <w:szCs w:val="24"/>
              </w:rPr>
              <w:t>Highly significant. Changing transmission type leads to an increase of ~5.23 in the predicted value.</w:t>
            </w:r>
          </w:p>
        </w:tc>
      </w:tr>
      <w:tr w:rsidR="00906006" w:rsidRPr="00906006" w14:paraId="44B4B37E" w14:textId="77777777" w:rsidTr="00906006">
        <w:trPr>
          <w:tblCellSpacing w:w="15" w:type="dxa"/>
        </w:trPr>
        <w:tc>
          <w:tcPr>
            <w:tcW w:w="0" w:type="auto"/>
            <w:vAlign w:val="center"/>
            <w:hideMark/>
          </w:tcPr>
          <w:p w14:paraId="4378D87E" w14:textId="77777777" w:rsidR="00906006" w:rsidRPr="00906006" w:rsidRDefault="00906006" w:rsidP="00906006">
            <w:pPr>
              <w:rPr>
                <w:sz w:val="24"/>
                <w:szCs w:val="24"/>
              </w:rPr>
            </w:pPr>
            <w:r w:rsidRPr="00906006">
              <w:rPr>
                <w:sz w:val="24"/>
                <w:szCs w:val="24"/>
              </w:rPr>
              <w:t>Years_Used</w:t>
            </w:r>
          </w:p>
        </w:tc>
        <w:tc>
          <w:tcPr>
            <w:tcW w:w="0" w:type="auto"/>
            <w:vAlign w:val="center"/>
            <w:hideMark/>
          </w:tcPr>
          <w:p w14:paraId="0E16448D" w14:textId="77777777" w:rsidR="00906006" w:rsidRPr="00906006" w:rsidRDefault="00906006" w:rsidP="00906006">
            <w:pPr>
              <w:rPr>
                <w:sz w:val="24"/>
                <w:szCs w:val="24"/>
              </w:rPr>
            </w:pPr>
            <w:r w:rsidRPr="00906006">
              <w:rPr>
                <w:sz w:val="24"/>
                <w:szCs w:val="24"/>
              </w:rPr>
              <w:t>-0.5855</w:t>
            </w:r>
          </w:p>
        </w:tc>
        <w:tc>
          <w:tcPr>
            <w:tcW w:w="0" w:type="auto"/>
            <w:vAlign w:val="center"/>
            <w:hideMark/>
          </w:tcPr>
          <w:p w14:paraId="0750827C" w14:textId="77777777" w:rsidR="00906006" w:rsidRPr="00906006" w:rsidRDefault="00906006" w:rsidP="00906006">
            <w:pPr>
              <w:rPr>
                <w:sz w:val="24"/>
                <w:szCs w:val="24"/>
              </w:rPr>
            </w:pPr>
            <w:r w:rsidRPr="00906006">
              <w:rPr>
                <w:sz w:val="24"/>
                <w:szCs w:val="24"/>
              </w:rPr>
              <w:t>2.2426E-10</w:t>
            </w:r>
          </w:p>
        </w:tc>
        <w:tc>
          <w:tcPr>
            <w:tcW w:w="0" w:type="auto"/>
            <w:vAlign w:val="center"/>
            <w:hideMark/>
          </w:tcPr>
          <w:p w14:paraId="36AA776F" w14:textId="77777777" w:rsidR="00906006" w:rsidRPr="00906006" w:rsidRDefault="00906006" w:rsidP="00906006">
            <w:pPr>
              <w:rPr>
                <w:sz w:val="24"/>
                <w:szCs w:val="24"/>
              </w:rPr>
            </w:pPr>
            <w:r w:rsidRPr="00906006">
              <w:rPr>
                <w:sz w:val="24"/>
                <w:szCs w:val="24"/>
              </w:rPr>
              <w:t>Highly significant. Each additional year reduces the value by ~0.59.</w:t>
            </w:r>
          </w:p>
        </w:tc>
      </w:tr>
      <w:tr w:rsidR="00906006" w:rsidRPr="00906006" w14:paraId="7C259078" w14:textId="77777777" w:rsidTr="00906006">
        <w:trPr>
          <w:tblCellSpacing w:w="15" w:type="dxa"/>
        </w:trPr>
        <w:tc>
          <w:tcPr>
            <w:tcW w:w="0" w:type="auto"/>
            <w:vAlign w:val="center"/>
            <w:hideMark/>
          </w:tcPr>
          <w:p w14:paraId="6356BE44" w14:textId="77777777" w:rsidR="00906006" w:rsidRPr="00906006" w:rsidRDefault="00906006" w:rsidP="00906006">
            <w:pPr>
              <w:rPr>
                <w:sz w:val="24"/>
                <w:szCs w:val="24"/>
              </w:rPr>
            </w:pPr>
            <w:r w:rsidRPr="00906006">
              <w:rPr>
                <w:sz w:val="24"/>
                <w:szCs w:val="24"/>
              </w:rPr>
              <w:t>Brand</w:t>
            </w:r>
          </w:p>
        </w:tc>
        <w:tc>
          <w:tcPr>
            <w:tcW w:w="0" w:type="auto"/>
            <w:vAlign w:val="center"/>
            <w:hideMark/>
          </w:tcPr>
          <w:p w14:paraId="11CE1A36" w14:textId="77777777" w:rsidR="00906006" w:rsidRPr="00906006" w:rsidRDefault="00906006" w:rsidP="00906006">
            <w:pPr>
              <w:rPr>
                <w:sz w:val="24"/>
                <w:szCs w:val="24"/>
              </w:rPr>
            </w:pPr>
            <w:r w:rsidRPr="00906006">
              <w:rPr>
                <w:sz w:val="24"/>
                <w:szCs w:val="24"/>
              </w:rPr>
              <w:t>-2.8388</w:t>
            </w:r>
          </w:p>
        </w:tc>
        <w:tc>
          <w:tcPr>
            <w:tcW w:w="0" w:type="auto"/>
            <w:vAlign w:val="center"/>
            <w:hideMark/>
          </w:tcPr>
          <w:p w14:paraId="2AD0457D" w14:textId="77777777" w:rsidR="00906006" w:rsidRPr="00906006" w:rsidRDefault="00906006" w:rsidP="00906006">
            <w:pPr>
              <w:rPr>
                <w:sz w:val="24"/>
                <w:szCs w:val="24"/>
              </w:rPr>
            </w:pPr>
            <w:r w:rsidRPr="00906006">
              <w:rPr>
                <w:sz w:val="24"/>
                <w:szCs w:val="24"/>
              </w:rPr>
              <w:t>8.6795E-08</w:t>
            </w:r>
          </w:p>
        </w:tc>
        <w:tc>
          <w:tcPr>
            <w:tcW w:w="0" w:type="auto"/>
            <w:vAlign w:val="center"/>
            <w:hideMark/>
          </w:tcPr>
          <w:p w14:paraId="130684E9" w14:textId="77777777" w:rsidR="00906006" w:rsidRPr="00906006" w:rsidRDefault="00906006" w:rsidP="00906006">
            <w:pPr>
              <w:rPr>
                <w:sz w:val="24"/>
                <w:szCs w:val="24"/>
              </w:rPr>
            </w:pPr>
            <w:r w:rsidRPr="00906006">
              <w:rPr>
                <w:sz w:val="24"/>
                <w:szCs w:val="24"/>
              </w:rPr>
              <w:t>Highly significant. Different brands reduce the predicted value by ~2.84 on average.</w:t>
            </w:r>
          </w:p>
        </w:tc>
      </w:tr>
    </w:tbl>
    <w:p w14:paraId="482443C7" w14:textId="17133C0C" w:rsidR="00906006" w:rsidRPr="00906006" w:rsidRDefault="00906006" w:rsidP="00906006">
      <w:pPr>
        <w:rPr>
          <w:sz w:val="32"/>
          <w:szCs w:val="32"/>
        </w:rPr>
      </w:pPr>
      <w:r w:rsidRPr="00906006">
        <w:rPr>
          <w:sz w:val="32"/>
          <w:szCs w:val="32"/>
        </w:rPr>
        <w:t xml:space="preserve"> All predictors have p-values less than 0.05, indicating they are statistically significant contributors to the model.</w:t>
      </w:r>
    </w:p>
    <w:p w14:paraId="3249109F" w14:textId="77777777" w:rsidR="00906006" w:rsidRPr="00906006" w:rsidRDefault="00906006" w:rsidP="00906006">
      <w:pPr>
        <w:rPr>
          <w:sz w:val="32"/>
          <w:szCs w:val="32"/>
        </w:rPr>
      </w:pPr>
      <w:r w:rsidRPr="00906006">
        <w:rPr>
          <w:sz w:val="32"/>
          <w:szCs w:val="32"/>
        </w:rPr>
        <w:pict w14:anchorId="321D0ACC">
          <v:rect id="_x0000_i1038" style="width:0;height:1.5pt" o:hralign="center" o:hrstd="t" o:hr="t" fillcolor="#a0a0a0" stroked="f"/>
        </w:pict>
      </w:r>
    </w:p>
    <w:p w14:paraId="380F69BF" w14:textId="2AE46569" w:rsidR="00906006" w:rsidRPr="00906006" w:rsidRDefault="00906006" w:rsidP="00906006">
      <w:pPr>
        <w:rPr>
          <w:b/>
          <w:bCs/>
          <w:sz w:val="32"/>
          <w:szCs w:val="32"/>
        </w:rPr>
      </w:pPr>
      <w:r w:rsidRPr="00906006">
        <w:rPr>
          <w:sz w:val="32"/>
          <w:szCs w:val="32"/>
        </w:rPr>
        <w:t xml:space="preserve"> </w:t>
      </w:r>
      <w:r w:rsidRPr="00906006">
        <w:rPr>
          <w:b/>
          <w:bCs/>
          <w:sz w:val="32"/>
          <w:szCs w:val="32"/>
        </w:rPr>
        <w:t>Conclusion:</w:t>
      </w:r>
    </w:p>
    <w:p w14:paraId="42621FC5" w14:textId="77777777" w:rsidR="00000CC8" w:rsidRDefault="00906006" w:rsidP="00847642">
      <w:pPr>
        <w:pBdr>
          <w:bottom w:val="single" w:sz="12" w:space="1" w:color="auto"/>
        </w:pBdr>
        <w:rPr>
          <w:b/>
          <w:bCs/>
          <w:sz w:val="32"/>
          <w:szCs w:val="32"/>
        </w:rPr>
      </w:pPr>
      <w:r w:rsidRPr="00906006">
        <w:rPr>
          <w:sz w:val="32"/>
          <w:szCs w:val="32"/>
        </w:rPr>
        <w:t>The regression model is statistically significant overall (Significance F = 1.49931E-31) and has a moderate predictive power with R² ≈ 0.536.</w:t>
      </w:r>
      <w:r w:rsidRPr="00906006">
        <w:rPr>
          <w:sz w:val="32"/>
          <w:szCs w:val="32"/>
        </w:rPr>
        <w:br/>
        <w:t>The Adjusted R² = 0.5269 confirms the reliability of the model after adjusting for predictor count.</w:t>
      </w:r>
      <w:r w:rsidRPr="00906006">
        <w:rPr>
          <w:sz w:val="32"/>
          <w:szCs w:val="32"/>
        </w:rPr>
        <w:br/>
        <w:t>All included variables are meaningful and contribute significantly to the prediction.</w:t>
      </w:r>
    </w:p>
    <w:p w14:paraId="00669981" w14:textId="326E1251" w:rsidR="00847642" w:rsidRPr="00000CC8" w:rsidRDefault="00847642" w:rsidP="00847642">
      <w:pPr>
        <w:rPr>
          <w:b/>
          <w:bCs/>
          <w:sz w:val="32"/>
          <w:szCs w:val="32"/>
        </w:rPr>
      </w:pPr>
    </w:p>
    <w:p w14:paraId="5C66C65A" w14:textId="5B72EB86" w:rsidR="00847642" w:rsidRPr="00AD7A0A" w:rsidRDefault="00AD7A0A" w:rsidP="00AD7A0A">
      <w:pPr>
        <w:rPr>
          <w:b/>
          <w:bCs/>
          <w:sz w:val="48"/>
          <w:szCs w:val="48"/>
          <w:lang w:val="en-US"/>
        </w:rPr>
      </w:pPr>
      <w:r w:rsidRPr="00AD7A0A">
        <w:rPr>
          <w:b/>
          <w:bCs/>
          <w:sz w:val="48"/>
          <w:szCs w:val="48"/>
          <w:lang w:val="en-US"/>
        </w:rPr>
        <w:t>Comparison of both models:</w:t>
      </w:r>
    </w:p>
    <w:p w14:paraId="6EF0172F" w14:textId="77777777" w:rsidR="00AD7A0A" w:rsidRPr="00AD7A0A" w:rsidRDefault="00AD7A0A" w:rsidP="00AD7A0A">
      <w:pPr>
        <w:rPr>
          <w:sz w:val="20"/>
          <w:szCs w:val="20"/>
        </w:rPr>
      </w:pPr>
      <w:r w:rsidRPr="00AD7A0A">
        <w:rPr>
          <w:sz w:val="20"/>
          <w:szCs w:val="20"/>
        </w:rPr>
        <w:t>1. Overall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1561"/>
        <w:gridCol w:w="1701"/>
        <w:gridCol w:w="2126"/>
      </w:tblGrid>
      <w:tr w:rsidR="00AD7A0A" w:rsidRPr="00AD7A0A" w14:paraId="3E64354B" w14:textId="77777777" w:rsidTr="00AD7A0A">
        <w:trPr>
          <w:tblHeader/>
          <w:tblCellSpacing w:w="15" w:type="dxa"/>
        </w:trPr>
        <w:tc>
          <w:tcPr>
            <w:tcW w:w="1513" w:type="dxa"/>
            <w:vAlign w:val="center"/>
            <w:hideMark/>
          </w:tcPr>
          <w:p w14:paraId="0BB64B02" w14:textId="77777777" w:rsidR="00AD7A0A" w:rsidRPr="00AD7A0A" w:rsidRDefault="00AD7A0A" w:rsidP="00AD7A0A">
            <w:pPr>
              <w:rPr>
                <w:sz w:val="20"/>
                <w:szCs w:val="20"/>
              </w:rPr>
            </w:pPr>
            <w:r w:rsidRPr="00AD7A0A">
              <w:rPr>
                <w:sz w:val="20"/>
                <w:szCs w:val="20"/>
              </w:rPr>
              <w:lastRenderedPageBreak/>
              <w:t>Metric</w:t>
            </w:r>
          </w:p>
        </w:tc>
        <w:tc>
          <w:tcPr>
            <w:tcW w:w="1531" w:type="dxa"/>
            <w:vAlign w:val="center"/>
            <w:hideMark/>
          </w:tcPr>
          <w:p w14:paraId="6B68329D" w14:textId="429103CB" w:rsidR="00AD7A0A" w:rsidRPr="00AD7A0A" w:rsidRDefault="00AD7A0A" w:rsidP="00AD7A0A">
            <w:pPr>
              <w:rPr>
                <w:sz w:val="20"/>
                <w:szCs w:val="20"/>
              </w:rPr>
            </w:pPr>
            <w:r w:rsidRPr="00AD7A0A">
              <w:rPr>
                <w:sz w:val="20"/>
                <w:szCs w:val="20"/>
              </w:rPr>
              <w:t xml:space="preserve">Model 1 </w:t>
            </w:r>
          </w:p>
        </w:tc>
        <w:tc>
          <w:tcPr>
            <w:tcW w:w="1671" w:type="dxa"/>
            <w:vAlign w:val="center"/>
            <w:hideMark/>
          </w:tcPr>
          <w:p w14:paraId="176A954B" w14:textId="3E508E5D" w:rsidR="00AD7A0A" w:rsidRPr="00AD7A0A" w:rsidRDefault="00AD7A0A" w:rsidP="00AD7A0A">
            <w:pPr>
              <w:rPr>
                <w:sz w:val="20"/>
                <w:szCs w:val="20"/>
              </w:rPr>
            </w:pPr>
            <w:r w:rsidRPr="00AD7A0A">
              <w:rPr>
                <w:sz w:val="20"/>
                <w:szCs w:val="20"/>
              </w:rPr>
              <w:t xml:space="preserve">Model 2 </w:t>
            </w:r>
          </w:p>
        </w:tc>
        <w:tc>
          <w:tcPr>
            <w:tcW w:w="2081" w:type="dxa"/>
            <w:vAlign w:val="center"/>
            <w:hideMark/>
          </w:tcPr>
          <w:p w14:paraId="6EEE1338" w14:textId="77777777" w:rsidR="00AD7A0A" w:rsidRPr="00AD7A0A" w:rsidRDefault="00AD7A0A" w:rsidP="00AD7A0A">
            <w:pPr>
              <w:rPr>
                <w:sz w:val="20"/>
                <w:szCs w:val="20"/>
              </w:rPr>
            </w:pPr>
            <w:r w:rsidRPr="00AD7A0A">
              <w:rPr>
                <w:sz w:val="20"/>
                <w:szCs w:val="20"/>
              </w:rPr>
              <w:t>Which is Better?</w:t>
            </w:r>
          </w:p>
        </w:tc>
      </w:tr>
      <w:tr w:rsidR="00AD7A0A" w:rsidRPr="00AD7A0A" w14:paraId="3B76C524" w14:textId="77777777" w:rsidTr="00AD7A0A">
        <w:trPr>
          <w:tblCellSpacing w:w="15" w:type="dxa"/>
        </w:trPr>
        <w:tc>
          <w:tcPr>
            <w:tcW w:w="1513" w:type="dxa"/>
            <w:vAlign w:val="center"/>
            <w:hideMark/>
          </w:tcPr>
          <w:p w14:paraId="255D5218" w14:textId="77777777" w:rsidR="00AD7A0A" w:rsidRPr="00AD7A0A" w:rsidRDefault="00AD7A0A" w:rsidP="00AD7A0A">
            <w:pPr>
              <w:rPr>
                <w:sz w:val="20"/>
                <w:szCs w:val="20"/>
              </w:rPr>
            </w:pPr>
            <w:r w:rsidRPr="00AD7A0A">
              <w:rPr>
                <w:sz w:val="20"/>
                <w:szCs w:val="20"/>
              </w:rPr>
              <w:t>R Square (R²)</w:t>
            </w:r>
          </w:p>
        </w:tc>
        <w:tc>
          <w:tcPr>
            <w:tcW w:w="1531" w:type="dxa"/>
            <w:vAlign w:val="center"/>
            <w:hideMark/>
          </w:tcPr>
          <w:p w14:paraId="08232004" w14:textId="77777777" w:rsidR="00AD7A0A" w:rsidRPr="00AD7A0A" w:rsidRDefault="00AD7A0A" w:rsidP="00AD7A0A">
            <w:pPr>
              <w:rPr>
                <w:sz w:val="20"/>
                <w:szCs w:val="20"/>
              </w:rPr>
            </w:pPr>
            <w:r w:rsidRPr="00AD7A0A">
              <w:rPr>
                <w:sz w:val="20"/>
                <w:szCs w:val="20"/>
              </w:rPr>
              <w:t>0.5455 (54.55%)</w:t>
            </w:r>
          </w:p>
        </w:tc>
        <w:tc>
          <w:tcPr>
            <w:tcW w:w="1671" w:type="dxa"/>
            <w:vAlign w:val="center"/>
            <w:hideMark/>
          </w:tcPr>
          <w:p w14:paraId="468FDCE5" w14:textId="77777777" w:rsidR="00AD7A0A" w:rsidRPr="00AD7A0A" w:rsidRDefault="00AD7A0A" w:rsidP="00AD7A0A">
            <w:pPr>
              <w:rPr>
                <w:sz w:val="20"/>
                <w:szCs w:val="20"/>
              </w:rPr>
            </w:pPr>
            <w:r w:rsidRPr="00AD7A0A">
              <w:rPr>
                <w:sz w:val="20"/>
                <w:szCs w:val="20"/>
              </w:rPr>
              <w:t>0.5364 (53.64%)</w:t>
            </w:r>
          </w:p>
        </w:tc>
        <w:tc>
          <w:tcPr>
            <w:tcW w:w="2081" w:type="dxa"/>
            <w:vAlign w:val="center"/>
            <w:hideMark/>
          </w:tcPr>
          <w:p w14:paraId="181A13D0" w14:textId="6B61F6EA" w:rsidR="00AD7A0A" w:rsidRPr="00AD7A0A" w:rsidRDefault="00AD7A0A" w:rsidP="00AD7A0A">
            <w:pPr>
              <w:rPr>
                <w:sz w:val="20"/>
                <w:szCs w:val="20"/>
              </w:rPr>
            </w:pPr>
            <w:r w:rsidRPr="00AD7A0A">
              <w:rPr>
                <w:sz w:val="20"/>
                <w:szCs w:val="20"/>
              </w:rPr>
              <w:t>Model 1 (Slightly higher)</w:t>
            </w:r>
          </w:p>
        </w:tc>
      </w:tr>
      <w:tr w:rsidR="00AD7A0A" w:rsidRPr="00AD7A0A" w14:paraId="63C18162" w14:textId="77777777" w:rsidTr="00AD7A0A">
        <w:trPr>
          <w:tblCellSpacing w:w="15" w:type="dxa"/>
        </w:trPr>
        <w:tc>
          <w:tcPr>
            <w:tcW w:w="1513" w:type="dxa"/>
            <w:vAlign w:val="center"/>
            <w:hideMark/>
          </w:tcPr>
          <w:p w14:paraId="5675C0DB" w14:textId="77777777" w:rsidR="00AD7A0A" w:rsidRPr="00AD7A0A" w:rsidRDefault="00AD7A0A" w:rsidP="00AD7A0A">
            <w:pPr>
              <w:rPr>
                <w:sz w:val="20"/>
                <w:szCs w:val="20"/>
              </w:rPr>
            </w:pPr>
            <w:r w:rsidRPr="00AD7A0A">
              <w:rPr>
                <w:sz w:val="20"/>
                <w:szCs w:val="20"/>
              </w:rPr>
              <w:t>Adjusted R Square</w:t>
            </w:r>
          </w:p>
        </w:tc>
        <w:tc>
          <w:tcPr>
            <w:tcW w:w="1531" w:type="dxa"/>
            <w:vAlign w:val="center"/>
            <w:hideMark/>
          </w:tcPr>
          <w:p w14:paraId="7E747609" w14:textId="77777777" w:rsidR="00AD7A0A" w:rsidRPr="00AD7A0A" w:rsidRDefault="00AD7A0A" w:rsidP="00AD7A0A">
            <w:pPr>
              <w:rPr>
                <w:sz w:val="20"/>
                <w:szCs w:val="20"/>
              </w:rPr>
            </w:pPr>
            <w:r w:rsidRPr="00AD7A0A">
              <w:rPr>
                <w:sz w:val="20"/>
                <w:szCs w:val="20"/>
              </w:rPr>
              <w:t>0.5338 (53.38%)</w:t>
            </w:r>
          </w:p>
        </w:tc>
        <w:tc>
          <w:tcPr>
            <w:tcW w:w="1671" w:type="dxa"/>
            <w:vAlign w:val="center"/>
            <w:hideMark/>
          </w:tcPr>
          <w:p w14:paraId="54E1275C" w14:textId="77777777" w:rsidR="00AD7A0A" w:rsidRPr="00AD7A0A" w:rsidRDefault="00AD7A0A" w:rsidP="00AD7A0A">
            <w:pPr>
              <w:rPr>
                <w:sz w:val="20"/>
                <w:szCs w:val="20"/>
              </w:rPr>
            </w:pPr>
            <w:r w:rsidRPr="00AD7A0A">
              <w:rPr>
                <w:sz w:val="20"/>
                <w:szCs w:val="20"/>
              </w:rPr>
              <w:t>0.5269 (52.69%)</w:t>
            </w:r>
          </w:p>
        </w:tc>
        <w:tc>
          <w:tcPr>
            <w:tcW w:w="2081" w:type="dxa"/>
            <w:vAlign w:val="center"/>
            <w:hideMark/>
          </w:tcPr>
          <w:p w14:paraId="5CAFEA6F" w14:textId="284A6E9D" w:rsidR="00AD7A0A" w:rsidRPr="00AD7A0A" w:rsidRDefault="00AD7A0A" w:rsidP="00AD7A0A">
            <w:pPr>
              <w:rPr>
                <w:sz w:val="20"/>
                <w:szCs w:val="20"/>
              </w:rPr>
            </w:pPr>
            <w:r w:rsidRPr="00AD7A0A">
              <w:rPr>
                <w:sz w:val="20"/>
                <w:szCs w:val="20"/>
              </w:rPr>
              <w:t>Model 1 (More reliable)</w:t>
            </w:r>
          </w:p>
        </w:tc>
      </w:tr>
      <w:tr w:rsidR="00AD7A0A" w:rsidRPr="00AD7A0A" w14:paraId="63E0B6CF" w14:textId="77777777" w:rsidTr="00AD7A0A">
        <w:trPr>
          <w:tblCellSpacing w:w="15" w:type="dxa"/>
        </w:trPr>
        <w:tc>
          <w:tcPr>
            <w:tcW w:w="1513" w:type="dxa"/>
            <w:vAlign w:val="center"/>
            <w:hideMark/>
          </w:tcPr>
          <w:p w14:paraId="118D7D5F" w14:textId="77777777" w:rsidR="00AD7A0A" w:rsidRPr="00AD7A0A" w:rsidRDefault="00AD7A0A" w:rsidP="00AD7A0A">
            <w:pPr>
              <w:rPr>
                <w:sz w:val="20"/>
                <w:szCs w:val="20"/>
              </w:rPr>
            </w:pPr>
            <w:r w:rsidRPr="00AD7A0A">
              <w:rPr>
                <w:sz w:val="20"/>
                <w:szCs w:val="20"/>
              </w:rPr>
              <w:t>Standard Error</w:t>
            </w:r>
          </w:p>
        </w:tc>
        <w:tc>
          <w:tcPr>
            <w:tcW w:w="1531" w:type="dxa"/>
            <w:vAlign w:val="center"/>
            <w:hideMark/>
          </w:tcPr>
          <w:p w14:paraId="7C0F6725" w14:textId="77777777" w:rsidR="00AD7A0A" w:rsidRPr="00AD7A0A" w:rsidRDefault="00AD7A0A" w:rsidP="00AD7A0A">
            <w:pPr>
              <w:rPr>
                <w:sz w:val="20"/>
                <w:szCs w:val="20"/>
              </w:rPr>
            </w:pPr>
            <w:r w:rsidRPr="00AD7A0A">
              <w:rPr>
                <w:sz w:val="20"/>
                <w:szCs w:val="20"/>
              </w:rPr>
              <w:t>3.5166</w:t>
            </w:r>
          </w:p>
        </w:tc>
        <w:tc>
          <w:tcPr>
            <w:tcW w:w="1671" w:type="dxa"/>
            <w:vAlign w:val="center"/>
            <w:hideMark/>
          </w:tcPr>
          <w:p w14:paraId="75F4FB23" w14:textId="77777777" w:rsidR="00AD7A0A" w:rsidRPr="00AD7A0A" w:rsidRDefault="00AD7A0A" w:rsidP="00AD7A0A">
            <w:pPr>
              <w:rPr>
                <w:sz w:val="20"/>
                <w:szCs w:val="20"/>
              </w:rPr>
            </w:pPr>
            <w:r w:rsidRPr="00AD7A0A">
              <w:rPr>
                <w:sz w:val="20"/>
                <w:szCs w:val="20"/>
              </w:rPr>
              <w:t>3.5424</w:t>
            </w:r>
          </w:p>
        </w:tc>
        <w:tc>
          <w:tcPr>
            <w:tcW w:w="2081" w:type="dxa"/>
            <w:vAlign w:val="center"/>
            <w:hideMark/>
          </w:tcPr>
          <w:p w14:paraId="525361EE" w14:textId="6E7A321D" w:rsidR="00AD7A0A" w:rsidRPr="00AD7A0A" w:rsidRDefault="00AD7A0A" w:rsidP="00AD7A0A">
            <w:pPr>
              <w:rPr>
                <w:sz w:val="20"/>
                <w:szCs w:val="20"/>
              </w:rPr>
            </w:pPr>
            <w:r w:rsidRPr="00AD7A0A">
              <w:rPr>
                <w:sz w:val="20"/>
                <w:szCs w:val="20"/>
              </w:rPr>
              <w:t>Model 1 (Lower error)</w:t>
            </w:r>
          </w:p>
        </w:tc>
      </w:tr>
      <w:tr w:rsidR="00AD7A0A" w:rsidRPr="00AD7A0A" w14:paraId="39CCDE64" w14:textId="77777777" w:rsidTr="00AD7A0A">
        <w:trPr>
          <w:tblCellSpacing w:w="15" w:type="dxa"/>
        </w:trPr>
        <w:tc>
          <w:tcPr>
            <w:tcW w:w="1513" w:type="dxa"/>
            <w:vAlign w:val="center"/>
            <w:hideMark/>
          </w:tcPr>
          <w:p w14:paraId="3ED20AC0" w14:textId="77777777" w:rsidR="00AD7A0A" w:rsidRPr="00AD7A0A" w:rsidRDefault="00AD7A0A" w:rsidP="00AD7A0A">
            <w:pPr>
              <w:rPr>
                <w:sz w:val="20"/>
                <w:szCs w:val="20"/>
              </w:rPr>
            </w:pPr>
            <w:r w:rsidRPr="00AD7A0A">
              <w:rPr>
                <w:sz w:val="20"/>
                <w:szCs w:val="20"/>
              </w:rPr>
              <w:t>Significance F</w:t>
            </w:r>
          </w:p>
        </w:tc>
        <w:tc>
          <w:tcPr>
            <w:tcW w:w="1531" w:type="dxa"/>
            <w:vAlign w:val="center"/>
            <w:hideMark/>
          </w:tcPr>
          <w:p w14:paraId="1AF342A4" w14:textId="77777777" w:rsidR="00AD7A0A" w:rsidRPr="00AD7A0A" w:rsidRDefault="00AD7A0A" w:rsidP="00AD7A0A">
            <w:pPr>
              <w:rPr>
                <w:sz w:val="20"/>
                <w:szCs w:val="20"/>
              </w:rPr>
            </w:pPr>
            <w:r w:rsidRPr="00AD7A0A">
              <w:rPr>
                <w:sz w:val="20"/>
                <w:szCs w:val="20"/>
              </w:rPr>
              <w:t>1.80996E-31</w:t>
            </w:r>
          </w:p>
        </w:tc>
        <w:tc>
          <w:tcPr>
            <w:tcW w:w="1671" w:type="dxa"/>
            <w:vAlign w:val="center"/>
            <w:hideMark/>
          </w:tcPr>
          <w:p w14:paraId="01504DB9" w14:textId="77777777" w:rsidR="00AD7A0A" w:rsidRPr="00AD7A0A" w:rsidRDefault="00AD7A0A" w:rsidP="00AD7A0A">
            <w:pPr>
              <w:rPr>
                <w:sz w:val="20"/>
                <w:szCs w:val="20"/>
              </w:rPr>
            </w:pPr>
            <w:r w:rsidRPr="00AD7A0A">
              <w:rPr>
                <w:sz w:val="20"/>
                <w:szCs w:val="20"/>
              </w:rPr>
              <w:t>1.49931E-31</w:t>
            </w:r>
          </w:p>
        </w:tc>
        <w:tc>
          <w:tcPr>
            <w:tcW w:w="2081" w:type="dxa"/>
            <w:vAlign w:val="center"/>
            <w:hideMark/>
          </w:tcPr>
          <w:p w14:paraId="00C251E8" w14:textId="42AB9EB9" w:rsidR="00AD7A0A" w:rsidRPr="00AD7A0A" w:rsidRDefault="00AD7A0A" w:rsidP="00AD7A0A">
            <w:pPr>
              <w:rPr>
                <w:sz w:val="20"/>
                <w:szCs w:val="20"/>
              </w:rPr>
            </w:pPr>
            <w:r w:rsidRPr="00AD7A0A">
              <w:rPr>
                <w:sz w:val="20"/>
                <w:szCs w:val="20"/>
              </w:rPr>
              <w:t xml:space="preserve">Both are highly significant </w:t>
            </w:r>
          </w:p>
        </w:tc>
      </w:tr>
    </w:tbl>
    <w:p w14:paraId="037C6EA5" w14:textId="4A823D66" w:rsidR="00AD7A0A" w:rsidRDefault="00AD7A0A" w:rsidP="00AD7A0A">
      <w:pPr>
        <w:rPr>
          <w:sz w:val="40"/>
          <w:szCs w:val="40"/>
        </w:rPr>
      </w:pPr>
      <w:r w:rsidRPr="00AD7A0A">
        <w:rPr>
          <w:b/>
          <w:bCs/>
          <w:sz w:val="40"/>
          <w:szCs w:val="40"/>
        </w:rPr>
        <w:t xml:space="preserve"> Conclusion: </w:t>
      </w:r>
      <w:r w:rsidRPr="00AD7A0A">
        <w:rPr>
          <w:sz w:val="40"/>
          <w:szCs w:val="40"/>
        </w:rPr>
        <w:t>Model 1 has slightly better explanatory power and prediction accuracy.</w:t>
      </w:r>
    </w:p>
    <w:p w14:paraId="754678CE" w14:textId="77777777" w:rsidR="00AD7A0A" w:rsidRDefault="00AD7A0A" w:rsidP="00AD7A0A">
      <w:pPr>
        <w:rPr>
          <w:sz w:val="40"/>
          <w:szCs w:val="40"/>
        </w:rPr>
      </w:pPr>
    </w:p>
    <w:p w14:paraId="142CBAAE" w14:textId="7ABC772D" w:rsidR="00AD7A0A" w:rsidRPr="00AD7A0A" w:rsidRDefault="00AD7A0A" w:rsidP="00AD7A0A">
      <w:pPr>
        <w:rPr>
          <w:b/>
          <w:bCs/>
          <w:sz w:val="40"/>
          <w:szCs w:val="40"/>
        </w:rPr>
      </w:pPr>
      <w:r w:rsidRPr="00AD7A0A">
        <w:rPr>
          <w:b/>
          <w:bCs/>
          <w:sz w:val="40"/>
          <w:szCs w:val="40"/>
        </w:rPr>
        <w:t>Predictor Significance</w:t>
      </w:r>
      <w:r>
        <w:rPr>
          <w:b/>
          <w:bCs/>
          <w:sz w:val="40"/>
          <w:szCs w:val="40"/>
        </w:rPr>
        <w:t>:</w:t>
      </w:r>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1560"/>
        <w:gridCol w:w="3969"/>
        <w:gridCol w:w="3685"/>
      </w:tblGrid>
      <w:tr w:rsidR="00AD7A0A" w:rsidRPr="00AD7A0A" w14:paraId="2E2D3BE3" w14:textId="77777777" w:rsidTr="00AD7A0A">
        <w:trPr>
          <w:tblHeader/>
          <w:tblCellSpacing w:w="15" w:type="dxa"/>
        </w:trPr>
        <w:tc>
          <w:tcPr>
            <w:tcW w:w="1515" w:type="dxa"/>
            <w:vAlign w:val="center"/>
            <w:hideMark/>
          </w:tcPr>
          <w:p w14:paraId="13025492" w14:textId="77777777" w:rsidR="00AD7A0A" w:rsidRPr="00AD7A0A" w:rsidRDefault="00AD7A0A" w:rsidP="00AD7A0A">
            <w:pPr>
              <w:rPr>
                <w:sz w:val="24"/>
                <w:szCs w:val="24"/>
              </w:rPr>
            </w:pPr>
            <w:r w:rsidRPr="00AD7A0A">
              <w:rPr>
                <w:sz w:val="24"/>
                <w:szCs w:val="24"/>
              </w:rPr>
              <w:t>Predictor</w:t>
            </w:r>
          </w:p>
        </w:tc>
        <w:tc>
          <w:tcPr>
            <w:tcW w:w="3939" w:type="dxa"/>
            <w:vAlign w:val="center"/>
            <w:hideMark/>
          </w:tcPr>
          <w:p w14:paraId="5B7310B9" w14:textId="77777777" w:rsidR="00AD7A0A" w:rsidRPr="00AD7A0A" w:rsidRDefault="00AD7A0A" w:rsidP="00AD7A0A">
            <w:pPr>
              <w:rPr>
                <w:sz w:val="24"/>
                <w:szCs w:val="24"/>
              </w:rPr>
            </w:pPr>
            <w:r w:rsidRPr="00AD7A0A">
              <w:rPr>
                <w:sz w:val="24"/>
                <w:szCs w:val="24"/>
              </w:rPr>
              <w:t>Model 1</w:t>
            </w:r>
          </w:p>
        </w:tc>
        <w:tc>
          <w:tcPr>
            <w:tcW w:w="3640" w:type="dxa"/>
            <w:vAlign w:val="center"/>
            <w:hideMark/>
          </w:tcPr>
          <w:p w14:paraId="68555F13" w14:textId="77777777" w:rsidR="00AD7A0A" w:rsidRPr="00AD7A0A" w:rsidRDefault="00AD7A0A" w:rsidP="00AD7A0A">
            <w:pPr>
              <w:rPr>
                <w:sz w:val="24"/>
                <w:szCs w:val="24"/>
              </w:rPr>
            </w:pPr>
            <w:r w:rsidRPr="00AD7A0A">
              <w:rPr>
                <w:sz w:val="24"/>
                <w:szCs w:val="24"/>
              </w:rPr>
              <w:t>Model 2</w:t>
            </w:r>
          </w:p>
        </w:tc>
      </w:tr>
      <w:tr w:rsidR="00AD7A0A" w:rsidRPr="00AD7A0A" w14:paraId="0A219D14" w14:textId="77777777" w:rsidTr="00AD7A0A">
        <w:trPr>
          <w:tblCellSpacing w:w="15" w:type="dxa"/>
        </w:trPr>
        <w:tc>
          <w:tcPr>
            <w:tcW w:w="1515" w:type="dxa"/>
            <w:vAlign w:val="center"/>
            <w:hideMark/>
          </w:tcPr>
          <w:p w14:paraId="185F4118" w14:textId="77777777" w:rsidR="00AD7A0A" w:rsidRPr="00AD7A0A" w:rsidRDefault="00AD7A0A" w:rsidP="00AD7A0A">
            <w:pPr>
              <w:rPr>
                <w:sz w:val="24"/>
                <w:szCs w:val="24"/>
              </w:rPr>
            </w:pPr>
            <w:r w:rsidRPr="00AD7A0A">
              <w:rPr>
                <w:sz w:val="24"/>
                <w:szCs w:val="24"/>
              </w:rPr>
              <w:t>Kms_Driven</w:t>
            </w:r>
          </w:p>
        </w:tc>
        <w:tc>
          <w:tcPr>
            <w:tcW w:w="3939" w:type="dxa"/>
            <w:vAlign w:val="center"/>
            <w:hideMark/>
          </w:tcPr>
          <w:p w14:paraId="1950F017" w14:textId="77777777" w:rsidR="00AD7A0A" w:rsidRPr="00AD7A0A" w:rsidRDefault="00AD7A0A" w:rsidP="00AD7A0A">
            <w:pPr>
              <w:rPr>
                <w:sz w:val="24"/>
                <w:szCs w:val="24"/>
              </w:rPr>
            </w:pPr>
            <w:r w:rsidRPr="00AD7A0A">
              <w:rPr>
                <w:sz w:val="24"/>
                <w:szCs w:val="24"/>
              </w:rPr>
              <w:t>-2.86E-05, p = 0.0503 (marginal)</w:t>
            </w:r>
          </w:p>
        </w:tc>
        <w:tc>
          <w:tcPr>
            <w:tcW w:w="3640" w:type="dxa"/>
            <w:vAlign w:val="center"/>
            <w:hideMark/>
          </w:tcPr>
          <w:p w14:paraId="511768F0" w14:textId="77777777" w:rsidR="00AD7A0A" w:rsidRPr="00AD7A0A" w:rsidRDefault="00AD7A0A" w:rsidP="00AD7A0A">
            <w:pPr>
              <w:rPr>
                <w:sz w:val="24"/>
                <w:szCs w:val="24"/>
              </w:rPr>
            </w:pPr>
            <w:r w:rsidRPr="00AD7A0A">
              <w:rPr>
                <w:rFonts w:ascii="Segoe UI Emoji" w:hAnsi="Segoe UI Emoji" w:cs="Segoe UI Emoji"/>
                <w:sz w:val="24"/>
                <w:szCs w:val="24"/>
              </w:rPr>
              <w:t>❌</w:t>
            </w:r>
            <w:r w:rsidRPr="00AD7A0A">
              <w:rPr>
                <w:sz w:val="24"/>
                <w:szCs w:val="24"/>
              </w:rPr>
              <w:t xml:space="preserve"> Not included</w:t>
            </w:r>
          </w:p>
        </w:tc>
      </w:tr>
      <w:tr w:rsidR="00AD7A0A" w:rsidRPr="00AD7A0A" w14:paraId="1CA17C57" w14:textId="77777777" w:rsidTr="00AD7A0A">
        <w:trPr>
          <w:tblCellSpacing w:w="15" w:type="dxa"/>
        </w:trPr>
        <w:tc>
          <w:tcPr>
            <w:tcW w:w="1515" w:type="dxa"/>
            <w:vAlign w:val="center"/>
            <w:hideMark/>
          </w:tcPr>
          <w:p w14:paraId="4693AC3B" w14:textId="77777777" w:rsidR="00AD7A0A" w:rsidRPr="00AD7A0A" w:rsidRDefault="00AD7A0A" w:rsidP="00AD7A0A">
            <w:pPr>
              <w:rPr>
                <w:sz w:val="24"/>
                <w:szCs w:val="24"/>
              </w:rPr>
            </w:pPr>
            <w:r w:rsidRPr="00AD7A0A">
              <w:rPr>
                <w:sz w:val="24"/>
                <w:szCs w:val="24"/>
              </w:rPr>
              <w:t>Fuel_Type</w:t>
            </w:r>
          </w:p>
        </w:tc>
        <w:tc>
          <w:tcPr>
            <w:tcW w:w="3939" w:type="dxa"/>
            <w:vAlign w:val="center"/>
            <w:hideMark/>
          </w:tcPr>
          <w:p w14:paraId="2A433478" w14:textId="77777777" w:rsidR="00AD7A0A" w:rsidRPr="00AD7A0A" w:rsidRDefault="00AD7A0A" w:rsidP="00AD7A0A">
            <w:pPr>
              <w:rPr>
                <w:sz w:val="24"/>
                <w:szCs w:val="24"/>
              </w:rPr>
            </w:pPr>
            <w:r w:rsidRPr="00AD7A0A">
              <w:rPr>
                <w:sz w:val="24"/>
                <w:szCs w:val="24"/>
              </w:rPr>
              <w:t>-4.78, p ≈ 6.05E-14 (very significant)</w:t>
            </w:r>
          </w:p>
        </w:tc>
        <w:tc>
          <w:tcPr>
            <w:tcW w:w="3640" w:type="dxa"/>
            <w:vAlign w:val="center"/>
            <w:hideMark/>
          </w:tcPr>
          <w:p w14:paraId="6F409BAF" w14:textId="77777777" w:rsidR="00AD7A0A" w:rsidRPr="00AD7A0A" w:rsidRDefault="00AD7A0A" w:rsidP="00AD7A0A">
            <w:pPr>
              <w:rPr>
                <w:sz w:val="24"/>
                <w:szCs w:val="24"/>
              </w:rPr>
            </w:pPr>
            <w:r w:rsidRPr="00AD7A0A">
              <w:rPr>
                <w:sz w:val="24"/>
                <w:szCs w:val="24"/>
              </w:rPr>
              <w:t>-4.32, p ≈ 1.82E-13 (very significant)</w:t>
            </w:r>
          </w:p>
        </w:tc>
      </w:tr>
      <w:tr w:rsidR="00AD7A0A" w:rsidRPr="00AD7A0A" w14:paraId="599DB31D" w14:textId="77777777" w:rsidTr="00AD7A0A">
        <w:trPr>
          <w:tblCellSpacing w:w="15" w:type="dxa"/>
        </w:trPr>
        <w:tc>
          <w:tcPr>
            <w:tcW w:w="1515" w:type="dxa"/>
            <w:vAlign w:val="center"/>
            <w:hideMark/>
          </w:tcPr>
          <w:p w14:paraId="7A2BE181" w14:textId="77777777" w:rsidR="00AD7A0A" w:rsidRPr="00AD7A0A" w:rsidRDefault="00AD7A0A" w:rsidP="00AD7A0A">
            <w:pPr>
              <w:rPr>
                <w:sz w:val="24"/>
                <w:szCs w:val="24"/>
              </w:rPr>
            </w:pPr>
            <w:r w:rsidRPr="00AD7A0A">
              <w:rPr>
                <w:sz w:val="24"/>
                <w:szCs w:val="24"/>
              </w:rPr>
              <w:t>Transmission</w:t>
            </w:r>
          </w:p>
        </w:tc>
        <w:tc>
          <w:tcPr>
            <w:tcW w:w="3939" w:type="dxa"/>
            <w:vAlign w:val="center"/>
            <w:hideMark/>
          </w:tcPr>
          <w:p w14:paraId="00771225" w14:textId="77777777" w:rsidR="00AD7A0A" w:rsidRPr="00AD7A0A" w:rsidRDefault="00AD7A0A" w:rsidP="00AD7A0A">
            <w:pPr>
              <w:rPr>
                <w:sz w:val="24"/>
                <w:szCs w:val="24"/>
              </w:rPr>
            </w:pPr>
            <w:r w:rsidRPr="00AD7A0A">
              <w:rPr>
                <w:sz w:val="24"/>
                <w:szCs w:val="24"/>
              </w:rPr>
              <w:t>5.42, p ≈ 6.89E-13 (very significant)</w:t>
            </w:r>
          </w:p>
        </w:tc>
        <w:tc>
          <w:tcPr>
            <w:tcW w:w="3640" w:type="dxa"/>
            <w:vAlign w:val="center"/>
            <w:hideMark/>
          </w:tcPr>
          <w:p w14:paraId="72FFC7B7" w14:textId="77777777" w:rsidR="00AD7A0A" w:rsidRPr="00AD7A0A" w:rsidRDefault="00AD7A0A" w:rsidP="00AD7A0A">
            <w:pPr>
              <w:rPr>
                <w:sz w:val="24"/>
                <w:szCs w:val="24"/>
              </w:rPr>
            </w:pPr>
            <w:r w:rsidRPr="00AD7A0A">
              <w:rPr>
                <w:sz w:val="24"/>
                <w:szCs w:val="24"/>
              </w:rPr>
              <w:t>5.23, p ≈ 3.68E-12 (very significant)</w:t>
            </w:r>
          </w:p>
        </w:tc>
      </w:tr>
      <w:tr w:rsidR="00AD7A0A" w:rsidRPr="00AD7A0A" w14:paraId="5BF39B49" w14:textId="77777777" w:rsidTr="00AD7A0A">
        <w:trPr>
          <w:tblCellSpacing w:w="15" w:type="dxa"/>
        </w:trPr>
        <w:tc>
          <w:tcPr>
            <w:tcW w:w="1515" w:type="dxa"/>
            <w:vAlign w:val="center"/>
            <w:hideMark/>
          </w:tcPr>
          <w:p w14:paraId="11ED39AD" w14:textId="77777777" w:rsidR="00AD7A0A" w:rsidRPr="00AD7A0A" w:rsidRDefault="00AD7A0A" w:rsidP="00AD7A0A">
            <w:pPr>
              <w:rPr>
                <w:sz w:val="24"/>
                <w:szCs w:val="24"/>
              </w:rPr>
            </w:pPr>
            <w:r w:rsidRPr="00AD7A0A">
              <w:rPr>
                <w:sz w:val="24"/>
                <w:szCs w:val="24"/>
              </w:rPr>
              <w:t>Years_Used</w:t>
            </w:r>
          </w:p>
        </w:tc>
        <w:tc>
          <w:tcPr>
            <w:tcW w:w="3939" w:type="dxa"/>
            <w:vAlign w:val="center"/>
            <w:hideMark/>
          </w:tcPr>
          <w:p w14:paraId="54CA6907" w14:textId="77777777" w:rsidR="00AD7A0A" w:rsidRPr="00AD7A0A" w:rsidRDefault="00AD7A0A" w:rsidP="00AD7A0A">
            <w:pPr>
              <w:rPr>
                <w:sz w:val="24"/>
                <w:szCs w:val="24"/>
              </w:rPr>
            </w:pPr>
            <w:r w:rsidRPr="00AD7A0A">
              <w:rPr>
                <w:sz w:val="24"/>
                <w:szCs w:val="24"/>
              </w:rPr>
              <w:t>-0.39, p ≈ 0.0037 (significant)</w:t>
            </w:r>
          </w:p>
        </w:tc>
        <w:tc>
          <w:tcPr>
            <w:tcW w:w="3640" w:type="dxa"/>
            <w:vAlign w:val="center"/>
            <w:hideMark/>
          </w:tcPr>
          <w:p w14:paraId="742C20CF" w14:textId="77777777" w:rsidR="00AD7A0A" w:rsidRPr="00AD7A0A" w:rsidRDefault="00AD7A0A" w:rsidP="00AD7A0A">
            <w:pPr>
              <w:rPr>
                <w:sz w:val="24"/>
                <w:szCs w:val="24"/>
              </w:rPr>
            </w:pPr>
            <w:r w:rsidRPr="00AD7A0A">
              <w:rPr>
                <w:sz w:val="24"/>
                <w:szCs w:val="24"/>
              </w:rPr>
              <w:t>-0.59, p ≈ 2.24E-10 (very significant)</w:t>
            </w:r>
          </w:p>
        </w:tc>
      </w:tr>
      <w:tr w:rsidR="00AD7A0A" w:rsidRPr="00AD7A0A" w14:paraId="435935F9" w14:textId="77777777" w:rsidTr="00AD7A0A">
        <w:trPr>
          <w:tblCellSpacing w:w="15" w:type="dxa"/>
        </w:trPr>
        <w:tc>
          <w:tcPr>
            <w:tcW w:w="1515" w:type="dxa"/>
            <w:vAlign w:val="center"/>
            <w:hideMark/>
          </w:tcPr>
          <w:p w14:paraId="2B99238D" w14:textId="77777777" w:rsidR="00AD7A0A" w:rsidRPr="00AD7A0A" w:rsidRDefault="00AD7A0A" w:rsidP="00AD7A0A">
            <w:pPr>
              <w:rPr>
                <w:sz w:val="24"/>
                <w:szCs w:val="24"/>
              </w:rPr>
            </w:pPr>
            <w:r w:rsidRPr="00AD7A0A">
              <w:rPr>
                <w:sz w:val="24"/>
                <w:szCs w:val="24"/>
              </w:rPr>
              <w:t>Brand</w:t>
            </w:r>
          </w:p>
        </w:tc>
        <w:tc>
          <w:tcPr>
            <w:tcW w:w="3939" w:type="dxa"/>
            <w:vAlign w:val="center"/>
            <w:hideMark/>
          </w:tcPr>
          <w:p w14:paraId="2CF59E82" w14:textId="77777777" w:rsidR="00AD7A0A" w:rsidRPr="00AD7A0A" w:rsidRDefault="00AD7A0A" w:rsidP="00AD7A0A">
            <w:pPr>
              <w:rPr>
                <w:sz w:val="24"/>
                <w:szCs w:val="24"/>
              </w:rPr>
            </w:pPr>
            <w:r w:rsidRPr="00AD7A0A">
              <w:rPr>
                <w:sz w:val="24"/>
                <w:szCs w:val="24"/>
              </w:rPr>
              <w:t>-3.05, p ≈ 1.70E-08 (very significant)</w:t>
            </w:r>
          </w:p>
        </w:tc>
        <w:tc>
          <w:tcPr>
            <w:tcW w:w="3640" w:type="dxa"/>
            <w:vAlign w:val="center"/>
            <w:hideMark/>
          </w:tcPr>
          <w:p w14:paraId="65CEA33D" w14:textId="77777777" w:rsidR="00AD7A0A" w:rsidRPr="00AD7A0A" w:rsidRDefault="00AD7A0A" w:rsidP="00AD7A0A">
            <w:pPr>
              <w:rPr>
                <w:sz w:val="24"/>
                <w:szCs w:val="24"/>
              </w:rPr>
            </w:pPr>
            <w:r w:rsidRPr="00AD7A0A">
              <w:rPr>
                <w:sz w:val="24"/>
                <w:szCs w:val="24"/>
              </w:rPr>
              <w:t>-2.84, p ≈ 8.67E-08 (very significant)</w:t>
            </w:r>
          </w:p>
        </w:tc>
      </w:tr>
    </w:tbl>
    <w:p w14:paraId="507870FD" w14:textId="26AD8536" w:rsidR="00AD7A0A" w:rsidRPr="00AD7A0A" w:rsidRDefault="00AD7A0A" w:rsidP="00AD7A0A">
      <w:pPr>
        <w:rPr>
          <w:b/>
          <w:bCs/>
          <w:sz w:val="40"/>
          <w:szCs w:val="40"/>
        </w:rPr>
      </w:pPr>
      <w:r w:rsidRPr="00AD7A0A">
        <w:rPr>
          <w:b/>
          <w:bCs/>
          <w:sz w:val="40"/>
          <w:szCs w:val="40"/>
        </w:rPr>
        <w:t>Conclusion:</w:t>
      </w:r>
    </w:p>
    <w:p w14:paraId="37938A74" w14:textId="77777777" w:rsidR="00AD7A0A" w:rsidRPr="00AD7A0A" w:rsidRDefault="00AD7A0A" w:rsidP="00AD7A0A">
      <w:pPr>
        <w:numPr>
          <w:ilvl w:val="0"/>
          <w:numId w:val="4"/>
        </w:numPr>
        <w:rPr>
          <w:sz w:val="36"/>
          <w:szCs w:val="36"/>
        </w:rPr>
      </w:pPr>
      <w:r w:rsidRPr="00AD7A0A">
        <w:rPr>
          <w:sz w:val="36"/>
          <w:szCs w:val="36"/>
        </w:rPr>
        <w:t>Both models have the same strong predictors: Fuel_Type, Transmission, Years_Used, Brand.</w:t>
      </w:r>
    </w:p>
    <w:p w14:paraId="3233573D" w14:textId="77777777" w:rsidR="00AD7A0A" w:rsidRPr="00AD7A0A" w:rsidRDefault="00AD7A0A" w:rsidP="00AD7A0A">
      <w:pPr>
        <w:numPr>
          <w:ilvl w:val="0"/>
          <w:numId w:val="4"/>
        </w:numPr>
        <w:rPr>
          <w:sz w:val="36"/>
          <w:szCs w:val="36"/>
        </w:rPr>
      </w:pPr>
      <w:r w:rsidRPr="00AD7A0A">
        <w:rPr>
          <w:sz w:val="36"/>
          <w:szCs w:val="36"/>
        </w:rPr>
        <w:t>Model 1 additionally includes Kms_Driven, but it is only marginally significant.</w:t>
      </w:r>
    </w:p>
    <w:p w14:paraId="76A6837E" w14:textId="77777777" w:rsidR="00AD7A0A" w:rsidRPr="00AD7A0A" w:rsidRDefault="00AD7A0A" w:rsidP="00AD7A0A">
      <w:pPr>
        <w:rPr>
          <w:sz w:val="36"/>
          <w:szCs w:val="36"/>
        </w:rPr>
      </w:pPr>
      <w:r w:rsidRPr="00AD7A0A">
        <w:rPr>
          <w:sz w:val="36"/>
          <w:szCs w:val="36"/>
        </w:rPr>
        <w:pict w14:anchorId="5989BD37">
          <v:rect id="_x0000_i1067" style="width:0;height:1.5pt" o:hralign="center" o:hrstd="t" o:hr="t" fillcolor="#a0a0a0" stroked="f"/>
        </w:pict>
      </w:r>
    </w:p>
    <w:p w14:paraId="6D0F6BC9" w14:textId="2B3F640F" w:rsidR="00AD7A0A" w:rsidRPr="00AD7A0A" w:rsidRDefault="00AD7A0A" w:rsidP="00AD7A0A">
      <w:pPr>
        <w:rPr>
          <w:b/>
          <w:bCs/>
          <w:sz w:val="40"/>
          <w:szCs w:val="40"/>
        </w:rPr>
      </w:pPr>
      <w:r w:rsidRPr="00AD7A0A">
        <w:rPr>
          <w:b/>
          <w:bCs/>
          <w:sz w:val="40"/>
          <w:szCs w:val="40"/>
        </w:rPr>
        <w:t>Final Verdict: Which Model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1528"/>
        <w:gridCol w:w="1813"/>
        <w:gridCol w:w="30"/>
        <w:gridCol w:w="3893"/>
      </w:tblGrid>
      <w:tr w:rsidR="00AD7A0A" w:rsidRPr="00AD7A0A" w14:paraId="52E151F3" w14:textId="77777777" w:rsidTr="00AD7A0A">
        <w:trPr>
          <w:tblHeader/>
          <w:tblCellSpacing w:w="15" w:type="dxa"/>
        </w:trPr>
        <w:tc>
          <w:tcPr>
            <w:tcW w:w="0" w:type="auto"/>
            <w:vAlign w:val="center"/>
            <w:hideMark/>
          </w:tcPr>
          <w:p w14:paraId="03A6F755" w14:textId="77777777" w:rsidR="00AD7A0A" w:rsidRPr="00AD7A0A" w:rsidRDefault="00AD7A0A" w:rsidP="00AD7A0A">
            <w:pPr>
              <w:rPr>
                <w:b/>
                <w:bCs/>
                <w:sz w:val="40"/>
                <w:szCs w:val="40"/>
              </w:rPr>
            </w:pPr>
            <w:r w:rsidRPr="00AD7A0A">
              <w:rPr>
                <w:b/>
                <w:bCs/>
                <w:sz w:val="40"/>
                <w:szCs w:val="40"/>
              </w:rPr>
              <w:lastRenderedPageBreak/>
              <w:t>Criteria</w:t>
            </w:r>
          </w:p>
        </w:tc>
        <w:tc>
          <w:tcPr>
            <w:tcW w:w="0" w:type="auto"/>
            <w:gridSpan w:val="2"/>
            <w:vAlign w:val="center"/>
            <w:hideMark/>
          </w:tcPr>
          <w:p w14:paraId="376B2E5A" w14:textId="7BE9240D" w:rsidR="00AD7A0A" w:rsidRPr="00AD7A0A" w:rsidRDefault="00AD7A0A" w:rsidP="00AD7A0A">
            <w:pPr>
              <w:rPr>
                <w:b/>
                <w:bCs/>
                <w:sz w:val="40"/>
                <w:szCs w:val="40"/>
              </w:rPr>
            </w:pPr>
            <w:r>
              <w:rPr>
                <w:b/>
                <w:bCs/>
                <w:sz w:val="40"/>
                <w:szCs w:val="40"/>
              </w:rPr>
              <w:t xml:space="preserve">                </w:t>
            </w:r>
            <w:r w:rsidRPr="00AD7A0A">
              <w:rPr>
                <w:b/>
                <w:bCs/>
                <w:sz w:val="40"/>
                <w:szCs w:val="40"/>
              </w:rPr>
              <w:t>Winner</w:t>
            </w:r>
          </w:p>
        </w:tc>
        <w:tc>
          <w:tcPr>
            <w:tcW w:w="0" w:type="auto"/>
            <w:gridSpan w:val="2"/>
            <w:vAlign w:val="center"/>
            <w:hideMark/>
          </w:tcPr>
          <w:p w14:paraId="25DE0E8F" w14:textId="77777777" w:rsidR="00AD7A0A" w:rsidRPr="00AD7A0A" w:rsidRDefault="00AD7A0A" w:rsidP="00AD7A0A">
            <w:pPr>
              <w:rPr>
                <w:b/>
                <w:bCs/>
                <w:sz w:val="40"/>
                <w:szCs w:val="40"/>
              </w:rPr>
            </w:pPr>
            <w:r w:rsidRPr="00AD7A0A">
              <w:rPr>
                <w:b/>
                <w:bCs/>
                <w:sz w:val="40"/>
                <w:szCs w:val="40"/>
              </w:rPr>
              <w:t>Why?</w:t>
            </w:r>
          </w:p>
        </w:tc>
      </w:tr>
      <w:tr w:rsidR="00AD7A0A" w:rsidRPr="00AD7A0A" w14:paraId="6E093A4F" w14:textId="77777777" w:rsidTr="00AD7A0A">
        <w:trPr>
          <w:tblCellSpacing w:w="15" w:type="dxa"/>
        </w:trPr>
        <w:tc>
          <w:tcPr>
            <w:tcW w:w="2932" w:type="dxa"/>
            <w:gridSpan w:val="2"/>
            <w:vAlign w:val="center"/>
            <w:hideMark/>
          </w:tcPr>
          <w:p w14:paraId="2911B47D" w14:textId="77777777" w:rsidR="00AD7A0A" w:rsidRPr="00AD7A0A" w:rsidRDefault="00AD7A0A" w:rsidP="00AD7A0A">
            <w:pPr>
              <w:rPr>
                <w:sz w:val="32"/>
                <w:szCs w:val="32"/>
              </w:rPr>
            </w:pPr>
            <w:r w:rsidRPr="00AD7A0A">
              <w:rPr>
                <w:sz w:val="32"/>
                <w:szCs w:val="32"/>
              </w:rPr>
              <w:t>Explanatory Power</w:t>
            </w:r>
          </w:p>
        </w:tc>
        <w:tc>
          <w:tcPr>
            <w:tcW w:w="1813" w:type="dxa"/>
            <w:gridSpan w:val="2"/>
            <w:vAlign w:val="center"/>
            <w:hideMark/>
          </w:tcPr>
          <w:p w14:paraId="2745F7C1" w14:textId="77777777" w:rsidR="00AD7A0A" w:rsidRPr="00AD7A0A" w:rsidRDefault="00AD7A0A" w:rsidP="00AD7A0A">
            <w:pPr>
              <w:rPr>
                <w:sz w:val="32"/>
                <w:szCs w:val="32"/>
              </w:rPr>
            </w:pPr>
            <w:r w:rsidRPr="00AD7A0A">
              <w:rPr>
                <w:sz w:val="32"/>
                <w:szCs w:val="32"/>
              </w:rPr>
              <w:t>Model 1</w:t>
            </w:r>
          </w:p>
        </w:tc>
        <w:tc>
          <w:tcPr>
            <w:tcW w:w="3848" w:type="dxa"/>
            <w:vAlign w:val="center"/>
            <w:hideMark/>
          </w:tcPr>
          <w:p w14:paraId="423E6082" w14:textId="77777777" w:rsidR="00AD7A0A" w:rsidRPr="00AD7A0A" w:rsidRDefault="00AD7A0A" w:rsidP="00AD7A0A">
            <w:pPr>
              <w:rPr>
                <w:sz w:val="32"/>
                <w:szCs w:val="32"/>
              </w:rPr>
            </w:pPr>
            <w:r w:rsidRPr="00AD7A0A">
              <w:rPr>
                <w:sz w:val="32"/>
                <w:szCs w:val="32"/>
              </w:rPr>
              <w:t>Higher R² and Adjusted R²</w:t>
            </w:r>
          </w:p>
        </w:tc>
      </w:tr>
      <w:tr w:rsidR="00AD7A0A" w:rsidRPr="00AD7A0A" w14:paraId="3CD03C47" w14:textId="77777777" w:rsidTr="00AD7A0A">
        <w:trPr>
          <w:tblCellSpacing w:w="15" w:type="dxa"/>
        </w:trPr>
        <w:tc>
          <w:tcPr>
            <w:tcW w:w="2932" w:type="dxa"/>
            <w:gridSpan w:val="2"/>
            <w:vAlign w:val="center"/>
            <w:hideMark/>
          </w:tcPr>
          <w:p w14:paraId="730ED5CB" w14:textId="77777777" w:rsidR="00AD7A0A" w:rsidRPr="00AD7A0A" w:rsidRDefault="00AD7A0A" w:rsidP="00AD7A0A">
            <w:pPr>
              <w:rPr>
                <w:sz w:val="32"/>
                <w:szCs w:val="32"/>
              </w:rPr>
            </w:pPr>
            <w:r w:rsidRPr="00AD7A0A">
              <w:rPr>
                <w:sz w:val="32"/>
                <w:szCs w:val="32"/>
              </w:rPr>
              <w:t>Prediction Accuracy</w:t>
            </w:r>
          </w:p>
        </w:tc>
        <w:tc>
          <w:tcPr>
            <w:tcW w:w="1813" w:type="dxa"/>
            <w:gridSpan w:val="2"/>
            <w:vAlign w:val="center"/>
            <w:hideMark/>
          </w:tcPr>
          <w:p w14:paraId="1B2CB892" w14:textId="77777777" w:rsidR="00AD7A0A" w:rsidRPr="00AD7A0A" w:rsidRDefault="00AD7A0A" w:rsidP="00AD7A0A">
            <w:pPr>
              <w:rPr>
                <w:sz w:val="32"/>
                <w:szCs w:val="32"/>
              </w:rPr>
            </w:pPr>
            <w:r w:rsidRPr="00AD7A0A">
              <w:rPr>
                <w:sz w:val="32"/>
                <w:szCs w:val="32"/>
              </w:rPr>
              <w:t>Model 1</w:t>
            </w:r>
          </w:p>
        </w:tc>
        <w:tc>
          <w:tcPr>
            <w:tcW w:w="3848" w:type="dxa"/>
            <w:vAlign w:val="center"/>
            <w:hideMark/>
          </w:tcPr>
          <w:p w14:paraId="1DB17B34" w14:textId="77777777" w:rsidR="00AD7A0A" w:rsidRPr="00AD7A0A" w:rsidRDefault="00AD7A0A" w:rsidP="00AD7A0A">
            <w:pPr>
              <w:rPr>
                <w:sz w:val="32"/>
                <w:szCs w:val="32"/>
              </w:rPr>
            </w:pPr>
            <w:r w:rsidRPr="00AD7A0A">
              <w:rPr>
                <w:sz w:val="32"/>
                <w:szCs w:val="32"/>
              </w:rPr>
              <w:t>Lower standard error</w:t>
            </w:r>
          </w:p>
        </w:tc>
      </w:tr>
      <w:tr w:rsidR="00AD7A0A" w:rsidRPr="00AD7A0A" w14:paraId="5A5194DE" w14:textId="77777777" w:rsidTr="00AD7A0A">
        <w:trPr>
          <w:tblCellSpacing w:w="15" w:type="dxa"/>
        </w:trPr>
        <w:tc>
          <w:tcPr>
            <w:tcW w:w="2932" w:type="dxa"/>
            <w:gridSpan w:val="2"/>
            <w:vAlign w:val="center"/>
            <w:hideMark/>
          </w:tcPr>
          <w:p w14:paraId="1BA54716" w14:textId="77777777" w:rsidR="00AD7A0A" w:rsidRPr="00AD7A0A" w:rsidRDefault="00AD7A0A" w:rsidP="00AD7A0A">
            <w:pPr>
              <w:rPr>
                <w:sz w:val="32"/>
                <w:szCs w:val="32"/>
              </w:rPr>
            </w:pPr>
            <w:r w:rsidRPr="00AD7A0A">
              <w:rPr>
                <w:sz w:val="32"/>
                <w:szCs w:val="32"/>
              </w:rPr>
              <w:t>Simplicity</w:t>
            </w:r>
          </w:p>
        </w:tc>
        <w:tc>
          <w:tcPr>
            <w:tcW w:w="1813" w:type="dxa"/>
            <w:gridSpan w:val="2"/>
            <w:vAlign w:val="center"/>
            <w:hideMark/>
          </w:tcPr>
          <w:p w14:paraId="2EA4E1EC" w14:textId="77777777" w:rsidR="00AD7A0A" w:rsidRPr="00AD7A0A" w:rsidRDefault="00AD7A0A" w:rsidP="00AD7A0A">
            <w:pPr>
              <w:rPr>
                <w:sz w:val="32"/>
                <w:szCs w:val="32"/>
              </w:rPr>
            </w:pPr>
            <w:r w:rsidRPr="00AD7A0A">
              <w:rPr>
                <w:sz w:val="32"/>
                <w:szCs w:val="32"/>
              </w:rPr>
              <w:t>Model 2</w:t>
            </w:r>
          </w:p>
        </w:tc>
        <w:tc>
          <w:tcPr>
            <w:tcW w:w="3848" w:type="dxa"/>
            <w:vAlign w:val="center"/>
            <w:hideMark/>
          </w:tcPr>
          <w:p w14:paraId="067BE6CA" w14:textId="77777777" w:rsidR="00AD7A0A" w:rsidRPr="00AD7A0A" w:rsidRDefault="00AD7A0A" w:rsidP="00AD7A0A">
            <w:pPr>
              <w:rPr>
                <w:sz w:val="32"/>
                <w:szCs w:val="32"/>
              </w:rPr>
            </w:pPr>
            <w:r w:rsidRPr="00AD7A0A">
              <w:rPr>
                <w:sz w:val="32"/>
                <w:szCs w:val="32"/>
              </w:rPr>
              <w:t>Fewer variables (no Kms_Driven)</w:t>
            </w:r>
          </w:p>
        </w:tc>
      </w:tr>
      <w:tr w:rsidR="00AD7A0A" w:rsidRPr="00AD7A0A" w14:paraId="6B233E4F" w14:textId="77777777" w:rsidTr="00AD7A0A">
        <w:trPr>
          <w:tblCellSpacing w:w="15" w:type="dxa"/>
        </w:trPr>
        <w:tc>
          <w:tcPr>
            <w:tcW w:w="2932" w:type="dxa"/>
            <w:gridSpan w:val="2"/>
            <w:vAlign w:val="center"/>
            <w:hideMark/>
          </w:tcPr>
          <w:p w14:paraId="06C8FF6A" w14:textId="77777777" w:rsidR="00AD7A0A" w:rsidRPr="00AD7A0A" w:rsidRDefault="00AD7A0A" w:rsidP="00AD7A0A">
            <w:pPr>
              <w:rPr>
                <w:sz w:val="32"/>
                <w:szCs w:val="32"/>
              </w:rPr>
            </w:pPr>
            <w:r w:rsidRPr="00AD7A0A">
              <w:rPr>
                <w:sz w:val="32"/>
                <w:szCs w:val="32"/>
              </w:rPr>
              <w:t>Significant Predictors</w:t>
            </w:r>
          </w:p>
        </w:tc>
        <w:tc>
          <w:tcPr>
            <w:tcW w:w="1813" w:type="dxa"/>
            <w:gridSpan w:val="2"/>
            <w:vAlign w:val="center"/>
            <w:hideMark/>
          </w:tcPr>
          <w:p w14:paraId="67FB3529" w14:textId="77777777" w:rsidR="00AD7A0A" w:rsidRPr="00AD7A0A" w:rsidRDefault="00AD7A0A" w:rsidP="00AD7A0A">
            <w:pPr>
              <w:rPr>
                <w:sz w:val="32"/>
                <w:szCs w:val="32"/>
              </w:rPr>
            </w:pPr>
            <w:r w:rsidRPr="00AD7A0A">
              <w:rPr>
                <w:sz w:val="32"/>
                <w:szCs w:val="32"/>
              </w:rPr>
              <w:t>Tie</w:t>
            </w:r>
          </w:p>
        </w:tc>
        <w:tc>
          <w:tcPr>
            <w:tcW w:w="3848" w:type="dxa"/>
            <w:vAlign w:val="center"/>
            <w:hideMark/>
          </w:tcPr>
          <w:p w14:paraId="2B3353D1" w14:textId="77777777" w:rsidR="00AD7A0A" w:rsidRPr="00AD7A0A" w:rsidRDefault="00AD7A0A" w:rsidP="00AD7A0A">
            <w:pPr>
              <w:rPr>
                <w:sz w:val="32"/>
                <w:szCs w:val="32"/>
              </w:rPr>
            </w:pPr>
            <w:r w:rsidRPr="00AD7A0A">
              <w:rPr>
                <w:sz w:val="32"/>
                <w:szCs w:val="32"/>
              </w:rPr>
              <w:t>Same strong variables</w:t>
            </w:r>
          </w:p>
        </w:tc>
      </w:tr>
    </w:tbl>
    <w:p w14:paraId="155F514F" w14:textId="77777777" w:rsidR="00AD7A0A" w:rsidRDefault="00AD7A0A" w:rsidP="00AD7A0A">
      <w:pPr>
        <w:rPr>
          <w:b/>
          <w:bCs/>
          <w:sz w:val="40"/>
          <w:szCs w:val="40"/>
        </w:rPr>
      </w:pPr>
      <w:r w:rsidRPr="00AD7A0A">
        <w:rPr>
          <w:b/>
          <w:bCs/>
          <w:sz w:val="40"/>
          <w:szCs w:val="40"/>
        </w:rPr>
        <w:t xml:space="preserve"> </w:t>
      </w:r>
    </w:p>
    <w:p w14:paraId="421A3E2E" w14:textId="4844E057" w:rsidR="00AD7A0A" w:rsidRDefault="00AD7A0A" w:rsidP="00AD7A0A">
      <w:pPr>
        <w:rPr>
          <w:b/>
          <w:bCs/>
          <w:sz w:val="40"/>
          <w:szCs w:val="40"/>
        </w:rPr>
      </w:pPr>
      <w:r w:rsidRPr="00AD7A0A">
        <w:rPr>
          <w:b/>
          <w:bCs/>
          <w:sz w:val="40"/>
          <w:szCs w:val="40"/>
        </w:rPr>
        <w:t>Model 1 is overall more reliable and performs slightly better, but Model 2 is simpler and still statistically strong.</w:t>
      </w:r>
    </w:p>
    <w:p w14:paraId="144567BF" w14:textId="77777777" w:rsidR="00000CC8" w:rsidRDefault="00000CC8" w:rsidP="00AD7A0A">
      <w:pPr>
        <w:rPr>
          <w:b/>
          <w:bCs/>
          <w:sz w:val="40"/>
          <w:szCs w:val="40"/>
        </w:rPr>
      </w:pPr>
    </w:p>
    <w:p w14:paraId="486919DC" w14:textId="77777777" w:rsidR="00000CC8" w:rsidRPr="00000CC8" w:rsidRDefault="00000CC8" w:rsidP="00000CC8">
      <w:pPr>
        <w:rPr>
          <w:rFonts w:ascii="Segoe UI Emoji" w:hAnsi="Segoe UI Emoji" w:cs="Segoe UI Emoji"/>
          <w:sz w:val="32"/>
          <w:szCs w:val="32"/>
          <w:u w:val="single"/>
        </w:rPr>
      </w:pPr>
      <w:r w:rsidRPr="00000CC8">
        <w:rPr>
          <w:rFonts w:ascii="Segoe UI Emoji" w:hAnsi="Segoe UI Emoji" w:cs="Segoe UI Emoji"/>
          <w:sz w:val="32"/>
          <w:szCs w:val="32"/>
          <w:u w:val="single"/>
        </w:rPr>
        <w:t>Why Insignificant Variables (p-value &gt; 0.05) Were Removed?</w:t>
      </w:r>
    </w:p>
    <w:p w14:paraId="0311EEC8" w14:textId="77777777" w:rsidR="00000CC8" w:rsidRDefault="00000CC8" w:rsidP="00000CC8">
      <w:pPr>
        <w:rPr>
          <w:rFonts w:ascii="Segoe UI Emoji" w:hAnsi="Segoe UI Emoji" w:cs="Segoe UI Emoji"/>
          <w:sz w:val="28"/>
          <w:szCs w:val="28"/>
        </w:rPr>
      </w:pPr>
      <w:r w:rsidRPr="00000CC8">
        <w:rPr>
          <w:rFonts w:ascii="Segoe UI Emoji" w:hAnsi="Segoe UI Emoji" w:cs="Segoe UI Emoji"/>
          <w:sz w:val="28"/>
          <w:szCs w:val="28"/>
        </w:rPr>
        <w:t>"Insignificant variables (p-value &gt; 0.05) were removed from the model because they do not contribute meaningfully to explaining the variation in the target variable. Keeping them would increase complexity without improving accuracy, and may even reduce the model’s reliability and interpretability."</w:t>
      </w:r>
    </w:p>
    <w:p w14:paraId="72373F90" w14:textId="78208838" w:rsidR="00000CC8" w:rsidRDefault="00000CC8" w:rsidP="00000CC8">
      <w:pPr>
        <w:rPr>
          <w:rFonts w:ascii="Segoe UI Emoji" w:hAnsi="Segoe UI Emoji" w:cs="Segoe UI Emoji"/>
          <w:sz w:val="28"/>
          <w:szCs w:val="28"/>
        </w:rPr>
      </w:pPr>
      <w:r>
        <w:rPr>
          <w:rFonts w:ascii="Segoe UI Emoji" w:hAnsi="Segoe UI Emoji" w:cs="Segoe UI Emoji"/>
          <w:sz w:val="28"/>
          <w:szCs w:val="28"/>
        </w:rPr>
        <w:t xml:space="preserve">       </w:t>
      </w:r>
    </w:p>
    <w:p w14:paraId="6900333A" w14:textId="35C00360" w:rsidR="00000CC8" w:rsidRPr="00906006" w:rsidRDefault="00000CC8" w:rsidP="00000CC8">
      <w:pPr>
        <w:jc w:val="center"/>
        <w:rPr>
          <w:rFonts w:ascii="Segoe UI Emoji" w:hAnsi="Segoe UI Emoji" w:cs="Segoe UI Emoji"/>
          <w:sz w:val="28"/>
          <w:szCs w:val="28"/>
        </w:rPr>
      </w:pPr>
      <w:r>
        <w:rPr>
          <w:rFonts w:ascii="Segoe UI Emoji" w:hAnsi="Segoe UI Emoji" w:cs="Segoe UI Emoji"/>
          <w:sz w:val="28"/>
          <w:szCs w:val="28"/>
        </w:rPr>
        <w:t>-----------------</w:t>
      </w:r>
    </w:p>
    <w:p w14:paraId="1B55DF6D" w14:textId="77777777" w:rsidR="00000CC8" w:rsidRPr="00AD7A0A" w:rsidRDefault="00000CC8" w:rsidP="00AD7A0A">
      <w:pPr>
        <w:rPr>
          <w:b/>
          <w:bCs/>
          <w:sz w:val="40"/>
          <w:szCs w:val="40"/>
        </w:rPr>
      </w:pPr>
    </w:p>
    <w:p w14:paraId="1CB77267" w14:textId="77777777" w:rsidR="00AD7A0A" w:rsidRPr="00AD7A0A" w:rsidRDefault="00AD7A0A" w:rsidP="00AD7A0A">
      <w:pPr>
        <w:rPr>
          <w:b/>
          <w:bCs/>
          <w:sz w:val="40"/>
          <w:szCs w:val="40"/>
        </w:rPr>
      </w:pPr>
    </w:p>
    <w:p w14:paraId="57018C80" w14:textId="77777777" w:rsidR="00AD7A0A" w:rsidRPr="00AD7A0A" w:rsidRDefault="00AD7A0A" w:rsidP="00AD7A0A">
      <w:pPr>
        <w:rPr>
          <w:b/>
          <w:bCs/>
          <w:sz w:val="40"/>
          <w:szCs w:val="40"/>
          <w:lang w:val="en-US"/>
        </w:rPr>
      </w:pPr>
    </w:p>
    <w:sectPr w:rsidR="00AD7A0A" w:rsidRPr="00AD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77C4"/>
    <w:multiLevelType w:val="multilevel"/>
    <w:tmpl w:val="DCF09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27527"/>
    <w:multiLevelType w:val="multilevel"/>
    <w:tmpl w:val="61F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40799"/>
    <w:multiLevelType w:val="multilevel"/>
    <w:tmpl w:val="51D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4F23"/>
    <w:multiLevelType w:val="multilevel"/>
    <w:tmpl w:val="7F2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634862">
    <w:abstractNumId w:val="0"/>
  </w:num>
  <w:num w:numId="2" w16cid:durableId="422149372">
    <w:abstractNumId w:val="3"/>
  </w:num>
  <w:num w:numId="3" w16cid:durableId="627201661">
    <w:abstractNumId w:val="2"/>
  </w:num>
  <w:num w:numId="4" w16cid:durableId="19720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42"/>
    <w:rsid w:val="00000CC8"/>
    <w:rsid w:val="001A6443"/>
    <w:rsid w:val="00794AFD"/>
    <w:rsid w:val="00847642"/>
    <w:rsid w:val="00906006"/>
    <w:rsid w:val="00AD7A0A"/>
    <w:rsid w:val="00C20BD0"/>
    <w:rsid w:val="00E40766"/>
    <w:rsid w:val="00F40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6EF5"/>
  <w15:chartTrackingRefBased/>
  <w15:docId w15:val="{094EA171-311F-4C77-8D24-6E82BD96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6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6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6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6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6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42"/>
    <w:rPr>
      <w:rFonts w:eastAsiaTheme="majorEastAsia" w:cstheme="majorBidi"/>
      <w:color w:val="272727" w:themeColor="text1" w:themeTint="D8"/>
    </w:rPr>
  </w:style>
  <w:style w:type="paragraph" w:styleId="Title">
    <w:name w:val="Title"/>
    <w:basedOn w:val="Normal"/>
    <w:next w:val="Normal"/>
    <w:link w:val="TitleChar"/>
    <w:uiPriority w:val="10"/>
    <w:qFormat/>
    <w:rsid w:val="00847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42"/>
    <w:pPr>
      <w:spacing w:before="160"/>
      <w:jc w:val="center"/>
    </w:pPr>
    <w:rPr>
      <w:i/>
      <w:iCs/>
      <w:color w:val="404040" w:themeColor="text1" w:themeTint="BF"/>
    </w:rPr>
  </w:style>
  <w:style w:type="character" w:customStyle="1" w:styleId="QuoteChar">
    <w:name w:val="Quote Char"/>
    <w:basedOn w:val="DefaultParagraphFont"/>
    <w:link w:val="Quote"/>
    <w:uiPriority w:val="29"/>
    <w:rsid w:val="00847642"/>
    <w:rPr>
      <w:i/>
      <w:iCs/>
      <w:color w:val="404040" w:themeColor="text1" w:themeTint="BF"/>
    </w:rPr>
  </w:style>
  <w:style w:type="paragraph" w:styleId="ListParagraph">
    <w:name w:val="List Paragraph"/>
    <w:basedOn w:val="Normal"/>
    <w:uiPriority w:val="34"/>
    <w:qFormat/>
    <w:rsid w:val="00847642"/>
    <w:pPr>
      <w:ind w:left="720"/>
      <w:contextualSpacing/>
    </w:pPr>
  </w:style>
  <w:style w:type="character" w:styleId="IntenseEmphasis">
    <w:name w:val="Intense Emphasis"/>
    <w:basedOn w:val="DefaultParagraphFont"/>
    <w:uiPriority w:val="21"/>
    <w:qFormat/>
    <w:rsid w:val="00847642"/>
    <w:rPr>
      <w:i/>
      <w:iCs/>
      <w:color w:val="2F5496" w:themeColor="accent1" w:themeShade="BF"/>
    </w:rPr>
  </w:style>
  <w:style w:type="paragraph" w:styleId="IntenseQuote">
    <w:name w:val="Intense Quote"/>
    <w:basedOn w:val="Normal"/>
    <w:next w:val="Normal"/>
    <w:link w:val="IntenseQuoteChar"/>
    <w:uiPriority w:val="30"/>
    <w:qFormat/>
    <w:rsid w:val="008476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42"/>
    <w:rPr>
      <w:i/>
      <w:iCs/>
      <w:color w:val="2F5496" w:themeColor="accent1" w:themeShade="BF"/>
    </w:rPr>
  </w:style>
  <w:style w:type="character" w:styleId="IntenseReference">
    <w:name w:val="Intense Reference"/>
    <w:basedOn w:val="DefaultParagraphFont"/>
    <w:uiPriority w:val="32"/>
    <w:qFormat/>
    <w:rsid w:val="008476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10559">
      <w:bodyDiv w:val="1"/>
      <w:marLeft w:val="0"/>
      <w:marRight w:val="0"/>
      <w:marTop w:val="0"/>
      <w:marBottom w:val="0"/>
      <w:divBdr>
        <w:top w:val="none" w:sz="0" w:space="0" w:color="auto"/>
        <w:left w:val="none" w:sz="0" w:space="0" w:color="auto"/>
        <w:bottom w:val="none" w:sz="0" w:space="0" w:color="auto"/>
        <w:right w:val="none" w:sz="0" w:space="0" w:color="auto"/>
      </w:divBdr>
    </w:div>
    <w:div w:id="288122797">
      <w:bodyDiv w:val="1"/>
      <w:marLeft w:val="0"/>
      <w:marRight w:val="0"/>
      <w:marTop w:val="0"/>
      <w:marBottom w:val="0"/>
      <w:divBdr>
        <w:top w:val="none" w:sz="0" w:space="0" w:color="auto"/>
        <w:left w:val="none" w:sz="0" w:space="0" w:color="auto"/>
        <w:bottom w:val="none" w:sz="0" w:space="0" w:color="auto"/>
        <w:right w:val="none" w:sz="0" w:space="0" w:color="auto"/>
      </w:divBdr>
      <w:divsChild>
        <w:div w:id="653221317">
          <w:marLeft w:val="0"/>
          <w:marRight w:val="0"/>
          <w:marTop w:val="0"/>
          <w:marBottom w:val="0"/>
          <w:divBdr>
            <w:top w:val="none" w:sz="0" w:space="0" w:color="auto"/>
            <w:left w:val="none" w:sz="0" w:space="0" w:color="auto"/>
            <w:bottom w:val="none" w:sz="0" w:space="0" w:color="auto"/>
            <w:right w:val="none" w:sz="0" w:space="0" w:color="auto"/>
          </w:divBdr>
          <w:divsChild>
            <w:div w:id="264776378">
              <w:marLeft w:val="0"/>
              <w:marRight w:val="0"/>
              <w:marTop w:val="0"/>
              <w:marBottom w:val="0"/>
              <w:divBdr>
                <w:top w:val="none" w:sz="0" w:space="0" w:color="auto"/>
                <w:left w:val="none" w:sz="0" w:space="0" w:color="auto"/>
                <w:bottom w:val="none" w:sz="0" w:space="0" w:color="auto"/>
                <w:right w:val="none" w:sz="0" w:space="0" w:color="auto"/>
              </w:divBdr>
            </w:div>
          </w:divsChild>
        </w:div>
        <w:div w:id="1246067623">
          <w:marLeft w:val="0"/>
          <w:marRight w:val="0"/>
          <w:marTop w:val="0"/>
          <w:marBottom w:val="0"/>
          <w:divBdr>
            <w:top w:val="none" w:sz="0" w:space="0" w:color="auto"/>
            <w:left w:val="none" w:sz="0" w:space="0" w:color="auto"/>
            <w:bottom w:val="none" w:sz="0" w:space="0" w:color="auto"/>
            <w:right w:val="none" w:sz="0" w:space="0" w:color="auto"/>
          </w:divBdr>
          <w:divsChild>
            <w:div w:id="1399596273">
              <w:marLeft w:val="0"/>
              <w:marRight w:val="0"/>
              <w:marTop w:val="0"/>
              <w:marBottom w:val="0"/>
              <w:divBdr>
                <w:top w:val="none" w:sz="0" w:space="0" w:color="auto"/>
                <w:left w:val="none" w:sz="0" w:space="0" w:color="auto"/>
                <w:bottom w:val="none" w:sz="0" w:space="0" w:color="auto"/>
                <w:right w:val="none" w:sz="0" w:space="0" w:color="auto"/>
              </w:divBdr>
            </w:div>
          </w:divsChild>
        </w:div>
        <w:div w:id="151722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792332">
      <w:bodyDiv w:val="1"/>
      <w:marLeft w:val="0"/>
      <w:marRight w:val="0"/>
      <w:marTop w:val="0"/>
      <w:marBottom w:val="0"/>
      <w:divBdr>
        <w:top w:val="none" w:sz="0" w:space="0" w:color="auto"/>
        <w:left w:val="none" w:sz="0" w:space="0" w:color="auto"/>
        <w:bottom w:val="none" w:sz="0" w:space="0" w:color="auto"/>
        <w:right w:val="none" w:sz="0" w:space="0" w:color="auto"/>
      </w:divBdr>
    </w:div>
    <w:div w:id="976956833">
      <w:bodyDiv w:val="1"/>
      <w:marLeft w:val="0"/>
      <w:marRight w:val="0"/>
      <w:marTop w:val="0"/>
      <w:marBottom w:val="0"/>
      <w:divBdr>
        <w:top w:val="none" w:sz="0" w:space="0" w:color="auto"/>
        <w:left w:val="none" w:sz="0" w:space="0" w:color="auto"/>
        <w:bottom w:val="none" w:sz="0" w:space="0" w:color="auto"/>
        <w:right w:val="none" w:sz="0" w:space="0" w:color="auto"/>
      </w:divBdr>
      <w:divsChild>
        <w:div w:id="1500190299">
          <w:marLeft w:val="0"/>
          <w:marRight w:val="0"/>
          <w:marTop w:val="0"/>
          <w:marBottom w:val="0"/>
          <w:divBdr>
            <w:top w:val="none" w:sz="0" w:space="0" w:color="auto"/>
            <w:left w:val="none" w:sz="0" w:space="0" w:color="auto"/>
            <w:bottom w:val="none" w:sz="0" w:space="0" w:color="auto"/>
            <w:right w:val="none" w:sz="0" w:space="0" w:color="auto"/>
          </w:divBdr>
          <w:divsChild>
            <w:div w:id="12128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817">
      <w:bodyDiv w:val="1"/>
      <w:marLeft w:val="0"/>
      <w:marRight w:val="0"/>
      <w:marTop w:val="0"/>
      <w:marBottom w:val="0"/>
      <w:divBdr>
        <w:top w:val="none" w:sz="0" w:space="0" w:color="auto"/>
        <w:left w:val="none" w:sz="0" w:space="0" w:color="auto"/>
        <w:bottom w:val="none" w:sz="0" w:space="0" w:color="auto"/>
        <w:right w:val="none" w:sz="0" w:space="0" w:color="auto"/>
      </w:divBdr>
    </w:div>
    <w:div w:id="1133329441">
      <w:bodyDiv w:val="1"/>
      <w:marLeft w:val="0"/>
      <w:marRight w:val="0"/>
      <w:marTop w:val="0"/>
      <w:marBottom w:val="0"/>
      <w:divBdr>
        <w:top w:val="none" w:sz="0" w:space="0" w:color="auto"/>
        <w:left w:val="none" w:sz="0" w:space="0" w:color="auto"/>
        <w:bottom w:val="none" w:sz="0" w:space="0" w:color="auto"/>
        <w:right w:val="none" w:sz="0" w:space="0" w:color="auto"/>
      </w:divBdr>
      <w:divsChild>
        <w:div w:id="984431315">
          <w:marLeft w:val="0"/>
          <w:marRight w:val="0"/>
          <w:marTop w:val="0"/>
          <w:marBottom w:val="0"/>
          <w:divBdr>
            <w:top w:val="none" w:sz="0" w:space="0" w:color="auto"/>
            <w:left w:val="none" w:sz="0" w:space="0" w:color="auto"/>
            <w:bottom w:val="none" w:sz="0" w:space="0" w:color="auto"/>
            <w:right w:val="none" w:sz="0" w:space="0" w:color="auto"/>
          </w:divBdr>
          <w:divsChild>
            <w:div w:id="1650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7373">
      <w:bodyDiv w:val="1"/>
      <w:marLeft w:val="0"/>
      <w:marRight w:val="0"/>
      <w:marTop w:val="0"/>
      <w:marBottom w:val="0"/>
      <w:divBdr>
        <w:top w:val="none" w:sz="0" w:space="0" w:color="auto"/>
        <w:left w:val="none" w:sz="0" w:space="0" w:color="auto"/>
        <w:bottom w:val="none" w:sz="0" w:space="0" w:color="auto"/>
        <w:right w:val="none" w:sz="0" w:space="0" w:color="auto"/>
      </w:divBdr>
      <w:divsChild>
        <w:div w:id="1576746143">
          <w:marLeft w:val="0"/>
          <w:marRight w:val="0"/>
          <w:marTop w:val="0"/>
          <w:marBottom w:val="0"/>
          <w:divBdr>
            <w:top w:val="none" w:sz="0" w:space="0" w:color="auto"/>
            <w:left w:val="none" w:sz="0" w:space="0" w:color="auto"/>
            <w:bottom w:val="none" w:sz="0" w:space="0" w:color="auto"/>
            <w:right w:val="none" w:sz="0" w:space="0" w:color="auto"/>
          </w:divBdr>
          <w:divsChild>
            <w:div w:id="229386632">
              <w:marLeft w:val="0"/>
              <w:marRight w:val="0"/>
              <w:marTop w:val="0"/>
              <w:marBottom w:val="0"/>
              <w:divBdr>
                <w:top w:val="none" w:sz="0" w:space="0" w:color="auto"/>
                <w:left w:val="none" w:sz="0" w:space="0" w:color="auto"/>
                <w:bottom w:val="none" w:sz="0" w:space="0" w:color="auto"/>
                <w:right w:val="none" w:sz="0" w:space="0" w:color="auto"/>
              </w:divBdr>
            </w:div>
          </w:divsChild>
        </w:div>
        <w:div w:id="1295872401">
          <w:marLeft w:val="0"/>
          <w:marRight w:val="0"/>
          <w:marTop w:val="0"/>
          <w:marBottom w:val="0"/>
          <w:divBdr>
            <w:top w:val="none" w:sz="0" w:space="0" w:color="auto"/>
            <w:left w:val="none" w:sz="0" w:space="0" w:color="auto"/>
            <w:bottom w:val="none" w:sz="0" w:space="0" w:color="auto"/>
            <w:right w:val="none" w:sz="0" w:space="0" w:color="auto"/>
          </w:divBdr>
          <w:divsChild>
            <w:div w:id="1871331361">
              <w:marLeft w:val="0"/>
              <w:marRight w:val="0"/>
              <w:marTop w:val="0"/>
              <w:marBottom w:val="0"/>
              <w:divBdr>
                <w:top w:val="none" w:sz="0" w:space="0" w:color="auto"/>
                <w:left w:val="none" w:sz="0" w:space="0" w:color="auto"/>
                <w:bottom w:val="none" w:sz="0" w:space="0" w:color="auto"/>
                <w:right w:val="none" w:sz="0" w:space="0" w:color="auto"/>
              </w:divBdr>
            </w:div>
          </w:divsChild>
        </w:div>
        <w:div w:id="166057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813972">
      <w:bodyDiv w:val="1"/>
      <w:marLeft w:val="0"/>
      <w:marRight w:val="0"/>
      <w:marTop w:val="0"/>
      <w:marBottom w:val="0"/>
      <w:divBdr>
        <w:top w:val="none" w:sz="0" w:space="0" w:color="auto"/>
        <w:left w:val="none" w:sz="0" w:space="0" w:color="auto"/>
        <w:bottom w:val="none" w:sz="0" w:space="0" w:color="auto"/>
        <w:right w:val="none" w:sz="0" w:space="0" w:color="auto"/>
      </w:divBdr>
    </w:div>
    <w:div w:id="1400711212">
      <w:bodyDiv w:val="1"/>
      <w:marLeft w:val="0"/>
      <w:marRight w:val="0"/>
      <w:marTop w:val="0"/>
      <w:marBottom w:val="0"/>
      <w:divBdr>
        <w:top w:val="none" w:sz="0" w:space="0" w:color="auto"/>
        <w:left w:val="none" w:sz="0" w:space="0" w:color="auto"/>
        <w:bottom w:val="none" w:sz="0" w:space="0" w:color="auto"/>
        <w:right w:val="none" w:sz="0" w:space="0" w:color="auto"/>
      </w:divBdr>
      <w:divsChild>
        <w:div w:id="1873807194">
          <w:marLeft w:val="0"/>
          <w:marRight w:val="0"/>
          <w:marTop w:val="0"/>
          <w:marBottom w:val="0"/>
          <w:divBdr>
            <w:top w:val="none" w:sz="0" w:space="0" w:color="auto"/>
            <w:left w:val="none" w:sz="0" w:space="0" w:color="auto"/>
            <w:bottom w:val="none" w:sz="0" w:space="0" w:color="auto"/>
            <w:right w:val="none" w:sz="0" w:space="0" w:color="auto"/>
          </w:divBdr>
          <w:divsChild>
            <w:div w:id="2011446429">
              <w:marLeft w:val="0"/>
              <w:marRight w:val="0"/>
              <w:marTop w:val="0"/>
              <w:marBottom w:val="0"/>
              <w:divBdr>
                <w:top w:val="none" w:sz="0" w:space="0" w:color="auto"/>
                <w:left w:val="none" w:sz="0" w:space="0" w:color="auto"/>
                <w:bottom w:val="none" w:sz="0" w:space="0" w:color="auto"/>
                <w:right w:val="none" w:sz="0" w:space="0" w:color="auto"/>
              </w:divBdr>
            </w:div>
          </w:divsChild>
        </w:div>
        <w:div w:id="18005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98358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39402">
      <w:bodyDiv w:val="1"/>
      <w:marLeft w:val="0"/>
      <w:marRight w:val="0"/>
      <w:marTop w:val="0"/>
      <w:marBottom w:val="0"/>
      <w:divBdr>
        <w:top w:val="none" w:sz="0" w:space="0" w:color="auto"/>
        <w:left w:val="none" w:sz="0" w:space="0" w:color="auto"/>
        <w:bottom w:val="none" w:sz="0" w:space="0" w:color="auto"/>
        <w:right w:val="none" w:sz="0" w:space="0" w:color="auto"/>
      </w:divBdr>
      <w:divsChild>
        <w:div w:id="1465927802">
          <w:marLeft w:val="0"/>
          <w:marRight w:val="0"/>
          <w:marTop w:val="0"/>
          <w:marBottom w:val="0"/>
          <w:divBdr>
            <w:top w:val="none" w:sz="0" w:space="0" w:color="auto"/>
            <w:left w:val="none" w:sz="0" w:space="0" w:color="auto"/>
            <w:bottom w:val="none" w:sz="0" w:space="0" w:color="auto"/>
            <w:right w:val="none" w:sz="0" w:space="0" w:color="auto"/>
          </w:divBdr>
          <w:divsChild>
            <w:div w:id="33847994">
              <w:marLeft w:val="0"/>
              <w:marRight w:val="0"/>
              <w:marTop w:val="0"/>
              <w:marBottom w:val="0"/>
              <w:divBdr>
                <w:top w:val="none" w:sz="0" w:space="0" w:color="auto"/>
                <w:left w:val="none" w:sz="0" w:space="0" w:color="auto"/>
                <w:bottom w:val="none" w:sz="0" w:space="0" w:color="auto"/>
                <w:right w:val="none" w:sz="0" w:space="0" w:color="auto"/>
              </w:divBdr>
            </w:div>
          </w:divsChild>
        </w:div>
        <w:div w:id="36683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79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545222">
      <w:bodyDiv w:val="1"/>
      <w:marLeft w:val="0"/>
      <w:marRight w:val="0"/>
      <w:marTop w:val="0"/>
      <w:marBottom w:val="0"/>
      <w:divBdr>
        <w:top w:val="none" w:sz="0" w:space="0" w:color="auto"/>
        <w:left w:val="none" w:sz="0" w:space="0" w:color="auto"/>
        <w:bottom w:val="none" w:sz="0" w:space="0" w:color="auto"/>
        <w:right w:val="none" w:sz="0" w:space="0" w:color="auto"/>
      </w:divBdr>
      <w:divsChild>
        <w:div w:id="41638058">
          <w:marLeft w:val="0"/>
          <w:marRight w:val="0"/>
          <w:marTop w:val="0"/>
          <w:marBottom w:val="0"/>
          <w:divBdr>
            <w:top w:val="none" w:sz="0" w:space="0" w:color="auto"/>
            <w:left w:val="none" w:sz="0" w:space="0" w:color="auto"/>
            <w:bottom w:val="none" w:sz="0" w:space="0" w:color="auto"/>
            <w:right w:val="none" w:sz="0" w:space="0" w:color="auto"/>
          </w:divBdr>
          <w:divsChild>
            <w:div w:id="53747684">
              <w:marLeft w:val="0"/>
              <w:marRight w:val="0"/>
              <w:marTop w:val="0"/>
              <w:marBottom w:val="0"/>
              <w:divBdr>
                <w:top w:val="none" w:sz="0" w:space="0" w:color="auto"/>
                <w:left w:val="none" w:sz="0" w:space="0" w:color="auto"/>
                <w:bottom w:val="none" w:sz="0" w:space="0" w:color="auto"/>
                <w:right w:val="none" w:sz="0" w:space="0" w:color="auto"/>
              </w:divBdr>
            </w:div>
          </w:divsChild>
        </w:div>
        <w:div w:id="338047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3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757617">
      <w:bodyDiv w:val="1"/>
      <w:marLeft w:val="0"/>
      <w:marRight w:val="0"/>
      <w:marTop w:val="0"/>
      <w:marBottom w:val="0"/>
      <w:divBdr>
        <w:top w:val="none" w:sz="0" w:space="0" w:color="auto"/>
        <w:left w:val="none" w:sz="0" w:space="0" w:color="auto"/>
        <w:bottom w:val="none" w:sz="0" w:space="0" w:color="auto"/>
        <w:right w:val="none" w:sz="0" w:space="0" w:color="auto"/>
      </w:divBdr>
      <w:divsChild>
        <w:div w:id="610548238">
          <w:marLeft w:val="0"/>
          <w:marRight w:val="0"/>
          <w:marTop w:val="0"/>
          <w:marBottom w:val="0"/>
          <w:divBdr>
            <w:top w:val="none" w:sz="0" w:space="0" w:color="auto"/>
            <w:left w:val="none" w:sz="0" w:space="0" w:color="auto"/>
            <w:bottom w:val="none" w:sz="0" w:space="0" w:color="auto"/>
            <w:right w:val="none" w:sz="0" w:space="0" w:color="auto"/>
          </w:divBdr>
          <w:divsChild>
            <w:div w:id="1039861271">
              <w:marLeft w:val="0"/>
              <w:marRight w:val="0"/>
              <w:marTop w:val="0"/>
              <w:marBottom w:val="0"/>
              <w:divBdr>
                <w:top w:val="none" w:sz="0" w:space="0" w:color="auto"/>
                <w:left w:val="none" w:sz="0" w:space="0" w:color="auto"/>
                <w:bottom w:val="none" w:sz="0" w:space="0" w:color="auto"/>
                <w:right w:val="none" w:sz="0" w:space="0" w:color="auto"/>
              </w:divBdr>
            </w:div>
          </w:divsChild>
        </w:div>
        <w:div w:id="94627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56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mahesh</dc:creator>
  <cp:keywords/>
  <dc:description/>
  <cp:lastModifiedBy>meesala mahesh</cp:lastModifiedBy>
  <cp:revision>1</cp:revision>
  <dcterms:created xsi:type="dcterms:W3CDTF">2025-06-26T13:58:00Z</dcterms:created>
  <dcterms:modified xsi:type="dcterms:W3CDTF">2025-06-26T14:49:00Z</dcterms:modified>
</cp:coreProperties>
</file>