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Consent and suitability controls for the first release</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2-Consent-Rule-Pack.docx  ·  3-Suitability-Rule-Pack.docx</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on the rules that govern how customer consent is captured and how product suitability is assessed — sought before either service is built, and before the existing quote path is permitted to serve a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 of 3 — Decision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 — Consent Rule Pack, in full: 42 rules in 13 sections</w:t>
            </w:r>
            <w:r>
              <w:rPr>
                <w:b w:val="false"/>
                <w:bCs w:val="false"/>
                <w:i w:val="false"/>
                <w:iCs w:val="false"/>
                <w:color w:val="222629"/>
                <w:sz w:val="18"/>
                <w:szCs w:val="18"/>
              </w:rPr>
              <w:br/>
              <w:t xml:space="preserve">Volume 3 — Suitability Rule Pack, in full: 62 rules in 14 sections</w:t>
            </w:r>
            <w:r>
              <w:rPr>
                <w:b w:val="false"/>
                <w:bCs w:val="false"/>
                <w:i w:val="false"/>
                <w:iCs w:val="false"/>
                <w:color w:val="222629"/>
                <w:sz w:val="18"/>
                <w:szCs w:val="18"/>
              </w:rPr>
              <w:br/>
              <w:t xml:space="preserve">The three volumes are one submission and should be read together.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Drafted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An AI agent</w:t>
            </w:r>
            <w:r>
              <w:rPr>
                <w:b w:val="false"/>
                <w:bCs w:val="false"/>
                <w:i w:val="false"/>
                <w:iCs w:val="false"/>
                <w:color w:val="9B2226"/>
                <w:sz w:val="18"/>
                <w:szCs w:val="18"/>
              </w:rPr>
              <w:t xml:space="preserve">, working from the Product Owner’s reasoning package and the programme’s own documents. </w:t>
            </w:r>
            <w:r>
              <w:rPr>
                <w:b w:val="false"/>
                <w:bCs w:val="false"/>
                <w:i w:val="false"/>
                <w:iCs w:val="false"/>
                <w:color w:val="222629"/>
                <w:sz w:val="18"/>
                <w:szCs w:val="18"/>
              </w:rPr>
              <w:t xml:space="preserve">The Principal Insurance Platform Product Owner is the accountable role, and has not yet signed. See the provenance note below and the Product decision block in §14.</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AI-DRAFTED. No human Product decision has been recorded on this pack.</w:t>
            </w:r>
            <w:r>
              <w:rPr>
                <w:b w:val="false"/>
                <w:bCs w:val="false"/>
                <w:i w:val="false"/>
                <w:iCs w:val="false"/>
                <w:color w:val="222629"/>
                <w:sz w:val="18"/>
                <w:szCs w:val="18"/>
              </w:rPr>
              <w:t xml:space="preserve"/>
            </w:r>
            <w:r>
              <w:rPr>
                <w:b w:val="false"/>
                <w:bCs w:val="false"/>
                <w:i w:val="false"/>
                <w:iCs w:val="false"/>
                <w:color w:val="222629"/>
                <w:sz w:val="18"/>
                <w:szCs w:val="18"/>
              </w:rPr>
              <w:br/>
              <w:t xml:space="preserve">Where this document states a Product position, that position is drafted on Product’s behalf and is awaiting the Product Owner’s signature. It is not evidence of a Product decision and must not be relied on as one.</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Compliance &amp; Risk Head</w:t>
            </w:r>
            <w:r>
              <w:rPr>
                <w:b w:val="false"/>
                <w:bCs w:val="false"/>
                <w:i w:val="false"/>
                <w:iCs w:val="false"/>
                <w:color w:val="222629"/>
                <w:sz w:val="18"/>
                <w:szCs w:val="18"/>
              </w:rPr>
              <w:t xml:space="preserve">. A human signature is mandatory; this approval cannot be delegated to an automated reviewer.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 · Data and Database · Quality Assurance · Solution Architecture · Operations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v1.1 — 42 rules · Suitability Rule Pack v1.1 — 62 rules, algorithm SUIT-ALGO-LIFE-v1.1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Mixed, and not what an earlier draft of this pack said. </w:t>
            </w:r>
            <w:r>
              <w:rPr>
                <w:b w:val="false"/>
                <w:bCs w:val="false"/>
                <w:i w:val="false"/>
                <w:iCs w:val="false"/>
                <w:color w:val="222629"/>
                <w:sz w:val="18"/>
                <w:szCs w:val="18"/>
              </w:rPr>
              <w:t xml:space="preserve">Neither the Consent Service nor the Suitability Service exists. The quote path, however, was built, delivered and hardened — without the suitability gate this approval supplies. §3.2 sets out the position component by component.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What is being asked for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conclusion on each section of each pack, recorded in this volume. §5 sets out precisely what that certifies and what it does not.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R0 execution — one Term Life sale to an existing bank customer, assisted by a relationship manager, through one insurer on the approved panel. The suitability model also covers Savings/Endowment and unit-linked classes so that later governed releases do not need a new model; approving the model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for the business behaviour, as a set of three. </w:t>
            </w:r>
            <w:r>
              <w:rPr>
                <w:b w:val="false"/>
                <w:bCs w:val="false"/>
                <w:i w:val="false"/>
                <w:iCs w:val="false"/>
                <w:color w:val="222629"/>
                <w:sz w:val="18"/>
                <w:szCs w:val="18"/>
              </w:rPr>
              <w:t xml:space="preserve">Every rule submitted is reproduced in full in Volumes 2 and 3. A conclusion on regulatory permissibility needs one thing more: §6 completed with authoritative sources and applicability determinations. Unresolved rows route to the Compliance &amp; Risk Head with Legal support.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references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documents are written for a reader outside the delivery organisation. Where an internal programme code is unavoidable it is explained where it appears, and all of them are listed in the Appendix, Part 2 — which is identical in all three volumes.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What Compliance is being asked to approve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Executive summary</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Where this sits — scope, position and authority</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What is submitted</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Why a signature, and what it certifies</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Regulatory basis and applicability</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How to read this document</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Decision Schedule A — Consent Rule Pack</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Decision Schedule B — Suitability Rule Pack</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Open items requiring a Compliance determination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Product proposal — consolidating consent into a single up-front ceremony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Conditions that carry forward into build and run</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happens after approval</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Sign-off sheet</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pStyle w:val="Heading2"/>
        <w:keepNext/>
        <w:keepLines/>
        <w:spacing w:after="100" w:before="220"/>
      </w:pPr>
      <w:r>
        <w:rPr>
          <w:b/>
          <w:bCs/>
          <w:color w:val="0F6E6E"/>
          <w:sz w:val="21"/>
          <w:szCs w:val="21"/>
        </w:rPr>
        <w:t xml:space="preserve">The three volumes, and what each is for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241"/>
        <w:gridCol w:w="3759"/>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Volume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contains</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to use it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w:t>
            </w:r>
            <w:r>
              <w:rPr>
                <w:b/>
                <w:bCs/>
                <w:i w:val="false"/>
                <w:iCs w:val="false"/>
                <w:color w:val="222629"/>
                <w:sz w:val="18"/>
                <w:szCs w:val="18"/>
              </w:rPr>
              <w:br/>
              <w:t xml:space="preserve"/>
            </w:r>
            <w:r>
              <w:rPr>
                <w:b w:val="false"/>
                <w:bCs w:val="false"/>
                <w:i w:val="false"/>
                <w:iCs w:val="false"/>
                <w:color w:val="222629"/>
                <w:sz w:val="18"/>
                <w:szCs w:val="18"/>
              </w:rPr>
              <w:t xml:space="preserve">Decision Pack</w:t>
            </w:r>
            <w:r>
              <w:rPr>
                <w:b w:val="false"/>
                <w:bCs w:val="false"/>
                <w:i w:val="false"/>
                <w:iCs w:val="false"/>
                <w:color w:val="222629"/>
                <w:sz w:val="18"/>
                <w:szCs w:val="18"/>
              </w:rPr>
              <w:br/>
              <w:t xml:space="preserve">this document</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Why the approval is needed, what a signature certifies, the two decision schedules, the ten open regulatory questions, a Product proposal on consent sequencing, the conditions that carry into build, and the sign-off sheet.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it through, then work down the two schedules. Everything you sign is in this volume.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w:t>
            </w:r>
            <w:r>
              <w:rPr>
                <w:b/>
                <w:bCs/>
                <w:i w:val="false"/>
                <w:iCs w:val="false"/>
                <w:color w:val="222629"/>
                <w:sz w:val="18"/>
                <w:szCs w:val="18"/>
              </w:rPr>
              <w:br/>
              <w:t xml:space="preserve"/>
            </w:r>
            <w:r>
              <w:rPr>
                <w:b w:val="false"/>
                <w:bCs w:val="false"/>
                <w:i w:val="false"/>
                <w:iCs w:val="false"/>
                <w:color w:val="222629"/>
                <w:sz w:val="18"/>
                <w:szCs w:val="18"/>
              </w:rPr>
              <w:t xml:space="preserve">Consent Rule Pack</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38 consent rules in full, with the consent events, the evidence record, and the failure behaviour they govern.</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A. Each row of the schedule names the section to read.</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w:t>
            </w:r>
            <w:r>
              <w:rPr>
                <w:b/>
                <w:bCs/>
                <w:i w:val="false"/>
                <w:iCs w:val="false"/>
                <w:color w:val="222629"/>
                <w:sz w:val="18"/>
                <w:szCs w:val="18"/>
              </w:rPr>
              <w:br/>
              <w:t xml:space="preserve"/>
            </w:r>
            <w:r>
              <w:rPr>
                <w:b w:val="false"/>
                <w:bCs w:val="false"/>
                <w:i w:val="false"/>
                <w:iCs w:val="false"/>
                <w:color w:val="222629"/>
                <w:sz w:val="18"/>
                <w:szCs w:val="18"/>
              </w:rPr>
              <w:t xml:space="preserve">Suitability Rule Pack</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48 suitability rules in full, with the question set, the computation, the outcome tables and the override policy.</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B, the same way.</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set stands alone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Between them, the three volumes contain everything needed to complete this approval. No further document needs to be requested and no system access is required. Volume 1 is the decision; Volumes 2 and 3 are the substance being decided on.</w:t>
      </w:r>
    </w:p>
    <w:p>
      <w:pPr>
        <w:pStyle w:val="Heading1"/>
        <w:keepNext/>
        <w:keepLines/>
        <w:pageBreakBefore/>
        <w:pBdr>
          <w:bottom w:val="single" w:color="0F6E6E" w:sz="8" w:space="6"/>
        </w:pBdr>
        <w:spacing w:after="160" w:before="0"/>
      </w:pPr>
      <w:r>
        <w:rPr>
          <w:b/>
          <w:bCs/>
          <w:color w:val="11304E"/>
          <w:sz w:val="30"/>
          <w:szCs w:val="30"/>
        </w:rPr>
        <w:t xml:space="preserve">1.  What Compliance is being asked to approve</w:t>
      </w:r>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first release of the insurance distribution journey. Both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v1.1</w:t>
            </w:r>
            <w:r>
              <w:rPr>
                <w:b w:val="false"/>
                <w:bCs w:val="false"/>
                <w:i w:val="false"/>
                <w:iCs w:val="false"/>
                <w:color w:val="222629"/>
                <w:sz w:val="18"/>
                <w:szCs w:val="18"/>
              </w:rPr>
              <w:t xml:space="preserve"> (42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is met, the blocking issue closes, and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D2a</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structure</w:t>
            </w:r>
            <w:r>
              <w:rPr>
                <w:b w:val="false"/>
                <w:bCs w:val="false"/>
                <w:i w:val="false"/>
                <w:iCs w:val="false"/>
                <w:color w:val="222629"/>
                <w:sz w:val="18"/>
                <w:szCs w:val="18"/>
              </w:rPr>
              <w:t xml:space="preserve"> — the question set, the record, the gate, invalidation, reuse, the override policy and the disclosures. Everything in Schedule B except the arithmetic.</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Service enters construction, and the gate can be built in front of the existing quote path.</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D2b</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algorithm</w:t>
            </w:r>
            <w:r>
              <w:rPr>
                <w:b w:val="false"/>
                <w:bCs w:val="false"/>
                <w:i w:val="false"/>
                <w:iCs w:val="false"/>
                <w:color w:val="222629"/>
                <w:sz w:val="18"/>
                <w:szCs w:val="18"/>
              </w:rPr>
              <w:t xml:space="preserve"> SUIT-ALGO-LIFE-v1.1 — the income multiples, the age factors and the outcome thresholds.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model may be used to produce assessments that are relied on in a sale.</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Blocked by OPEN-SUIT-01.</w:t>
            </w:r>
            <w:r>
              <w:rPr>
                <w:b w:val="false"/>
                <w:bCs w:val="false"/>
                <w:i w:val="false"/>
                <w:iCs w:val="false"/>
                <w:color w:val="222629"/>
                <w:sz w:val="18"/>
                <w:szCs w:val="18"/>
              </w:rPr>
              <w:t xml:space="preserve"> Product no longer presents this as approvable without a source-backed answer — see §10.</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open regulatory items</w:t>
            </w:r>
            <w:r>
              <w:rPr>
                <w:b w:val="false"/>
                <w:bCs w:val="false"/>
                <w:i w:val="false"/>
                <w:iCs w:val="false"/>
                <w:color w:val="222629"/>
                <w:sz w:val="18"/>
                <w:szCs w:val="18"/>
              </w:rPr>
              <w:t xml:space="preserve"> in §10, rule on the consent-consolidation proposal in §11, and answer OPEN-SCOPE-01 in §3.1</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the algorithm decision becomes possible, and the customer-facing wording can be drafted.</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D2a can still be approved; the journey is then built to the sequence described in §11.1, and no assessment may be relied on in a sale.</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honest position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Nothing here claims that Product has settled a regulatory question. Where the answer is Compliance’s, the question is written down, the position Product would take is stated, and the consequence of deciding otherwise is named. Twelve are listed in §10, and a thirteenth — a scope question — in §3.1. Two of them block, and are marked as blocking; the rest do not, because they are wording, window or sequencing questions over a rule set and a record structure that do not change with the answer. That is the reason for specifying structure before text.</w:t>
      </w:r>
    </w:p>
    <w:p>
      <w:pPr>
        <w:pStyle w:val="Heading1"/>
        <w:keepNext/>
        <w:keepLines/>
        <w:pBdr>
          <w:bottom w:val="single" w:color="0F6E6E" w:sz="8" w:space="6"/>
        </w:pBdr>
        <w:spacing w:after="160" w:before="400"/>
      </w:pPr>
      <w:r>
        <w:rPr>
          <w:b/>
          <w:bCs/>
          <w:color w:val="11304E"/>
          <w:sz w:val="30"/>
          <w:szCs w:val="30"/>
        </w:rPr>
        <w:t xml:space="preserve">2.  Executive summary</w:t>
      </w:r>
    </w:p>
    <w:p>
      <w:pPr>
        <w:spacing w:after="120" w:before="0" w:line="276"/>
        <w:jc w:val="left"/>
      </w:pPr>
      <w:r>
        <w:rPr>
          <w:b w:val="false"/>
          <w:bCs w:val="false"/>
          <w:i w:val="false"/>
          <w:iCs w:val="false"/>
          <w:color w:val="222629"/>
          <w:sz w:val="20"/>
          <w:szCs w:val="20"/>
        </w:rPr>
        <w:t xml:space="preserve">Two unresolved issues have kept this platform out of construction. The first is that the consent rules were written as intentions rather than as rules anyone could test. The second is that the suitability content — the questions, the arithmetic and the override policy — had never been decided. Both are recorded at the programme’s highest severity, which means development cannot start while either is open.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104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Compliance conclusion on both packs. This is the only thing standing between the programme and the two approval checkpoints that release the build.</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fully specified suitability model: 12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Nine refusal cases are enumerated, two of which check that the customer actually acknowledged the disclosures the assessment produced.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override policy for the first release — that a NOT_SUITABLE outcome cannot be overridden by any actor, at any level, through any route — and a source-backed answer on whether the model itself discharges the obligation (OPEN-SUIT-01), which now blocks the algorithm decision.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24-field consent evidence record and an 18-field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§11, which would reduce the customer from as many as four consent interruptions to at most two.</w:t>
            </w:r>
          </w:p>
        </w:tc>
      </w:tr>
    </w:tbl>
    <w:p>
      <w:pPr>
        <w:spacing w:after="140"/>
      </w:pPr>
      <w:r>
        <w:t xml:space="preserve"/>
      </w:r>
    </w:p>
    <w:p>
      <w:pPr>
        <w:pStyle w:val="Heading2"/>
        <w:keepNext/>
        <w:keepLines/>
        <w:spacing w:after="100" w:before="220"/>
      </w:pPr>
      <w:r>
        <w:rPr>
          <w:b/>
          <w:bCs/>
          <w:color w:val="0F6E6E"/>
          <w:sz w:val="21"/>
          <w:szCs w:val="21"/>
        </w:rPr>
        <w:t xml:space="preserve">Why the timing matters</w:t>
      </w:r>
    </w:p>
    <w:p>
      <w:pPr>
        <w:pStyle w:val="ListParagraph"/>
        <w:numPr>
          <w:ilvl w:val="0"/>
          <w:numId w:val="2"/>
        </w:numPr>
        <w:spacing w:after="80" w:line="276"/>
      </w:pPr>
      <w:r>
        <w:rPr>
          <w:sz w:val="20"/>
          <w:szCs w:val="20"/>
        </w:rPr>
        <w:t xml:space="preserve">The Consent Service and the Suitability Service sit on the critical path for the first release.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pPr>
        <w:pStyle w:val="Heading2"/>
        <w:keepNext/>
        <w:keepLines/>
        <w:pageBreakBefore/>
        <w:spacing w:after="120" w:before="0"/>
      </w:pPr>
      <w:r>
        <w:rPr>
          <w:b/>
          <w:bCs/>
          <w:color w:val="11304E"/>
          <w:sz w:val="24"/>
          <w:szCs w:val="24"/>
        </w:rPr>
        <w:t xml:space="preserve">2.1  What changed at v1.1, and why</w:t>
      </w:r>
    </w:p>
    <w:p>
      <w:pPr>
        <w:spacing w:after="120" w:before="0" w:line="276"/>
        <w:jc w:val="left"/>
      </w:pPr>
      <w:r>
        <w:rPr>
          <w:b w:val="false"/>
          <w:bCs w:val="false"/>
          <w:i w:val="false"/>
          <w:iCs w:val="false"/>
          <w:color w:val="222629"/>
          <w:sz w:val="20"/>
          <w:szCs w:val="20"/>
        </w:rPr>
        <w:t xml:space="preserve">Version 1.0 of this pack was reviewed and returned for rework. The findings were accepted; none was argued away. This table records what changed, so that a reader who saw v1.0 does not have to diff two documents, and so that the corrections are on the record rather than silently absorbed.</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506"/>
        <w:gridCol w:w="3181"/>
        <w:gridCol w:w="3951"/>
      </w:tblGrid>
      <w:tr>
        <w:trPr>
          <w:cantSplit/>
          <w:tblHeader/>
        </w:trPr>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v1.0 said</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was wrong with it</w:t>
            </w:r>
          </w:p>
        </w:tc>
        <w:tc>
          <w:tcPr>
            <w:tcW w:type="dxa" w:w="395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v1.1 does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had not started and both services were frozen pending approval.</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Materially untrue. The quote path was already built, delivered and hardened — without the suitability gate — and an interface application exists. The approval is a remedy, not a starting gun.</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§3.2 states the actual position component by component, including the part that reflects badly on the programme.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is assisted-only, with self-service, hybrid and off-panel redirect deferred.</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True, but presented as if it had always been so. It narrows an earlier Day-1 decision, and the narrowing was invisible.</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§3.1 names the superseding decision, preserves the original position alongside it, and raises the unresolved redirect question as OPEN-SCOPE-01.</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were described as mandatory, with obligations named as "data-protection law" and "the suitability obligation".</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auditable. No instrument, clause, version or applicability determination behind any of it, and one assertion of unlawfulness that Product cannot support.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§6 classifies every assertion, records what it actually rests on, and withdraws three overstated claims outright.</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Twelve inputs; 48 suitability rules; 86 rules across both packs; income captured as one of eight bands.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listed sixteen inputs, the rule count omitted a sub-numbered rule, the total was wrong, and the formula used an exact income figure the questionnaire never captured.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Sixteen inputs, 62 suitability rules, 42 consent rules, 104 in total. Income is captured as an exact figure and the band is derived from it.</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outcome per product class.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tables were not exhaustive. Several valid input combinations produced no outcome at all, and an implementation would have defaulted — most likely to "suitable".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outcome rules added, plus SUIT-R19b requiring totality and SUIT-R19c failing closed if a hole is ever introduced.</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choose a product the model "did not rank first".</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ranking algorithm exists anywhere in the pack. The concept was unsupported.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Ranking removed. SUIT-R44 states that the model determines eligibility only; SUIT-R44a defines divergence as a deterministic comparison of outcomes.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and replacement disclosures must be acknowledged before quote.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did not check them. A disclosure the gate ignores is a disclosure the journey can walk past.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refusal cases added to the gate, with reason codes, plus SUIT-R28a requiring the acknowledged reasons to match the assessment’s actual reasons.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is append-only.</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Contradicted three rules that changed an existing record’s status.</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SUIT-R23a and R23b define status as append-only events with a head-of-chain rule, matching the consent design.</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runs seven years from the journey’s terminal state.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consent and assessments are reusable across journeys, so "the journey" was ambiguous. Legal hold and never-expiring consent were unhandled.</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CNS-R33a to R33c and SUIT-R24a anchor retention to the last journey that relied on the record, and add legal hold. CNS-R23a resolves the never-expiring case.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Ten open items, none blocking approval.</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of them could change a control, not merely its wording.</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OPEN-SUIT-01 and OPEN-CNS-06 are marked blocking. Decision D2 is split so the structure can be approved while the algorithm waits.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was attributed to a named individual, with Product recorded as having approved both packs.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is AI-drafted. No human Product review had taken place, so the approval language implied a decision nobody had made.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 stated on the cover, the Product position marked unsigned, and a Product signature block added alongside the others.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Five approvers.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Operations was absent, although fail-closed behaviour, retrieval commitments, operational tasks and recovery are all material to it.</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Operations conclusion is now required, with its scope named.</w:t>
            </w:r>
          </w:p>
        </w:tc>
      </w:tr>
    </w:tbl>
    <w:p>
      <w:pPr>
        <w:pStyle w:val="Heading1"/>
        <w:keepNext/>
        <w:keepLines/>
        <w:pageBreakBefore/>
        <w:pBdr>
          <w:bottom w:val="single" w:color="0F6E6E" w:sz="8" w:space="6"/>
        </w:pBdr>
        <w:spacing w:after="160" w:before="0"/>
      </w:pPr>
      <w:r>
        <w:rPr>
          <w:b/>
          <w:bCs/>
          <w:color w:val="11304E"/>
          <w:sz w:val="30"/>
          <w:szCs w:val="30"/>
        </w:rPr>
        <w:t xml:space="preserve">3.  Where this sits — scope, position and authority</w:t>
      </w:r>
    </w:p>
    <w:p>
      <w:pPr>
        <w:spacing w:after="120" w:before="0" w:line="276"/>
        <w:jc w:val="left"/>
      </w:pPr>
      <w:r>
        <w:rPr>
          <w:b w:val="false"/>
          <w:bCs w:val="false"/>
          <w:i w:val="false"/>
          <w:iCs w:val="false"/>
          <w:color w:val="222629"/>
          <w:sz w:val="20"/>
          <w:szCs w:val="20"/>
        </w:rPr>
        <w:t xml:space="preserve">Three things a reader outside the delivery organisation cannot reasonably infer, and which change how this approval should be read. They are stated here rather than left implicit.</w:t>
      </w:r>
    </w:p>
    <w:p>
      <w:pPr>
        <w:pStyle w:val="Heading2"/>
        <w:keepNext/>
        <w:keepLines/>
        <w:spacing w:after="120" w:before="300"/>
      </w:pPr>
      <w:r>
        <w:rPr>
          <w:b/>
          <w:bCs/>
          <w:color w:val="11304E"/>
          <w:sz w:val="24"/>
          <w:szCs w:val="24"/>
        </w:rPr>
        <w:t xml:space="preserve">3.1  What the first release covers, and on whose authority</w:t>
      </w:r>
    </w:p>
    <w:p>
      <w:pPr>
        <w:spacing w:after="120" w:before="0" w:line="276"/>
        <w:jc w:val="left"/>
      </w:pPr>
      <w:r>
        <w:rPr>
          <w:b w:val="false"/>
          <w:bCs w:val="false"/>
          <w:i w:val="false"/>
          <w:iCs w:val="false"/>
          <w:color w:val="222629"/>
          <w:sz w:val="20"/>
          <w:szCs w:val="20"/>
        </w:rPr>
        <w:t xml:space="preserve">Throughout these documents the first release means one relationship manager selling one Term Life policy to one existing bank customer, from one insurer on the approved panel, end to end. Self-service and hybrid journeys are not in it. That is narrower than the original Day-1 framing, and the narrowing is a governed Product decision rather than a drafting convenience.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3084"/>
        <w:gridCol w:w="4819"/>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changed</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Original position</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Current position and its authority</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Channels at first release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Relationship-manager assisted, self-service and hybrid, all from Day 1 (working decision D-002)</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only. Self-service revisits at the second release, hybrid at the third, both with named revisit triggers. Superseded for the first release only by a recorded Product decision of 16 August 2026; the original decision text is preserved, not overwritten. Product’s stated reason: three journeys across sixteen missing capabilities, with no engineering foundation, is not a deliverable release. It is a sequencing change, not a scope reduction.</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Self-service and hybrid journey detail</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open discovery gap blocking the first release</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Re-scoped by the same decision to an entry condition on the second release, recorded explicitly so it is not read as a quiet deferral.</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Off-panel insurers (redirect)</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Panel insurers in-platform, off-panel insurers by catalogue and controlled redirect (working decision D-010, and the release scope document lists the redirect path as a first-release success measure)</w:t>
            </w:r>
          </w:p>
        </w:tc>
        <w:tc>
          <w:tcPr>
            <w:tcW w:type="dxa" w:w="4819"/>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Unresolved, and Product flags it rather than assuming it.</w:t>
            </w:r>
            <w:r>
              <w:rPr>
                <w:b w:val="false"/>
                <w:bCs w:val="false"/>
                <w:i w:val="false"/>
                <w:iCs w:val="false"/>
                <w:color w:val="222629"/>
                <w:sz w:val="18"/>
                <w:szCs w:val="18"/>
              </w:rPr>
              <w:t xml:space="preserve"> The consent rule for a controlled redirect (CNS-RDR) is deferred in these packs. If the redirect path ships in the first release, that rule must be written and approved too. This is raised as OPEN-SCOPE-01 below and Product does not treat it as settled.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OPEN-SCOPE-01 — for Product and Compliance jointly, before these packs are signed</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Does the first release include the controlled redirect to an off-panel insurer? If it does, these packs are incomplete: a redirect hands a customer to a third party, and the consent that authorises it is not drafted here. Product’s recommendation is to confirm the redirect is out of the first release, in writing, and to record that confirmation against the release scope document — or, if it is in, to hold Decision Schedule A open until CNS-RDR is drafted and added. Either answer is workable. Leaving it ambiguous is not.</w:t>
      </w:r>
    </w:p>
    <w:p>
      <w:pPr>
        <w:pStyle w:val="Heading2"/>
        <w:keepNext/>
        <w:keepLines/>
        <w:pageBreakBefore/>
        <w:spacing w:after="120" w:before="0"/>
      </w:pPr>
      <w:r>
        <w:rPr>
          <w:b/>
          <w:bCs/>
          <w:color w:val="11304E"/>
          <w:sz w:val="24"/>
          <w:szCs w:val="24"/>
        </w:rPr>
        <w:t xml:space="preserve">3.2  What has actually been built — the uncomfortable part</w:t>
      </w:r>
    </w:p>
    <w:p>
      <w:pPr>
        <w:spacing w:after="120" w:before="0" w:line="276"/>
        <w:jc w:val="left"/>
      </w:pPr>
      <w:r>
        <w:rPr>
          <w:b w:val="false"/>
          <w:bCs w:val="false"/>
          <w:i w:val="false"/>
          <w:iCs w:val="false"/>
          <w:color w:val="222629"/>
          <w:sz w:val="20"/>
          <w:szCs w:val="20"/>
        </w:rPr>
        <w:t xml:space="preserve">An earlier draft of this pack said that development had not started. That was wrong, and the correction matters more to Compliance than to anyone else, because the true position is the reason this approval is urgent rather than merely due.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530"/>
        <w:gridCol w:w="318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Component</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Actual position today</w:t>
            </w:r>
          </w:p>
        </w:tc>
        <w:tc>
          <w:tcPr>
            <w:tcW w:type="dxa" w:w="318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this approval changes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Service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customer consent has ever been captured by this platform.</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approved rules.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Service</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suitability assessment has ever been computed.</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an approved model.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quote path</w:t>
            </w:r>
          </w:p>
        </w:tc>
        <w:tc>
          <w:tcPr>
            <w:tcW w:type="dxa" w:w="4530"/>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Built, delivered and hardened — without the suitability gate.</w:t>
            </w:r>
            <w:r>
              <w:rPr>
                <w:b w:val="false"/>
                <w:bCs w:val="false"/>
                <w:i w:val="false"/>
                <w:iCs w:val="false"/>
                <w:color w:val="222629"/>
                <w:sz w:val="18"/>
                <w:szCs w:val="18"/>
              </w:rPr>
              <w:t xml:space="preserve"/>
            </w:r>
            <w:r>
              <w:rPr>
                <w:b w:val="false"/>
                <w:bCs w:val="false"/>
                <w:i w:val="false"/>
                <w:iCs w:val="false"/>
                <w:color w:val="222629"/>
                <w:sz w:val="18"/>
                <w:szCs w:val="18"/>
              </w:rPr>
              <w:br/>
              <w:t xml:space="preserve">The supplier workstream that carries it is at a hardening stage and its integration is being prepared for user-acceptance sign-off.</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Supplies the gate that was missing when it was built. Until then the path is not permitted to serve customers.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relationship-manager application</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interface layer exists and enforces the consent and suitability gates structurally, with automated tests. It has no backend behind it: it demonstrates the controls, it does not implement them.</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Gives the interface real services to call.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Everything else in the first release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Foundation work in progress — the delivery organisation is at an engineering-foundation stage, not at the regulatory-framing stage these packs belong to.</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Removes the condition that currently blocks the release from entering its build-and-prove stage.</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Compliance should read that third row twice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quote path was built, delivered and hardened past two issues that were both labelled build-freeze. The programme has since recorded that failure explicitly and bound the release’s build-and-prove stage on the closure of both — a constraint stated to be non-waivable by any authority, Product included. So the honest description of this approval is not "permission to start". It is the remedy for a control that was skipped, and the mechanism that stops the same path reaching a customer without it.</w:t>
      </w:r>
    </w:p>
    <w:p>
      <w:pPr>
        <w:pStyle w:val="Heading2"/>
        <w:keepNext/>
        <w:keepLines/>
        <w:pageBreakBefore/>
        <w:spacing w:after="120" w:before="0"/>
      </w:pPr>
      <w:r>
        <w:rPr>
          <w:b/>
          <w:bCs/>
          <w:color w:val="11304E"/>
          <w:sz w:val="24"/>
          <w:szCs w:val="24"/>
        </w:rPr>
        <w:t xml:space="preserve">3.3  What binds, what is proposed, and where the decision goes</w:t>
      </w:r>
    </w:p>
    <w:p>
      <w:pPr>
        <w:spacing w:after="120" w:before="0" w:line="276"/>
        <w:jc w:val="left"/>
      </w:pPr>
      <w:r>
        <w:rPr>
          <w:b w:val="false"/>
          <w:bCs w:val="false"/>
          <w:i w:val="false"/>
          <w:iCs w:val="false"/>
          <w:color w:val="222629"/>
          <w:sz w:val="20"/>
          <w:szCs w:val="20"/>
        </w:rPr>
        <w:t xml:space="preserve">Two governance frameworks are in play and only one of them is binding today. Compliance should not have to work that out from context.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891"/>
        <w:gridCol w:w="3084"/>
        <w:gridCol w:w="3663"/>
      </w:tblGrid>
      <w:tr>
        <w:trPr>
          <w:cantSplit/>
          <w:tblHeader/>
        </w:trPr>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Item</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 today</w:t>
            </w:r>
          </w:p>
        </w:tc>
        <w:tc>
          <w:tcPr>
            <w:tcW w:type="dxa" w:w="366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means for this approval</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constraint that the build-and-prove stage cannot be entered until the consent and suitability issues are closed by a Compliance signature</w:t>
            </w:r>
          </w:p>
        </w:tc>
        <w:tc>
          <w:tcPr>
            <w:tcW w:type="dxa" w:w="3084"/>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Binding</w:t>
            </w:r>
            <w:r>
              <w:rPr>
                <w:b w:val="false"/>
                <w:bCs w:val="false"/>
                <w:i w:val="false"/>
                <w:iCs w:val="false"/>
                <w:color w:val="222629"/>
                <w:sz w:val="18"/>
                <w:szCs w:val="18"/>
              </w:rPr>
              <w:t xml:space="preserve"> on ratification of the change request that carries it, and recorded as non-waivable by any authority.</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real constraint your signature releases. It does not depend on the stage model below.</w:t>
            </w:r>
          </w:p>
        </w:tc>
      </w:tr>
      <w:tr>
        <w:trPr>
          <w:cantSplit/>
        </w:trPr>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sixteen-stage lifecycle model, and the two stage checkpoints these packs are described against</w:t>
            </w:r>
          </w:p>
        </w:tc>
        <w:tc>
          <w:tcPr>
            <w:tcW w:type="dxa" w:w="3084"/>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Proposed, not yet ratified.</w:t>
            </w:r>
            <w:r>
              <w:rPr>
                <w:b w:val="false"/>
                <w:bCs w:val="false"/>
                <w:i w:val="false"/>
                <w:iCs w:val="false"/>
                <w:color w:val="222629"/>
                <w:sz w:val="18"/>
                <w:szCs w:val="18"/>
              </w:rPr>
              <w:t xml:space="preserve"> They sit inside a change request awaiting human sign-off.</w:t>
            </w:r>
          </w:p>
        </w:tc>
        <w:tc>
          <w:tcPr>
            <w:tcW w:type="dxa" w:w="366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Referring to them is a convenience. If the model is not ratified, the packs still close the two issues and the binding constraint above still lifts.</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recorded position of the platform workstream</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engineering-foundation stage, in progress, with the release objective unchanged.</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packs are regulatory-framing work being completed late, in parallel with foundation work. That is the realignment, stated plainly.</w:t>
            </w:r>
          </w:p>
        </w:tc>
      </w:tr>
    </w:tbl>
    <w:p>
      <w:pPr>
        <w:spacing w:after="140"/>
      </w:pPr>
      <w:r>
        <w:t xml:space="preserve"/>
      </w:r>
    </w:p>
    <w:p>
      <w:pPr>
        <w:pStyle w:val="Heading2"/>
        <w:keepNext/>
        <w:keepLines/>
        <w:spacing w:after="100" w:before="220"/>
      </w:pPr>
      <w:r>
        <w:rPr>
          <w:b/>
          <w:bCs/>
          <w:color w:val="0F6E6E"/>
          <w:sz w:val="21"/>
          <w:szCs w:val="21"/>
        </w:rPr>
        <w:t xml:space="preserve">Where each decision goes once it is made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3662"/>
        <w:gridCol w:w="1735"/>
        <w:gridCol w:w="2313"/>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Your decision</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updated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Who updates it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unblocks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A signed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issue is closed in the programme issue register; the consent approval checkpoint records the signed pack as its evidence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then Delivery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Consent Service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B signed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issue is closed in the same register; the suitability checkpoint records the signed pack</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then Delivery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Suitability Service, and the gate in front of the existing quote path</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items determined (§10)</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determinations are recorded in the decision register and folded into the packs at v1.2</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with Compliance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Customer-facing wording, and the journey sequence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 proposal ruled 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decision-register entry; the packs gain or drop the six proposed rules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 for the consent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OPEN-SCOPE-01 answered (§3.1)</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scope document is republished, or Schedule A is held open for the redirect consent</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with Bancassurance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Confirms whether these packs are complete for the first release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schedules signed and all conditions met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workstream state record is updated by the Architect and Product Owner jointly, as named humans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Architect and the Product Owner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may enter its build-and-prove stage</w:t>
            </w:r>
          </w:p>
        </w:tc>
      </w:tr>
    </w:tbl>
    <w:p>
      <w:pPr>
        <w:pStyle w:val="Heading1"/>
        <w:keepNext/>
        <w:keepLines/>
        <w:pageBreakBefore/>
        <w:pBdr>
          <w:bottom w:val="single" w:color="0F6E6E" w:sz="8" w:space="6"/>
        </w:pBdr>
        <w:spacing w:after="160" w:before="0"/>
      </w:pPr>
      <w:r>
        <w:rPr>
          <w:b/>
          <w:bCs/>
          <w:color w:val="11304E"/>
          <w:sz w:val="30"/>
          <w:szCs w:val="30"/>
        </w:rPr>
        <w:t xml:space="preserve">4.  What is submitted</w:t>
      </w:r>
    </w:p>
    <w:p>
      <w:pPr>
        <w:spacing w:after="120" w:before="0" w:line="276"/>
        <w:jc w:val="left"/>
      </w:pPr>
      <w:r>
        <w:rPr>
          <w:b w:val="false"/>
          <w:bCs w:val="false"/>
          <w:i w:val="false"/>
          <w:iCs w:val="false"/>
          <w:color w:val="222629"/>
          <w:sz w:val="20"/>
          <w:szCs w:val="20"/>
        </w:rPr>
        <w:t xml:space="preserve">Two rule packs, issued as separate companion files: Volume 2 — Consent Rule Pack, and Volume 3 — Suitability Rule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v1.1</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 plus four added at v1.1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plus fourteen added or split at v1.1,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Blocking issue it resolves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rules not executable — highest severity; development cannot start while it is open</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content and override policy unknown — highest severity; same effect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Approval checkpoint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which requires a rule pack reviewed and signed by Compliance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on identical terms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in full in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3</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the Product Owner’s decision — §14.</w:t>
            </w:r>
          </w:p>
        </w:tc>
        <w:tc>
          <w:tcPr>
            <w:tcW w:type="dxa" w:w="4241"/>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the Product Owner’s decision — §14.</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Operations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r>
    </w:tbl>
    <w:p>
      <w:pPr>
        <w:spacing w:after="140"/>
      </w:pPr>
      <w:r>
        <w:t xml:space="preserve"/>
      </w:r>
    </w:p>
    <w:p>
      <w:pPr>
        <w:pStyle w:val="Heading2"/>
        <w:keepNext/>
        <w:keepLines/>
        <w:spacing w:after="100" w:before="220"/>
      </w:pPr>
      <w:r>
        <w:rPr>
          <w:b/>
          <w:bCs/>
          <w:color w:val="0F6E6E"/>
          <w:sz w:val="21"/>
          <w:szCs w:val="21"/>
        </w:rPr>
        <w:t xml:space="preserve">The two commitments the packs exist to make enforceable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Consent — fail closed, and never rewritten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p>
      <w:pPr>
        <w:spacing w:after="10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Suitability — no quote without a valid assessment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p>
      <w:pPr>
        <w:pStyle w:val="Heading1"/>
        <w:keepNext/>
        <w:keepLines/>
        <w:pBdr>
          <w:bottom w:val="single" w:color="0F6E6E" w:sz="8" w:space="6"/>
        </w:pBdr>
        <w:spacing w:after="160" w:before="400"/>
      </w:pPr>
      <w:r>
        <w:rPr>
          <w:b/>
          <w:bCs/>
          <w:color w:val="11304E"/>
          <w:sz w:val="30"/>
          <w:szCs w:val="30"/>
        </w:rPr>
        <w:t xml:space="preserve">5.  Why a signature, and what it certifies</w:t>
      </w:r>
    </w:p>
    <w:p>
      <w:pPr>
        <w:spacing w:after="120" w:before="0" w:line="276"/>
        <w:jc w:val="left"/>
      </w:pPr>
      <w:r>
        <w:rPr>
          <w:b w:val="false"/>
          <w:bCs w:val="false"/>
          <w:i w:val="false"/>
          <w:iCs w:val="false"/>
          <w:color w:val="222629"/>
          <w:sz w:val="20"/>
          <w:szCs w:val="20"/>
        </w:rPr>
        <w:t xml:space="preserve">The programme distinguishes between a rule being written down and a rule being proven to work, and it requires different evidence for each. A definition can be closed by a document that a named person has read and signed. A behaviour can only be closed by something that has actually been run and observed. This approval is the first kind, and it is what allows the second to be attempted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506"/>
        <w:gridCol w:w="5108"/>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Strength of evidence</w:t>
            </w:r>
          </w:p>
        </w:tc>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consists of</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applies here</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Someone says so</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assurance, given verbally or in a status report</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for anything. "Compliance is comfortable" closes nothing.</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document exists</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written artefact, unreviewed</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two packs stand today. They are complete, and that on its own is not enough to release the build.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Reviewed and signed</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named approver has read it and recorded a conclusion</w:t>
            </w:r>
          </w:p>
        </w:tc>
        <w:tc>
          <w:tcPr>
            <w:tcW w:type="dxa" w:w="510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asks for.</w:t>
            </w:r>
            <w:r>
              <w:rPr>
                <w:b w:val="false"/>
                <w:bCs w:val="false"/>
                <w:i w:val="false"/>
                <w:iCs w:val="false"/>
                <w:color w:val="222629"/>
                <w:sz w:val="18"/>
                <w:szCs w:val="18"/>
              </w:rPr>
              <w:t xml:space="preserve"> A named Compliance approver reads the rules and records accept, amend or reject against each section of each pack.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Run and observed</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control has been executed and the result captured, repeatably</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begin;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pPr>
        <w:pStyle w:val="Heading1"/>
        <w:keepNext/>
        <w:keepLines/>
        <w:pageBreakBefore/>
        <w:pBdr>
          <w:bottom w:val="single" w:color="0F6E6E" w:sz="8" w:space="6"/>
        </w:pBdr>
        <w:spacing w:after="160" w:before="0"/>
      </w:pPr>
      <w:r>
        <w:rPr>
          <w:b/>
          <w:bCs/>
          <w:color w:val="11304E"/>
          <w:sz w:val="30"/>
          <w:szCs w:val="30"/>
        </w:rPr>
        <w:t xml:space="preserve">6.  Regulatory basis and applicability</w:t>
      </w:r>
    </w:p>
    <w:p>
      <w:pPr>
        <w:spacing w:after="120" w:before="0" w:line="276"/>
        <w:jc w:val="left"/>
      </w:pPr>
      <w:r>
        <w:rPr>
          <w:b w:val="false"/>
          <w:bCs w:val="false"/>
          <w:i w:val="false"/>
          <w:iCs w:val="false"/>
          <w:color w:val="222629"/>
          <w:sz w:val="20"/>
          <w:szCs w:val="20"/>
        </w:rPr>
        <w:t xml:space="preserve">These packs assert that certain controls are mandatory. Product has stated those assertions but cannot evidence them: naming the instrument, the clause, the version in force and whether it binds this bank in this capacity is Compliance work, and inventing a citation would be worse than leaving the column empty. This section sets out what is asserted, where each assertion came from, and what is missing — so that the gap is visible rather than buried inside confident wording.</w:t>
      </w:r>
    </w:p>
    <w:p>
      <w:pPr>
        <w:spacing w:after="6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Where to find the detail</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Appendix A to this volume is the regulatory register: 28 obligations, each with the instrument Product believes is its source, what the obligation requires, and a status column for Compliance to complete. Every rule in Volumes 2 and 3 prints the codes of the obligations it serves directly beneath its rule identifier, so a reader can see at a glance what each rule is for — and can see, equally plainly, the rules for which Product claims no external obligation at all.</w:t>
      </w:r>
    </w:p>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honest statement of the problem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mandatory control below is currently supported by a source description rather than a source. "Data-protection law", "the suitability obligation" and "mis-selling risk" are not auditable citations. Until each row carries an instrument, a clause, an effective date and an applicability determination, Compliance cannot conclude on permissibility — and Product is not asking it to. What Product asks for on the business behaviour of these controls is separable, and is what Schedules A and B record.</w:t>
      </w:r>
    </w:p>
    <w:p>
      <w:pPr>
        <w:pStyle w:val="Heading2"/>
        <w:keepNext/>
        <w:keepLines/>
        <w:spacing w:after="120" w:before="300"/>
      </w:pPr>
      <w:r>
        <w:rPr>
          <w:b/>
          <w:bCs/>
          <w:color w:val="11304E"/>
          <w:sz w:val="24"/>
          <w:szCs w:val="24"/>
        </w:rPr>
        <w:t xml:space="preserve">6.1  The prior question: which entity, in which capacity</w:t>
      </w:r>
    </w:p>
    <w:p>
      <w:pPr>
        <w:spacing w:after="120" w:before="0" w:line="276"/>
        <w:jc w:val="left"/>
      </w:pPr>
      <w:r>
        <w:rPr>
          <w:b w:val="false"/>
          <w:bCs w:val="false"/>
          <w:i w:val="false"/>
          <w:iCs w:val="false"/>
          <w:color w:val="222629"/>
          <w:sz w:val="20"/>
          <w:szCs w:val="20"/>
        </w:rPr>
        <w:t xml:space="preserve">Obligations that apply to an insurer are not the obligations that apply to a bank distributing that insurer’s products, and neither set is the set that applies to a technology provider. Every row in §6.3 depends on answering these first, and none of them is Product’s to answer.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5397"/>
        <w:gridCol w:w="2120"/>
        <w:gridCol w:w="2121"/>
      </w:tblGrid>
      <w:tr>
        <w:trPr>
          <w:cantSplit/>
          <w:tblHeader/>
        </w:trPr>
        <w:tc>
          <w:tcPr>
            <w:tcW w:type="dxa" w:w="539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c>
          <w:tcPr>
            <w:tcW w:type="dxa" w:w="212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exact legal entity conducting the distribution, as registered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regulatory capacity in which it distributes insurance, and the registration or licence held in that capacity, with its number and validity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insurer, the bank, or both are the controller of the customer’s personal data at each step of the journey</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role and obligations of the integration intermediary through which insurer traffic passes, and of any cloud or technology provider holding the records</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Architecture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jurisdiction whose law governs each obligation, where a counterparty or a hosting arrangement sits outside India</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contractual requirements exceeding the regulatory minimum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pStyle w:val="Heading2"/>
        <w:keepNext/>
        <w:keepLines/>
        <w:pageBreakBefore/>
        <w:spacing w:after="120" w:before="0"/>
      </w:pPr>
      <w:r>
        <w:rPr>
          <w:b/>
          <w:bCs/>
          <w:color w:val="11304E"/>
          <w:sz w:val="24"/>
          <w:szCs w:val="24"/>
        </w:rPr>
        <w:t xml:space="preserve">6.2  How each assertion is classified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048"/>
        <w:gridCol w:w="3662"/>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takes to close</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Law or regulation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binding external obligation on this entity in this capacity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clause, version in force, and an applicability determination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Regulator guidance</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guidance or a circular that is expected but not strictly binding</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and a determination of how the bank treats it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Binding internal policy</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policy that binds regardless of external requirement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policy reference and its owner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proposal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judgement with no external mandate claimed. Compliance may accept, amend or reject it freely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and Compliance decision only</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Good practice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Defensible practice adopted deliberately, claimed as nothing more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recorded decision to adopt</w:t>
            </w:r>
          </w:p>
        </w:tc>
      </w:tr>
    </w:tbl>
    <w:p>
      <w:pPr>
        <w:spacing w:after="120"/>
      </w:pPr>
      <w:r>
        <w:t xml:space="preserve"/>
      </w:r>
    </w:p>
    <w:p>
      <w:pPr>
        <w:spacing w:after="120" w:before="0" w:line="276"/>
        <w:jc w:val="left"/>
      </w:pPr>
      <w:r>
        <w:rPr>
          <w:b w:val="false"/>
          <w:bCs w:val="false"/>
          <w:i/>
          <w:iCs/>
          <w:color w:val="222629"/>
          <w:sz w:val="20"/>
          <w:szCs w:val="20"/>
        </w:rPr>
        <w:t xml:space="preserve">The classification in the next table is Product’s proposal. Where Product has written "law or regulation", that is what Product believes and cannot prove. Compliance reclassifying a row downward is a valid and expected outcome, and several rows probably should move.</w:t>
      </w:r>
    </w:p>
    <w:p>
      <w:pPr>
        <w:pStyle w:val="Heading2"/>
        <w:keepNext/>
        <w:keepLines/>
        <w:pageBreakBefore/>
        <w:spacing w:after="120" w:before="0"/>
      </w:pPr>
      <w:r>
        <w:rPr>
          <w:b/>
          <w:bCs/>
          <w:color w:val="11304E"/>
          <w:sz w:val="24"/>
          <w:szCs w:val="24"/>
        </w:rPr>
        <w:t xml:space="preserve">6.3  The applicability schedule</w:t>
      </w:r>
    </w:p>
    <w:p>
      <w:pPr>
        <w:spacing w:after="120" w:before="0" w:line="276"/>
        <w:jc w:val="left"/>
      </w:pPr>
      <w:r>
        <w:rPr>
          <w:b w:val="false"/>
          <w:bCs w:val="false"/>
          <w:i w:val="false"/>
          <w:iCs w:val="false"/>
          <w:color w:val="222629"/>
          <w:sz w:val="20"/>
          <w:szCs w:val="20"/>
        </w:rPr>
        <w:t xml:space="preserve">One row per mandatory assertion. The source column records what the assertion actually rests on today — in most cases a description carried forward from the programme’s own obligation registry, which itself holds no clause-level citation.</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1349"/>
        <w:gridCol w:w="1638"/>
        <w:gridCol w:w="4338"/>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Assertion</w:t>
            </w:r>
          </w:p>
        </w:tc>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proposed class</w:t>
            </w:r>
          </w:p>
        </w:tc>
        <w:tc>
          <w:tcPr>
            <w:tcW w:type="dxa" w:w="43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rests on today, and what is missing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suitability assessment must precede any quote, and bypassing it is unlawful</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R25 – R28</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entry in the programme’s obligation registry describing an insurance-regulator expectation that a recommendation follows documented suitability analysis. No instrument, clause or date. The word "unlawful" is the programme’s characterisation and is not evidenced — see §6.4.</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is required before personal data is processed for this purpose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CNS-DP, CNS-SOL, CNS-R37</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India’s data-protection statute is the obvious candidate instrument, but no clause, no commencement position and no applicability determination has been recorded. Whether the bank is controller at each step is itself open (§6.1).</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be verifiable, and verified to the customer’s registered mobile number</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CNS-R11</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an insurance-regulator expectation of verifiable digital consent. No citation. The specific requirement that the number be the one held in bank records is Product’s addition.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complete the customer’s acknowledgement on a staff device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CNS-R13, SUIT-R42</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by analogy</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reasoning by analogy from the payment-device separation principle. Product does not claim a consent-specific rule exists and asks Compliance to confirm whether one does.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evidence must be retained for seven years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R33c, SUIT-R24</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 record-preservation requirement. The seven-year figure is carried from the programme baseline with no instrument named. Whether the clock runs from the record, the policy or the relationship is undetermined and changes the design.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records, backups and logs must remain within India</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Carried from the programme’s non-waivable control list. Which instrument imposes it, and on which entity, is unrecorded. Product treats it as non-waivable and asks Compliance to confirm the basis.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withdraw consent at any time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data-protection withdrawal right is the presumed basis. No clause. The consequence Product has designed — halting the journey — is a Product choice, not a stated legal requirement.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records must be immutable and attributable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 – R23b</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 plus good practice</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audit-trail expectation is described in the registry. The specific mechanism — append-only enforced by database privilege — is Product and Architecture’s design, claimed as good practice only.</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lasts 90 days, insurer-sharing consent 30 days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R22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These are Product’s calibration. Compliance may set any values. Raised as OPEN-CNS-03.</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suitability assessment lasts 30 days</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Product’s calibration. Raised as OPEN-SUIT-04.</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may never be overridden</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on mis-selling grounds</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Product’s position, argued from audit exposure rather than from a cited prohibition. Product believes it is the right rule regardless of whether any instrument requires it, and says so rather than dressing it as a legal mandate.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caution outcome obliges a specific disclosure, acknowledged by the customer</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Presumed to follow from suitability and disclosure expectations. Not cited. The acknowledgement mechanism is Product’s design.</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Replacing an existing policy obliges a specific disclosure before quote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R47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 is a well-established expectation in life distribution; the instrument that imposes it here is not identified, and its exact content requirements are unknown to Product.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naming a panel of insurers can be specific enough, if bound to one by the customer’s selection</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Proposed CNS-R22 to R22d (§11)</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 permissibility unknown</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This is the one Product least expects to survive unchanged.</w:t>
            </w:r>
            <w:r>
              <w:rPr>
                <w:b w:val="false"/>
                <w:bCs w:val="false"/>
                <w:i w:val="false"/>
                <w:iCs w:val="false"/>
                <w:color w:val="222629"/>
                <w:sz w:val="18"/>
                <w:szCs w:val="18"/>
              </w:rPr>
              <w:t xml:space="preserve"> It is a Product design offered for determination, raised as OPEN-CNS-06, with a fallback at §11.6 if refused.</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wording must be immutable, versioned, and classified by Compliance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Good practice, plus Product proposal</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external basis claimed for the mechanism. Product asserts only that evidence with mutable text proves nothing later. The wording itself is Compliance-authored and is not in these packs.</w:t>
            </w:r>
          </w:p>
        </w:tc>
      </w:tr>
    </w:tbl>
    <w:p>
      <w:pPr>
        <w:pStyle w:val="Heading2"/>
        <w:keepNext/>
        <w:keepLines/>
        <w:pageBreakBefore/>
        <w:spacing w:after="120" w:before="0"/>
      </w:pPr>
      <w:r>
        <w:rPr>
          <w:b/>
          <w:bCs/>
          <w:color w:val="11304E"/>
          <w:sz w:val="24"/>
          <w:szCs w:val="24"/>
        </w:rPr>
        <w:t xml:space="preserve">6.4  Assertions Product has withdrawn or downgraded</w:t>
      </w:r>
    </w:p>
    <w:p>
      <w:pPr>
        <w:spacing w:after="120" w:before="0" w:line="276"/>
        <w:jc w:val="left"/>
      </w:pPr>
      <w:r>
        <w:rPr>
          <w:b w:val="false"/>
          <w:bCs w:val="false"/>
          <w:i w:val="false"/>
          <w:iCs w:val="false"/>
          <w:color w:val="222629"/>
          <w:sz w:val="20"/>
          <w:szCs w:val="20"/>
        </w:rPr>
        <w:t xml:space="preserve">Three statements in the earlier drafting claimed more than Product can support. They are corrected here rather than quietly softened.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3277"/>
        <w:gridCol w:w="6361"/>
      </w:tblGrid>
      <w:tr>
        <w:trPr>
          <w:cantSplit/>
          <w:tblHeader/>
        </w:trPr>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Statement as drafted</w:t>
            </w:r>
          </w:p>
        </w:tc>
        <w:tc>
          <w:tcPr>
            <w:tcW w:type="dxa" w:w="636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Corrected position</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"Bypassing suitability before quote is unlawful."</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own baseline characterises it that way. Product repeats the characterisation and does not evidence it. Read it as: the programme treats this as a legal exposure it will not accept. Whether it is unlawful is for Compliance to determine, and the control is worth having either way.</w:t>
            </w:r>
          </w:p>
        </w:tc>
      </w:tr>
      <w:tr>
        <w:trPr>
          <w:cantSplit/>
        </w:trPr>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residency is non-waivable."</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It is on the programme’s non-waivable control list, which is an internal instrument. Whether an external rule also imposes it, and on which entity, is undetermined.</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retention is required."</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is the figure the programme has carried from the outset. Product has not established the instrument, the trigger event, or whether a different period applies to consent evidence than to transaction records.</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What Product is asking for on this section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 agreement. Completion. Product asks Compliance to take §6.3 as a worksheet: reclassify any row, supply instrument and clause where one exists, and mark the rows where no external obligation exists at all — because a control the bank keeps by choice is defensible, while a control the bank describes as legally required and cannot source is not. A signed Schedule A or B without this section completed approves the business behaviour of the controls, and nothing about their permissibility. Both schedules carry that limitation on their face.</w:t>
      </w:r>
    </w:p>
    <w:p>
      <w:pPr>
        <w:pStyle w:val="Heading1"/>
        <w:keepNext/>
        <w:keepLines/>
        <w:pageBreakBefore/>
        <w:pBdr>
          <w:bottom w:val="single" w:color="0F6E6E" w:sz="8" w:space="6"/>
        </w:pBdr>
        <w:spacing w:after="160" w:before="0"/>
      </w:pPr>
      <w:r>
        <w:rPr>
          <w:b/>
          <w:bCs/>
          <w:color w:val="11304E"/>
          <w:sz w:val="30"/>
          <w:szCs w:val="30"/>
        </w:rPr>
        <w:t xml:space="preserve">7.  How to read this document</w:t>
      </w:r>
    </w:p>
    <w:p>
      <w:pPr>
        <w:spacing w:after="120" w:before="0" w:line="276"/>
        <w:jc w:val="left"/>
      </w:pPr>
      <w:r>
        <w:rPr>
          <w:b w:val="false"/>
          <w:bCs w:val="false"/>
          <w:i w:val="false"/>
          <w:iCs w:val="false"/>
          <w:color w:val="222629"/>
          <w:sz w:val="20"/>
          <w:szCs w:val="20"/>
        </w:rPr>
        <w:t xml:space="preserve">Sections 8 and 9 are the decision schedules — one row per section of each pack, with a box to accept, amend or reject. Each row names the rules it covers and the section of Volume 2 or Volume 3 in which those rules are written out in full, in the same order.</w:t>
      </w:r>
    </w:p>
    <w:p>
      <w:pPr>
        <w:pStyle w:val="Heading2"/>
        <w:keepNext/>
        <w:keepLines/>
        <w:spacing w:after="100" w:before="220"/>
      </w:pPr>
      <w:r>
        <w:rPr>
          <w:b/>
          <w:bCs/>
          <w:color w:val="0F6E6E"/>
          <w:sz w:val="21"/>
          <w:szCs w:val="21"/>
        </w:rPr>
        <w:t xml:space="preserve">Conventions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Obligation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Printed in small type beneath each rule identifier, for example OBL-DP-02 or OBL-INS-02. They name the obligation the rule exists to serve, and they are defined in Appendix A. A rule that carries no code is Product design with no external obligation claimed for it — that is deliberate signalling, not an omission.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Volume 2, §11.</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Internal codes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document avoids the delivery organisation’s internal shorthand. Where a programme code could not sensibly be removed — the rule identifiers, and the identifier of the suitability algorithm — it is explained at the point it appears. The Appendix to this volume, Part 2, lists every such code, what it means, and how these documents refer to it instead. Nothing in this approval requires any of them to be known.</w:t>
      </w:r>
    </w:p>
    <w:p>
      <w:pPr>
        <w:spacing w:after="140"/>
      </w:pPr>
      <w:r>
        <w:t xml:space="preserve"/>
      </w:r>
    </w:p>
    <w:p>
      <w:pPr>
        <w:pStyle w:val="Heading3"/>
        <w:keepNext/>
        <w:keepLines/>
        <w:spacing w:after="100" w:before="220"/>
      </w:pPr>
      <w:r>
        <w:rPr>
          <w:b/>
          <w:bCs/>
          <w:color w:val="0F6E6E"/>
          <w:sz w:val="21"/>
          <w:szCs w:val="21"/>
        </w:rPr>
        <w:t xml:space="preserve">Design commitments Compliance can hold the build to</w:t>
      </w:r>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pPr>
        <w:pStyle w:val="Heading1"/>
        <w:keepNext/>
        <w:keepLines/>
        <w:pageBreakBefore/>
        <w:pBdr>
          <w:bottom w:val="single" w:color="0F6E6E" w:sz="8" w:space="6"/>
        </w:pBdr>
        <w:spacing w:after="160" w:before="0"/>
      </w:pPr>
      <w:r>
        <w:rPr>
          <w:b/>
          <w:bCs/>
          <w:color w:val="11304E"/>
          <w:sz w:val="30"/>
          <w:szCs w:val="30"/>
        </w:rPr>
        <w:t xml:space="preserve">8.  Decision Schedule A — Consent Rule Pack</w:t>
      </w:r>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§14 and the pack will be reissued at v1.2 carrying your text and naming you as the amending authority. A row left blank is treated as not approved. The last line of each subject cell gives the section of Volume 2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consent events</w:t>
            </w:r>
            <w:r>
              <w:rPr>
                <w:b w:val="false"/>
                <w:bCs w:val="false"/>
                <w:i w:val="false"/>
                <w:iCs w:val="false"/>
                <w:color w:val="222629"/>
                <w:sz w:val="18"/>
                <w:szCs w:val="18"/>
              </w:rPr>
              <w:br/>
              <w:t xml:space="preserve">Volume 2, §1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the first release,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r>
              <w:rPr>
                <w:b w:val="false"/>
                <w:bCs w:val="false"/>
                <w:i w:val="false"/>
                <w:iCs w:val="false"/>
                <w:color w:val="222629"/>
                <w:sz w:val="18"/>
                <w:szCs w:val="18"/>
              </w:rPr>
              <w:br/>
              <w:t xml:space="preserve">Volume 2, §2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r>
              <w:rPr>
                <w:b w:val="false"/>
                <w:bCs w:val="false"/>
                <w:i w:val="false"/>
                <w:iCs w:val="false"/>
                <w:color w:val="222629"/>
                <w:sz w:val="18"/>
                <w:szCs w:val="18"/>
              </w:rPr>
              <w:br/>
              <w:t xml:space="preserve">Volume 2, §3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r>
              <w:rPr>
                <w:b w:val="false"/>
                <w:bCs w:val="false"/>
                <w:i w:val="false"/>
                <w:iCs w:val="false"/>
                <w:color w:val="222629"/>
                <w:sz w:val="18"/>
                <w:szCs w:val="18"/>
              </w:rPr>
              <w:br/>
              <w:t xml:space="preserve">Volume 2, §4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r>
              <w:rPr>
                <w:b w:val="false"/>
                <w:bCs w:val="false"/>
                <w:i w:val="false"/>
                <w:iCs w:val="false"/>
                <w:color w:val="222629"/>
                <w:sz w:val="18"/>
                <w:szCs w:val="18"/>
              </w:rPr>
              <w:br/>
              <w:t xml:space="preserve">Volume 2, §5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w:t>
            </w:r>
            <w:r>
              <w:rPr>
                <w:b w:val="false"/>
                <w:bCs w:val="false"/>
                <w:i w:val="false"/>
                <w:iCs w:val="false"/>
                <w:color w:val="222629"/>
                <w:sz w:val="18"/>
                <w:szCs w:val="18"/>
              </w:rPr>
              <w:br/>
              <w:t xml:space="preserve">Volume 2, §6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r>
              <w:rPr>
                <w:b w:val="false"/>
                <w:bCs w:val="false"/>
                <w:i w:val="false"/>
                <w:iCs w:val="false"/>
                <w:color w:val="222629"/>
                <w:sz w:val="18"/>
                <w:szCs w:val="18"/>
              </w:rPr>
              <w:br/>
              <w:t xml:space="preserve">Volume 2,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r>
              <w:rPr>
                <w:b w:val="false"/>
                <w:bCs w:val="false"/>
                <w:i w:val="false"/>
                <w:iCs w:val="false"/>
                <w:color w:val="222629"/>
                <w:sz w:val="18"/>
                <w:szCs w:val="18"/>
              </w:rPr>
              <w:br/>
              <w:t xml:space="preserve">Volume 2, §8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r>
              <w:rPr>
                <w:b w:val="false"/>
                <w:bCs w:val="false"/>
                <w:i w:val="false"/>
                <w:iCs w:val="false"/>
                <w:color w:val="222629"/>
                <w:sz w:val="18"/>
                <w:szCs w:val="18"/>
              </w:rPr>
              <w:br/>
              <w:t xml:space="preserve">Volume 2,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r>
              <w:rPr>
                <w:b w:val="false"/>
                <w:bCs w:val="false"/>
                <w:i w:val="false"/>
                <w:iCs w:val="false"/>
                <w:color w:val="222629"/>
                <w:sz w:val="18"/>
                <w:szCs w:val="18"/>
              </w:rPr>
              <w:br/>
              <w:t xml:space="preserve">Volume 2,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from the terminal state of the latest journey that relied on the consent; expiry never means deletion; a legal hold pauses disposal. Write-once storage in an India region, one record retrievable within 4 business hours and a full journey bundle within 1 business day, and retention that cannot be shortened by a configuration change.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w:t>
            </w:r>
            <w:r>
              <w:rPr>
                <w:b w:val="false"/>
                <w:bCs w:val="false"/>
                <w:i w:val="false"/>
                <w:iCs w:val="false"/>
                <w:color w:val="222629"/>
                <w:sz w:val="18"/>
                <w:szCs w:val="18"/>
              </w:rPr>
              <w:br/>
              <w:t xml:space="preserve">Volume 2,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One rule in Schedule A that Product asks you to test hardest</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p>
      <w:pPr>
        <w:pStyle w:val="Heading1"/>
        <w:keepNext/>
        <w:keepLines/>
        <w:pageBreakBefore/>
        <w:pBdr>
          <w:bottom w:val="single" w:color="0F6E6E" w:sz="8" w:space="6"/>
        </w:pBdr>
        <w:spacing w:after="160" w:before="0"/>
      </w:pPr>
      <w:r>
        <w:rPr>
          <w:b/>
          <w:bCs/>
          <w:color w:val="11304E"/>
          <w:sz w:val="30"/>
          <w:szCs w:val="30"/>
        </w:rPr>
        <w:t xml:space="preserve">9.  Decision Schedule B — Suitability Rule Pack</w:t>
      </w:r>
    </w:p>
    <w:p>
      <w:pPr>
        <w:spacing w:after="120" w:before="0" w:line="276"/>
        <w:jc w:val="left"/>
      </w:pPr>
      <w:r>
        <w:rPr>
          <w:b w:val="false"/>
          <w:bCs w:val="false"/>
          <w:i w:val="false"/>
          <w:iCs w:val="false"/>
          <w:color w:val="222629"/>
          <w:sz w:val="20"/>
          <w:szCs w:val="20"/>
        </w:rPr>
        <w:t xml:space="preserve">The last line of each subject cell gives the section of Volume 3 where those rules are written out in full. One row is marked separately: row B.2 is the arithmetic, and it is the whole of decision D2b. Every other row is decision D2a, the structure, and can be signed without settling OPEN-SUIT-01.</w:t>
      </w:r>
    </w:p>
    <w:p>
      <w:pPr>
        <w:spacing w:after="8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Reading this schedule against the split decision</w:t>
      </w:r>
    </w:p>
    <w:p>
      <w:pPr>
        <w:keepNext/>
        <w:keepLines/>
        <w:pBdr>
          <w:left w:val="single" w:color="8A5A00"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D2a — the structure — is rows B.1 and B.3 to B.12. It approves the question set, the record, the gate, invalidation, reuse, the override policy and the disclosures. It is what releases the Suitability Service into construction and lets the gate be built in front of the existing quote path.</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D2b — the algorithm — is row B.2 alone: the income multiples, the age factors and the outcome thresholds. Product does not ask for that row to be signed until OPEN-SUIT-01 is answered with a source. Signing the structure now and the arithmetic later is the recommended path, because it unblocks the gate in front of a quote path that currently has none.</w:t>
      </w:r>
    </w:p>
    <w:p>
      <w:pPr>
        <w:spacing w:after="60"/>
      </w:pPr>
      <w:r>
        <w:t xml:space="preserve"/>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question set</w:t>
            </w:r>
            <w:r>
              <w:rPr>
                <w:b/>
                <w:bCs/>
                <w:i w:val="false"/>
                <w:iCs w:val="false"/>
                <w:color w:val="222629"/>
                <w:sz w:val="18"/>
                <w:szCs w:val="18"/>
              </w:rPr>
              <w:br/>
              <w:t xml:space="preserve"/>
            </w:r>
            <w:r>
              <w:rPr>
                <w:b w:val="false"/>
                <w:bCs w:val="false"/>
                <w:i w:val="false"/>
                <w:iCs w:val="false"/>
                <w:color w:val="222629"/>
                <w:sz w:val="18"/>
                <w:szCs w:val="18"/>
              </w:rPr>
              <w:t xml:space="preserve">16 inputs, SUIT-R01 – SUIT-R04</w:t>
            </w:r>
            <w:r>
              <w:rPr>
                <w:b w:val="false"/>
                <w:bCs w:val="false"/>
                <w:i w:val="false"/>
                <w:iCs w:val="false"/>
                <w:color w:val="222629"/>
                <w:sz w:val="18"/>
                <w:szCs w:val="18"/>
              </w:rPr>
              <w:br/>
              <w:t xml:space="preserve">Volume 3, §2</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four inputs taken from bank records and eight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w:t>
            </w:r>
            <w:r>
              <w:rPr>
                <w:b w:val="false"/>
                <w:bCs w:val="false"/>
                <w:i w:val="false"/>
                <w:iCs w:val="false"/>
                <w:color w:val="222629"/>
                <w:sz w:val="18"/>
                <w:szCs w:val="18"/>
              </w:rPr>
              <w:br/>
              <w:t xml:space="preserve">Volume 3, §3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Product-class outcomes</w:t>
            </w:r>
            <w:r>
              <w:rPr>
                <w:b/>
                <w:bCs/>
                <w:i w:val="false"/>
                <w:iCs w:val="false"/>
                <w:color w:val="222629"/>
                <w:sz w:val="18"/>
                <w:szCs w:val="18"/>
              </w:rPr>
              <w:br/>
              <w:t xml:space="preserve"/>
            </w:r>
            <w:r>
              <w:rPr>
                <w:b w:val="false"/>
                <w:bCs w:val="false"/>
                <w:i w:val="false"/>
                <w:iCs w:val="false"/>
                <w:color w:val="222629"/>
                <w:sz w:val="18"/>
                <w:szCs w:val="18"/>
              </w:rPr>
              <w:t xml:space="preserve">SUIT-R09 – SUIT-R19c</w:t>
            </w:r>
            <w:r>
              <w:rPr>
                <w:b w:val="false"/>
                <w:bCs w:val="false"/>
                <w:i w:val="false"/>
                <w:iCs w:val="false"/>
                <w:color w:val="222629"/>
                <w:sz w:val="18"/>
                <w:szCs w:val="18"/>
              </w:rPr>
              <w:br/>
              <w:t xml:space="preserve">Volume 3, §4</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assessment record</w:t>
            </w:r>
            <w:r>
              <w:rPr>
                <w:b/>
                <w:bCs/>
                <w:i w:val="false"/>
                <w:iCs w:val="false"/>
                <w:color w:val="222629"/>
                <w:sz w:val="18"/>
                <w:szCs w:val="18"/>
              </w:rPr>
              <w:br/>
              <w:t xml:space="preserve"/>
            </w:r>
            <w:r>
              <w:rPr>
                <w:b w:val="false"/>
                <w:bCs w:val="false"/>
                <w:i w:val="false"/>
                <w:iCs w:val="false"/>
                <w:color w:val="222629"/>
                <w:sz w:val="18"/>
                <w:szCs w:val="18"/>
              </w:rPr>
              <w:t xml:space="preserve">20 fields, SUIT-R21 – SUIT-R24a</w:t>
            </w:r>
            <w:r>
              <w:rPr>
                <w:b w:val="false"/>
                <w:bCs w:val="false"/>
                <w:i w:val="false"/>
                <w:iCs w:val="false"/>
                <w:color w:val="222629"/>
                <w:sz w:val="18"/>
                <w:szCs w:val="18"/>
              </w:rPr>
              <w:br/>
              <w:t xml:space="preserve">Volume 3, §5</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r>
              <w:rPr>
                <w:b w:val="false"/>
                <w:bCs w:val="false"/>
                <w:i w:val="false"/>
                <w:iCs w:val="false"/>
                <w:color w:val="222629"/>
                <w:sz w:val="18"/>
                <w:szCs w:val="18"/>
              </w:rPr>
              <w:br/>
              <w:t xml:space="preserve">Volume 3, §1 and §6</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nine refusal cases are correct, including the two added at v1.1 that check the caution and replacement acknowledgements.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r>
              <w:rPr>
                <w:b w:val="false"/>
                <w:bCs w:val="false"/>
                <w:i w:val="false"/>
                <w:iCs w:val="false"/>
                <w:color w:val="222629"/>
                <w:sz w:val="18"/>
                <w:szCs w:val="18"/>
              </w:rPr>
              <w:br/>
              <w:t xml:space="preserve">Volume 3, §7</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r>
              <w:rPr>
                <w:b w:val="false"/>
                <w:bCs w:val="false"/>
                <w:i w:val="false"/>
                <w:iCs w:val="false"/>
                <w:color w:val="222629"/>
                <w:sz w:val="18"/>
                <w:szCs w:val="18"/>
              </w:rPr>
              <w:br/>
              <w:t xml:space="preserve">Volume 3,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r>
              <w:rPr>
                <w:b w:val="false"/>
                <w:bCs w:val="false"/>
                <w:i w:val="false"/>
                <w:iCs w:val="false"/>
                <w:color w:val="222629"/>
                <w:sz w:val="18"/>
                <w:szCs w:val="18"/>
              </w:rPr>
              <w:br/>
              <w:t xml:space="preserve">Volume 3, §8</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the first release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r>
              <w:rPr>
                <w:b w:val="false"/>
                <w:bCs w:val="false"/>
                <w:i w:val="false"/>
                <w:iCs w:val="false"/>
                <w:color w:val="222629"/>
                <w:sz w:val="18"/>
                <w:szCs w:val="18"/>
              </w:rPr>
              <w:br/>
              <w:t xml:space="preserve">Volume 3,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r>
              <w:rPr>
                <w:b w:val="false"/>
                <w:bCs w:val="false"/>
                <w:i w:val="false"/>
                <w:iCs w:val="false"/>
                <w:color w:val="222629"/>
                <w:sz w:val="18"/>
                <w:szCs w:val="18"/>
              </w:rPr>
              <w:br/>
              <w:t xml:space="preserve">Volume 3,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customer may choose any product whose class outcome permits a quote, including a caution-carrying class while another class is unqualified, recorded as a divergence with a customer-stated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r>
              <w:rPr>
                <w:b w:val="false"/>
                <w:bCs w:val="false"/>
                <w:i w:val="false"/>
                <w:iCs w:val="false"/>
                <w:color w:val="222629"/>
                <w:sz w:val="18"/>
                <w:szCs w:val="18"/>
              </w:rPr>
              <w:br/>
              <w:t xml:space="preserve">Volume 3,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r>
              <w:rPr>
                <w:b w:val="false"/>
                <w:bCs w:val="false"/>
                <w:i w:val="false"/>
                <w:iCs w:val="false"/>
                <w:color w:val="222629"/>
                <w:sz w:val="18"/>
                <w:szCs w:val="18"/>
              </w:rPr>
              <w:br/>
              <w:t xml:space="preserve">Volume 3, §12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rule Product will defend most strongly</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SUIT-R38 — no override of a NOT_SUITABLE outcome in the first release.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executive sponsor want a senior-authorisation path, the Product position is that it belongs in a later release with its own control design and its own evidence obligation, not as an amendment to this pack. The question is logged as OPEN-SUIT-02.</w:t>
      </w:r>
    </w:p>
    <w:p>
      <w:pPr>
        <w:pStyle w:val="Heading1"/>
        <w:keepNext/>
        <w:keepLines/>
        <w:pageBreakBefore/>
        <w:pBdr>
          <w:bottom w:val="single" w:color="0F6E6E" w:sz="8" w:space="6"/>
        </w:pBdr>
        <w:spacing w:after="160" w:before="0"/>
      </w:pPr>
      <w:r>
        <w:rPr>
          <w:b/>
          <w:bCs/>
          <w:color w:val="11304E"/>
          <w:sz w:val="30"/>
          <w:szCs w:val="30"/>
        </w:rPr>
        <w:t xml:space="preserve">10.  Open items requiring a Compliance determination</w:t>
      </w:r>
    </w:p>
    <w:p>
      <w:pPr>
        <w:spacing w:after="120" w:before="0" w:line="276"/>
        <w:jc w:val="left"/>
      </w:pPr>
      <w:r>
        <w:rPr>
          <w:b w:val="false"/>
          <w:bCs w:val="false"/>
          <w:i w:val="false"/>
          <w:iCs w:val="false"/>
          <w:color w:val="222629"/>
          <w:sz w:val="20"/>
          <w:szCs w:val="20"/>
        </w:rPr>
        <w:t xml:space="preserve">Items where the answer belongs to Compliance and not to Product. For each, the position Product would take is stated, so that Compliance is amending a proposal rather than starting from a blank page.</w:t>
      </w:r>
    </w:p>
    <w:p>
      <w:pPr>
        <w:spacing w:after="8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An earlier draft said none of these blocks approval. That was wrong for two of them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test is not whether an item is inconvenient — it is whether the answer could change a control rather than only its wording. Applied honestly, two items fail that test. OPEN-SUIT-01 asks whether this model discharges the suitability obligation at all, which is the entirety of decision D2b. OPEN-CNS-06 asks whether a panel-scoped consent is permissible, and the answer decides whether six proposed rules exist. Both are marked blocking below. Everything else is a window, a wording or a sequencing question over a structure that does not change with the answer, and those genuinely do not block.</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602"/>
        <w:gridCol w:w="3759"/>
        <w:gridCol w:w="212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Blocks approval?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answer changes a screen, not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 and therefore 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 changeable without changing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behaviour is defined either way; the answer adds an insurer-side step.</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602"/>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approved panel, with the customer’s later product selection binding it to one of them? See §11.</w:t>
            </w:r>
          </w:p>
        </w:tc>
        <w:tc>
          <w:tcPr>
            <w:tcW w:type="dxa" w:w="375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controls proposed in §11.5.</w:t>
            </w:r>
            <w:r>
              <w:rPr>
                <w:b w:val="false"/>
                <w:bCs w:val="false"/>
                <w:i w:val="false"/>
                <w:iCs w:val="false"/>
                <w:color w:val="222629"/>
                <w:sz w:val="18"/>
                <w:szCs w:val="18"/>
              </w:rPr>
              <w:t xml:space="preserve"> This is the single change that would let the customer give consent once rather than twice.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blocking.</w:t>
            </w:r>
            <w:r>
              <w:rPr>
                <w:b w:val="false"/>
                <w:bCs w:val="false"/>
                <w:i w:val="false"/>
                <w:iCs w:val="false"/>
                <w:color w:val="222629"/>
                <w:sz w:val="18"/>
                <w:szCs w:val="18"/>
              </w:rPr>
              <w:t xml:space="preserve"> The answer decides whether six proposed rules exist at all.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602"/>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§11.5. It is the control that distinguishes a consolidated interaction from a bundled consent.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for D1, but the §11.6 fallback depends on it, so please rule on it either way.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or direct a prescribed one. Product’s earlier claim that this does not block was wrong: it is precisely the permissibility question behind the algorithm.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this is decision D2b.</w:t>
            </w:r>
            <w:r>
              <w:rPr>
                <w:b w:val="false"/>
                <w:bCs w:val="false"/>
                <w:i w:val="false"/>
                <w:iCs w:val="false"/>
                <w:color w:val="222629"/>
                <w:sz w:val="18"/>
                <w:szCs w:val="18"/>
              </w:rPr>
              <w:t xml:space="preserve"> The structural half, D2a, is unaffected and can be signed now.</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the first release. Revisit later only with a designed control, a named authority, and its own evidence obligation.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it concerns a 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disclosure and the replacement disclosure.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with Legal. The packs define when a disclosure fires, what it must name and how it is acknowledged; they do not draft its text.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approved panel imposes suitability requirements exceeding this model.</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the model as the floor and any insurer requirement as additive. Product cannot answer this without the panel contracts.</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additive requirements do not change the rules here, they add to them. Owner: Bancassurance with Compliance.</w:t>
            </w:r>
          </w:p>
        </w:tc>
      </w:tr>
    </w:tbl>
    <w:p>
      <w:pPr>
        <w:spacing w:after="120"/>
      </w:pPr>
      <w:r>
        <w:t xml:space="preserve"/>
      </w:r>
    </w:p>
    <w:p>
      <w:pPr>
        <w:spacing w:after="120" w:before="0" w:line="276"/>
        <w:jc w:val="left"/>
      </w:pPr>
      <w:r>
        <w:rPr>
          <w:b w:val="false"/>
          <w:bCs w:val="false"/>
          <w:i/>
          <w:iCs/>
          <w:color w:val="5A6570"/>
          <w:sz w:val="19"/>
          <w:szCs w:val="19"/>
        </w:rPr>
        <w:t xml:space="preserve">A thirteenth determination, OPEN-SCOPE-01, sits in §3.1 because it is a scope question rather than a regulatory one: whether the controlled redirect to an off-panel insurer is in the first release. If it is, these packs are incomplete.</w:t>
      </w:r>
    </w:p>
    <w:p>
      <w:pPr>
        <w:pStyle w:val="Heading1"/>
        <w:keepNext/>
        <w:keepLines/>
        <w:pageBreakBefore/>
        <w:pBdr>
          <w:bottom w:val="single" w:color="0F6E6E" w:sz="8" w:space="6"/>
        </w:pBdr>
        <w:spacing w:after="160" w:before="0"/>
      </w:pPr>
      <w:r>
        <w:rPr>
          <w:b/>
          <w:bCs/>
          <w:color w:val="11304E"/>
          <w:sz w:val="30"/>
          <w:szCs w:val="30"/>
        </w:rPr>
        <w:t xml:space="preserve">11.  Product proposal — consolidating consent into a single up-front ceremony</w:t>
      </w:r>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pPr>
        <w:pStyle w:val="Heading2"/>
        <w:keepNext/>
        <w:keepLines/>
        <w:spacing w:after="120" w:before="300"/>
      </w:pPr>
      <w:r>
        <w:rPr>
          <w:b/>
          <w:bCs/>
          <w:color w:val="11304E"/>
          <w:sz w:val="24"/>
          <w:szCs w:val="24"/>
        </w:rPr>
        <w:t xml:space="preserve">11.1  The problem, stated plainly</w:t>
      </w:r>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pPr>
        <w:pStyle w:val="Heading2"/>
        <w:keepNext/>
        <w:keepLines/>
        <w:spacing w:after="120" w:before="300"/>
      </w:pPr>
      <w:r>
        <w:rPr>
          <w:b/>
          <w:bCs/>
          <w:color w:val="11304E"/>
          <w:sz w:val="24"/>
          <w:szCs w:val="24"/>
        </w:rPr>
        <w:t xml:space="preserve">11.2  What was asked for, and what is actually available</w:t>
      </w:r>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pPr>
        <w:pStyle w:val="Heading2"/>
        <w:keepNext/>
        <w:keepLines/>
        <w:spacing w:after="120" w:before="300"/>
      </w:pPr>
      <w:r>
        <w:rPr>
          <w:b/>
          <w:bCs/>
          <w:color w:val="11304E"/>
          <w:sz w:val="24"/>
          <w:szCs w:val="24"/>
        </w:rPr>
        <w:t xml:space="preserve">11.3  The recommended design</w:t>
      </w:r>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After the assessment and before the first quote is shown.</w:t>
            </w:r>
            <w:r>
              <w:rPr>
                <w:b w:val="false"/>
                <w:bCs w:val="false"/>
                <w:i w:val="false"/>
                <w:iCs w:val="false"/>
                <w:color w:val="222629"/>
                <w:sz w:val="18"/>
                <w:szCs w:val="18"/>
              </w:rPr>
              <w:t xml:space="preserve"> It cannot sit at offer selection: the caution and replacement disclosures must be acknowledged before a quote exists, and an offer cannot be selected before there is a quote to select. Correcting that ordering error is part of this proposal.</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and the replacement disclosure if the customer is replacing a policy. Insurer scope binding is NOT carried here — it happens later, when the insurer is actually known.</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per disclosure, each naming the exact reason codes acknowledged and the assessment they belong to.</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valid consents already exist for this customer within their windows, in which case only the expired ones are re-taken.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caution or replacement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an interaction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404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 happens on every sale</w:t>
            </w:r>
            <w:r>
              <w:rPr>
                <w:b w:val="false"/>
                <w:bCs w:val="false"/>
                <w:i w:val="false"/>
                <w:iCs w:val="false"/>
                <w:color w:val="222629"/>
                <w:sz w:val="18"/>
                <w:szCs w:val="18"/>
              </w:rPr>
              <w:t xml:space="preserve">, at offer selection, once the insurer is known. It is a recorded event and a notice to the customer naming the insurer — not a third ceremony and not a third code. See §11.5, CNS-R22c and CNS-R22d.</w:t>
            </w:r>
          </w:p>
        </w:tc>
      </w:tr>
    </w:tbl>
    <w:p>
      <w:pPr>
        <w:spacing w:after="140"/>
      </w:pPr>
      <w:r>
        <w:t xml:space="preserve"/>
      </w:r>
    </w:p>
    <w:p>
      <w:pPr>
        <w:pStyle w:val="Heading3"/>
        <w:keepNext/>
        <w:keepLines/>
        <w:spacing w:after="100" w:before="220"/>
      </w:pPr>
      <w:r>
        <w:rPr>
          <w:b/>
          <w:bCs/>
          <w:color w:val="0F6E6E"/>
          <w:sz w:val="21"/>
          <w:szCs w:val="21"/>
        </w:rPr>
        <w:t xml:space="preserve">What this changes for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30 days, clean profile — every consent and the assessment are still valid</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at 31–90 days — data-processing and solicitation consent still valid, but sharing consent and the assessment have expired</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 (a fresh assessment and a fresh sharing consent; the other consents are reused)</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two returning-customer rows are set out separately because the windows differ and it would be misleading to average them. Data-processing and solicitation consent last 90 days; sharing consent lasts 30, and a suitability assessment lasts 30. A customer returning inside 30 days meets no interaction at all. A customer returning on day 45 is re-assessed and gives a fresh sharing consent, but is not asked again for permission the bank already holds.</w:t>
      </w:r>
    </w:p>
    <w:p>
      <w:pPr>
        <w:pStyle w:val="Heading2"/>
        <w:keepNext/>
        <w:keepLines/>
        <w:pageBreakBefore/>
        <w:spacing w:after="120" w:before="0"/>
      </w:pPr>
      <w:r>
        <w:rPr>
          <w:b/>
          <w:bCs/>
          <w:color w:val="11304E"/>
          <w:sz w:val="24"/>
          <w:szCs w:val="24"/>
        </w:rPr>
        <w:t xml:space="preserve">11.4  Why this is a compliance improvement and not only an experience improvement</w:t>
      </w:r>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The risk this creates, named</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p>
      <w:pPr>
        <w:pStyle w:val="Heading2"/>
        <w:keepNext/>
        <w:keepLines/>
        <w:spacing w:after="120" w:before="300"/>
      </w:pPr>
      <w:r>
        <w:rPr>
          <w:b/>
          <w:bCs/>
          <w:color w:val="11304E"/>
          <w:sz w:val="24"/>
          <w:szCs w:val="24"/>
        </w:rPr>
        <w:t xml:space="preserve">11.5  Rule changes required, if approved</w:t>
      </w:r>
    </w:p>
    <w:p>
      <w:pPr>
        <w:spacing w:after="120" w:before="0" w:line="276"/>
        <w:jc w:val="left"/>
      </w:pPr>
      <w:r>
        <w:rPr>
          <w:b w:val="false"/>
          <w:bCs w:val="false"/>
          <w:i w:val="false"/>
          <w:iCs w:val="false"/>
          <w:color w:val="222629"/>
          <w:sz w:val="20"/>
          <w:szCs w:val="20"/>
        </w:rPr>
        <w:t xml:space="preserve">Six changes. Five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470"/>
        <w:gridCol w:w="2988"/>
        <w:gridCol w:w="1734"/>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OBL-INS-05</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produces a decline record under CNS-R12b; and the journey behaves as the decline matrix specifies.</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CNS-R12b</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declined statement MUST produce its own evidence record, carrying the statement identifier and version, the exact text shown, the time, the channel, the acting identity and the outcome DECLINED. A decline is a customer decision and MUST be as evidenced as an acceptance. A declined statement MUST NOT be represented anywhere as an absent or pending consent, and MUST NOT be re-presented within the same interaction.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 record exists with outcome DECLINED carrying all six fields. Query the customer’s consent position: the statement reads as declined, not as missing. Attempt to re-present it in the same interaction: refused.</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approved panel by legal entity name within the statement text, provided the scope is subsequently bound to exactly one of them by an explicit customer selection.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\nOBL-DP-01</w:t>
            </w:r>
            <w:r>
              <w:rPr>
                <w:b w:val="false"/>
                <w:bCs w:val="false"/>
                <w:i w:val="false"/>
                <w:iCs w:val="false"/>
                <w:color w:val="0F6E6E"/>
                <w:sz w:val="15"/>
                <w:szCs w:val="15"/>
              </w:rPr>
              <w:br/>
              <w:t xml:space="preserve">OBL-DP-02</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 The submission MUST then be held for a defined notice interval, during which a stop instruction from the customer prevents it. Product proposes 15 minutes, and the interval is a Compliance-set parameter: Compliance may set any value, and setting it to zero means the notice is informational only and the submission proceeds at once.</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by legal entity name is dispatched to the customer’s registered number and the submission is held. Submit a stop instruction inside the interval: the submission does not occur and the reason is recorded. Let the interval elapse with no instruction: the submission proceeds. Assert the interval in force is the configured value and that changing it is an audited configuration change, not a code change.</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CNS-R22d is where this design is thinnest, and Product says so</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§11.6 costs the customer very little.</w:t>
      </w:r>
    </w:p>
    <w:p>
      <w:pPr>
        <w:pStyle w:val="Heading2"/>
        <w:keepNext/>
        <w:keepLines/>
        <w:spacing w:after="120" w:before="300"/>
      </w:pPr>
      <w:r>
        <w:rPr>
          <w:b/>
          <w:bCs/>
          <w:color w:val="11304E"/>
          <w:sz w:val="24"/>
          <w:szCs w:val="24"/>
        </w:rPr>
        <w:t xml:space="preserve">11.6  If Compliance declines the panel-scoped consent</w:t>
      </w:r>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pPr>
        <w:pStyle w:val="Heading2"/>
        <w:keepNext/>
        <w:keepLines/>
        <w:spacing w:after="120" w:before="300"/>
      </w:pPr>
      <w:r>
        <w:rPr>
          <w:b/>
          <w:bCs/>
          <w:color w:val="11304E"/>
          <w:sz w:val="24"/>
          <w:szCs w:val="24"/>
        </w:rPr>
        <w:t xml:space="preserve">11.7  What this changes in the work ahead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§11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pPr>
        <w:pStyle w:val="Heading1"/>
        <w:keepNext/>
        <w:keepLines/>
        <w:pageBreakBefore/>
        <w:pBdr>
          <w:bottom w:val="single" w:color="0F6E6E" w:sz="8" w:space="6"/>
        </w:pBdr>
        <w:spacing w:after="160" w:before="0"/>
      </w:pPr>
      <w:r>
        <w:rPr>
          <w:b/>
          <w:bCs/>
          <w:color w:val="11304E"/>
          <w:sz w:val="30"/>
          <w:szCs w:val="30"/>
        </w:rPr>
        <w:t xml:space="preserve">12.  Conditions that carry forward into build and run</w:t>
      </w:r>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the two blocking issues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and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 – R24a</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the gate code is accepted, and again when the first end-to-end journey is tested</w:t>
            </w:r>
          </w:p>
        </w:tc>
      </w:tr>
    </w:tbl>
    <w:p>
      <w:pPr>
        <w:spacing w:after="140"/>
      </w:pPr>
      <w:r>
        <w:t xml:space="preserve"/>
      </w:r>
    </w:p>
    <w:p>
      <w:pPr>
        <w:pStyle w:val="Heading2"/>
        <w:keepNext/>
        <w:keepLines/>
        <w:spacing w:after="100" w:before="220"/>
      </w:pPr>
      <w:r>
        <w:rPr>
          <w:b/>
          <w:bCs/>
          <w:color w:val="0F6E6E"/>
          <w:sz w:val="21"/>
          <w:szCs w:val="21"/>
        </w:rPr>
        <w:t xml:space="preserve">Other approvals still required</w:t>
      </w:r>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and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that all nine gate refusal cases can be automated, and that the SUIT-R19b totality enumeration is practical to run in the pipeline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Solution Architecture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bl>
    <w:p>
      <w:pPr>
        <w:pStyle w:val="Heading1"/>
        <w:keepNext/>
        <w:keepLines/>
        <w:pBdr>
          <w:bottom w:val="single" w:color="0F6E6E" w:sz="8" w:space="6"/>
        </w:pBdr>
        <w:spacing w:after="160" w:before="400"/>
      </w:pPr>
      <w:r>
        <w:rPr>
          <w:b/>
          <w:bCs/>
          <w:color w:val="11304E"/>
          <w:sz w:val="30"/>
          <w:szCs w:val="30"/>
        </w:rPr>
        <w:t xml:space="preserve">13.  What happens after approval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§14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v1.2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blocking issues recorded as closed in the programme’s issue register</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v1.2</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approval checkpoints recorded as met, citing the signed packs as the evidence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Delivery</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Solution Architecture,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 function</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the first end-to-end journey runs</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One procedural point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p>
      <w:pPr>
        <w:pStyle w:val="Heading1"/>
        <w:keepNext/>
        <w:keepLines/>
        <w:pageBreakBefore/>
        <w:pBdr>
          <w:bottom w:val="single" w:color="0F6E6E" w:sz="8" w:space="6"/>
        </w:pBdr>
        <w:spacing w:after="160" w:before="0"/>
      </w:pPr>
      <w:r>
        <w:rPr>
          <w:b/>
          <w:bCs/>
          <w:color w:val="11304E"/>
          <w:sz w:val="30"/>
          <w:szCs w:val="30"/>
        </w:rPr>
        <w:t xml:space="preserve">14.  Sign-off sheet</w:t>
      </w:r>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pPr>
        <w:pStyle w:val="Heading2"/>
        <w:keepNext/>
        <w:keepLines/>
        <w:spacing w:after="100" w:before="220"/>
      </w:pPr>
      <w:r>
        <w:rPr>
          <w:b/>
          <w:bCs/>
          <w:color w:val="0F6E6E"/>
          <w:sz w:val="21"/>
          <w:szCs w:val="21"/>
        </w:rPr>
        <w:t xml:space="preserve">Primary approval — human signature mandatory</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Regulatory permissibility of both rule packs; the basis for statement and disclosure wording; the sequencing of consent within the journey; the retention basis; the twelve open determinations in §10; and the consent-consolidation proposal in §11,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Product decision — required, and not satisfied by the drafting of this pack</w:t>
      </w:r>
    </w:p>
    <w:p>
      <w:pPr>
        <w:spacing w:after="120" w:before="0" w:line="276"/>
        <w:jc w:val="left"/>
      </w:pPr>
      <w:r>
        <w:rPr>
          <w:b w:val="false"/>
          <w:bCs w:val="false"/>
          <w:i w:val="false"/>
          <w:iCs w:val="false"/>
          <w:color w:val="222629"/>
          <w:sz w:val="20"/>
          <w:szCs w:val="20"/>
        </w:rPr>
        <w:t xml:space="preserve">This pack was drafted on Product’s behalf by an AI agent. The Product decision is therefore a separate act, recorded here, and until it is signed nothing in this document evidences a Product position.</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Product</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Principal Insurance Platform Product Owner</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Business behaviour of both control sets: the consent events and their blocking points, the failure experience, the reuse policy, the question set, the outcome semantics, the handling of customer deviation and policy replacement, and the consent-consolidation proposal in §11. Also the scope position in §3.1 and the answer to OPEN-SCOPE-01.</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Supporting conclusions</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that all nine gate refusal cases can be automated; and that the totality test required by SUIT-R19b — enumerating every combination of the five enumerated inputs across all three product classes — is practical to run in the pipeline.</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The operational load these rules create and whether it can be carried: the retrieval service levels in Volume 2, §10 (one record in 4 business hours, a full bundle in 1 business day); the operations tasks raised by withdrawal after submission (CNS-R30) and by policy replacement (SUIT-R47); the customer and insurer contact required when a submission is stopped inside the notice interval (CNS-R22d); and what happens to in-flight journeys when the suitability service is unavailable and quotes are refused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Provenance — read before signing anything above</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This pack was drafted by an AI agent working from the Product Owner’s reasoning package and the programme’s own documents. It is a draft placed in front of the accountable humans, not a decision any of them has taken.</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In particular: there is no Product decision on these packs. Earlier drafting said Product had approved them, which implied a review that had not happened. Product’s decision is now a signature block like every other, immediately above, and it is unsigned. Until the Product Owner signs it, statements in this document beginning "Product’s position is…" describe a drafted recommendation and nothing more.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Silence approves nothing here — not from Compliance, not from Product, and not from any of the supporting roles.</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1 of 3 — Decision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1 — Decision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1, Decision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2026-08-24T06:08:10.583Z</dcterms:created>
  <dcterms:modified xsi:type="dcterms:W3CDTF">2026-08-24T06:08:10.583Z</dcterms:modified>
</cp:coreProperties>
</file>

<file path=docProps/custom.xml><?xml version="1.0" encoding="utf-8"?>
<Properties xmlns="http://schemas.openxmlformats.org/officeDocument/2006/custom-properties" xmlns:vt="http://schemas.openxmlformats.org/officeDocument/2006/docPropsVTypes"/>
</file>