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 Bank Insurance Distribution Platform (NIP)</w:t>
      </w:r>
    </w:p>
    <w:p>
      <w:r>
        <w:rPr>
          <w:b/>
        </w:rPr>
        <w:t>Architecture Review Board — R0 prerequisite pack (leave-behind)</w:t>
      </w:r>
    </w:p>
    <w:p>
      <w:r>
        <w:rPr>
          <w:i/>
          <w:color w:val="B91C1C"/>
        </w:rPr>
        <w:t>AI-DRAFTED evidence. Not ARB approval, not T4 Architecture, not Board 4, not Board 6 CIS registration, not a VA/PT pass. HA-02: ADR / LLD / NFR win.</w:t>
      </w:r>
    </w:p>
    <w:p>
      <w:r>
        <w:t>Document ARB-PRE-2026-09-14 · 2026-09-14 · Draft owner: Mahesh, Board 1 / R2</w:t>
      </w:r>
    </w:p>
    <w:p>
      <w:r>
        <w:t>Companion files: AU-NIP-R0-ARB-Walk-In.pptx (room) · AU-NIP-R0-ARB-Matrices.xlsx (tables).</w:t>
      </w:r>
    </w:p>
    <w:p>
      <w:pPr>
        <w:pStyle w:val="Heading1"/>
      </w:pPr>
      <w:r>
        <w:t>How to use this document</w:t>
      </w:r>
    </w:p>
    <w:p>
      <w:r>
        <w:t>This is the bank ARB leave-behind for the R0 Insurance Distribution Platform (NIP).</w:t>
      </w:r>
    </w:p>
    <w:p>
      <w:r>
        <w:t>Open the PowerPoint in the room. Use this PDF/Word to circulate. Use the Excel workbook for matrices.</w:t>
      </w:r>
    </w:p>
    <w:p>
      <w:r>
        <w:t>AI-DRAFTED evidence. Not ARB approval, not T4 Architecture, not Board 4, not Board 6 CIS registration, not a VA/PT pass. HA-02: ADR / LLD / NFR win.</w:t>
      </w:r>
    </w:p>
    <w:p>
      <w:r>
        <w:t>Rule HA-02: if a paragraph here disagrees with an ADR, the LLD, the NFR catalogue or the security architecture, that source wins.</w:t>
      </w:r>
    </w:p>
    <w:p>
      <w:pPr>
        <w:pStyle w:val="Heading1"/>
      </w:pPr>
      <w:r>
        <w:t>1. Business ask and sign-off — PARTIAL</w:t>
      </w:r>
    </w:p>
    <w:p>
      <w:r>
        <w:t>Ask (admitted objective): one RM, acting as certified Specified Person, sells a complete Life policy (Term or Savings/ULIP) to one ETB customer of one Group A insurer, end to end, with suitability, customer-device OTP consent, customer-device payment, reconciled issuance and immutable audit (R0-ASSISTED-LIFE-SALE).</w:t>
      </w:r>
    </w:p>
    <w:p>
      <w:r>
        <w:t>Licence: IRDAI Composite Corporate Agency CA0515. Scope is in BOOT.md. CR-010 registered the workstream. CR-015 restates Savings/ULIP (CANDIDATE transcribed; HUMAN T4 outstanding).</w:t>
      </w:r>
    </w:p>
    <w:p>
      <w:r>
        <w:t>This pack does not fill a bank new-application signature block, a budget memo, or a Product Owner counter-signature on GOV-004. Rajal owns that process.</w:t>
      </w:r>
    </w:p>
    <w:p>
      <w:pPr>
        <w:pStyle w:val="Heading1"/>
      </w:pPr>
      <w:r>
        <w:t>2. Critical Information System classification — HUMAN-REQUIRED</w:t>
      </w:r>
    </w:p>
    <w:p>
      <w:r>
        <w:t>Architecture proposes class Critical Information System (CIS). Processing in AWS ap-south-1 with DR replicas in ap-south-2 only. No regulated data outside India.</w:t>
      </w:r>
    </w:p>
    <w:p>
      <w:r>
        <w:t>Shailja S (Board 6) and bank Information Security / CISO enter the bank CIS register. Mahesh does not. A lower class would be a written risk acceptance, not a design simplification.</w:t>
      </w:r>
    </w:p>
    <w:p>
      <w:pPr>
        <w:pStyle w:val="Heading1"/>
      </w:pPr>
      <w:r>
        <w:t>3–4. Solution architecture · current vs target — READY (unsigned)</w:t>
      </w:r>
    </w:p>
    <w:p>
      <w:r>
        <w:t>SAD: docs/platform/ws3-platform/03-solution-architecture-r0.md plus R0-HLD.md and R0-LLD.md. Human T4 Architecture is outstanding.</w:t>
      </w:r>
    </w:p>
    <w:p>
      <w:r>
        <w:t>Current-state is H0/R0 as designed, not as running in prod. Target-state is the North Star at horizons H1–H3. Do not read H1–H3 as admitted scope.</w:t>
      </w:r>
    </w:p>
    <w:p>
      <w:pPr>
        <w:pStyle w:val="Heading1"/>
      </w:pPr>
      <w:r>
        <w:t>5. Data-flow and trust boundaries — READY (unsigned)</w:t>
      </w:r>
    </w:p>
    <w:p>
      <w:r>
        <w:t>Inbound: device → Cloudflare → F5-XC → Amazon API Gateway → Internal ALB → nip-web / NIP BFF (ADR-018).</w:t>
      </w:r>
    </w:p>
    <w:p>
      <w:r>
        <w:t>Outbound: Hub → adapter → Apigee → 1SB (ADR-020). 1SB allowlists Apigee IPs, not spoke NAT EIPs.</w:t>
      </w:r>
    </w:p>
    <w:p>
      <w:r>
        <w:t>Internal bank API: Apigee private → AD-verify / EBS. Forbidden: Cloudflare/F5 hairpin.</w:t>
      </w:r>
    </w:p>
    <w:p>
      <w:r>
        <w:t>Payment: session-create outbound via Apigee; customer 3-DS on own device; callback inbound on a separate API Gateway route (TB-6).</w:t>
      </w:r>
    </w:p>
    <w:p>
      <w:r>
        <w:t>Trust boundaries TB-1…TB-7 live in 04-security-architecture.md. Deepali still owns the threat-model signature.</w:t>
      </w:r>
    </w:p>
    <w:p>
      <w:pPr>
        <w:pStyle w:val="Heading1"/>
      </w:pPr>
      <w:r>
        <w:t>6–9. Integration, capacity, availability, DR</w:t>
      </w:r>
    </w:p>
    <w:p>
      <w:r>
        <w:t>Runtime integrations I-01…I-12 and third parties are in the Excel workbook (sheets 04–06).</w:t>
      </w:r>
    </w:p>
    <w:p>
      <w:r>
        <w:t>Capacity (CAP-A*, unapproved by Product): ~100 journey starts/hour BAU, ~7/minute at Q4 peak. R0 is correctness-constrained. Do not scale from CPU.</w:t>
      </w:r>
    </w:p>
    <w:p>
      <w:r>
        <w:t>Sale-path availability 99.9%. RTO ≤ 1 hour. Transactional RPO ≤ 5 minutes. Audit RPO 0. Unproven until S09 drills (NFR-DR-04).</w:t>
      </w:r>
    </w:p>
    <w:p>
      <w:r>
        <w:t>DR: warm standby ap-south-2. Cache/MSK/OpenSearch are not replicated. Proof is a timed drill, not the picture.</w:t>
      </w:r>
    </w:p>
    <w:p>
      <w:pPr>
        <w:pStyle w:val="Heading1"/>
      </w:pPr>
      <w:r>
        <w:t>10–12. Security, VA/PT, SBOM</w:t>
      </w:r>
    </w:p>
    <w:p>
      <w:r>
        <w:t>Security architecture is an input to Board 4, not a Board 4 verdict. ADR-010 remainder is Deepali’s acceptance.</w:t>
      </w:r>
    </w:p>
    <w:p>
      <w:r>
        <w:t>VA/PT is NOT-YET. CI currently runs Checkstyle, Spotless, ArchUnit, JaCoCo and lockfile SCA. Do not tell ARB a pentest passed.</w:t>
      </w:r>
    </w:p>
    <w:p>
      <w:r>
        <w:t>SBOM: 14 Gradle lockfiles, 137 unique runtimeClasspath coordinates (Excel sheet 12). Java 21, Spring Boot 3.5.16. CycloneDX CI is still S09. Flutter pubspec.lock is not merged.</w:t>
      </w:r>
    </w:p>
    <w:p>
      <w:pPr>
        <w:pStyle w:val="Heading1"/>
      </w:pPr>
      <w:r>
        <w:t>13–15. Data classification, IAM/PAM, logging</w:t>
      </w:r>
    </w:p>
    <w:p>
      <w:r>
        <w:t>PUBLIC / INTERNAL / CONFIDENTIAL / RESTRICTED + [P][F][H][K]. India residency TI-08 / FF-08.</w:t>
      </w:r>
    </w:p>
    <w:p>
      <w:r>
        <w:t>Workforce identity stays Bank AD (TI-01), reached via the AD-verify API through Apigee private. Never LDAP from EKS.</w:t>
      </w:r>
    </w:p>
    <w:p>
      <w:r>
        <w:t>Privileged AWS access is bank PAM / IAM Identity Center. Application IAM is IRSA per deployable.</w:t>
      </w:r>
    </w:p>
    <w:p>
      <w:r>
        <w:t>CloudTrail and CloudWatch are both mandatory. OpenSearch holds operational logs, never evidence (ADR-013). Audit is INSERT-only + S3 Object Lock (TI-07).</w:t>
      </w:r>
    </w:p>
    <w:p>
      <w:pPr>
        <w:pStyle w:val="Heading1"/>
      </w:pPr>
      <w:r>
        <w:t>16–19. Third parties, cloud RACI, lifecycle, exit</w:t>
      </w:r>
    </w:p>
    <w:p>
      <w:r>
        <w:t>No new subcontractor: R0 attaches to already-procured bank platforms (Cloudflare, F5-XC, Apigee, GitLab, AWS, 1SB). 1SB is a provider route (TI-04), not a domain dependency.</w:t>
      </w:r>
    </w:p>
    <w:p>
      <w:r>
        <w:t>Five Control Tower accounts: shared-services, security, network, uat, prod. No separate dev. No CUG. Attach to AU-CTO-NETWORK.</w:t>
      </w:r>
    </w:p>
    <w:p>
      <w:r>
        <w:t>Java 21 and Spring Boot 3.5 are in support. Keycloak / Flutter / EKS pins confirmed by Amit + Shivanshi at S09.</w:t>
      </w:r>
    </w:p>
    <w:p>
      <w:r>
        <w:t>Exit: turn off the adapter, keep the evidence. Three exits are not the same change (replace 1SB / leave AWS / decommission NIP). Kubernetes PVC is not a system of record.</w:t>
      </w:r>
    </w:p>
    <w:p>
      <w:pPr>
        <w:pStyle w:val="Heading1"/>
      </w:pPr>
      <w:r>
        <w:t>Named holds that would be fair</w:t>
      </w:r>
    </w:p>
    <w:p>
      <w:r>
        <w:t>CIS register (row 2). Product volume sign-off (row 7). Deepali Board 4 (row 10). VA/PT plan date (row 11). Apigee written IPs (row 6). Human T4 Architecture (rows 3–4).</w:t>
      </w:r>
    </w:p>
    <w:p>
      <w:r>
        <w:t>Agents draft. They do not sign.</w:t>
      </w:r>
    </w:p>
    <w:p>
      <w:pPr>
        <w:pStyle w:val="Heading1"/>
      </w:pPr>
      <w:r>
        <w:t>Readiness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9"/>
        <w:gridCol w:w="1979"/>
        <w:gridCol w:w="1979"/>
        <w:gridCol w:w="1979"/>
        <w:gridCol w:w="1979"/>
      </w:tblGrid>
      <w:tr>
        <w:tc>
          <w:tcPr>
            <w:tcW w:type="dxa" w:w="1979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979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Bank ARB prerequisite</w:t>
            </w:r>
          </w:p>
        </w:tc>
        <w:tc>
          <w:tcPr>
            <w:tcW w:type="dxa" w:w="1979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Readiness</w:t>
            </w:r>
          </w:p>
        </w:tc>
        <w:tc>
          <w:tcPr>
            <w:tcW w:type="dxa" w:w="1979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Canonical source</w:t>
            </w:r>
          </w:p>
        </w:tc>
        <w:tc>
          <w:tcPr>
            <w:tcW w:type="dxa" w:w="1979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Named gap / owner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Business ask and sign-off for new technical or application requirement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R0-ASSISTED-LIFE-SALE in BOOT.md §5 · CR-010 · CR-015 · IRDAI CA CA0515 (dossier §1)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Rajal Product sign-off of CAP-A volumes and CR-015 T4. PO counter-signature on GOV-004 still outstanding. This pack does not invent a business BRD signature.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Critical Information System classification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HUMAN-REQUIRED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CIS proposal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Shailja + bank InfoSec / CISO. Architecture proposes Critical. The bank CIS register is the SoT.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Solution Architecture Document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03-solution-architecture-r0.md · HLD · LLD · dossier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Human T4 Architecture.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Current-state and target-state architecture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Current = R0 HLD/LLD/hdl.svg R0 cut. Target = 09 H0–H3 + hdl.svg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Do not read H1–H3 as admitted scope.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Data-flow and trust-boundary diagrams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04-security-architecture.md §2 TB-1…TB-7 · r0-platform-topology.svg · r0-platform-payment.svg · R0-E2E-FOR-DEVELOPERS.md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Split plane ADR-020 is now on topology/payment. Security mermaid in §2 of this change aligns TB-5/TB-7 to Apigee. Deepali still owns the threat-model signature.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Integration and dependency matrix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(compiled)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matrix · DEPENDENCY-REGISTER.md · LLD §8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External rows OPEN: Apigee onboard (DEP-20260914-apg), VPN/DX (DEP-20260824-dx1), bank UAT slot (DEP-002).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Infrastructure sizing and capacity assessment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05-nfr-catalogue.md §2 CAP-A · LLD §1.4 shapes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CAP-A1…A7 are assumptions, not an approved business baseline (NFR-OPEN-1, owner Rajal). R0 is correctness-constrained, not throughput-constrained.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Availability, RTO and RPO of base product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NFR-AVL-01…07 · NFR-DR-01…06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Sale-path 99.9%. RTO ≤ 1 h, RPO ≤ 5 min transactional, RPO 0 audit. Unproven until S09 drills (NFR-DR-04).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DR architecture and failover mechanism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LLD §11 · r0-platform-dr.svg · ADR-009 D16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Warm standby ap-south-2. Cache/MSK/OpenSearch not replicated (D13–D15). Proof is a timed Ansible drill, not the picture.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Security architecture (as per Security NFR)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04-security-architecture.md · architecture-review/06-security-compliance-and-nfrs.md · NFR-SEC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Deepali Board 4 human. ADR-010 remainder (pod→Apigee inspection) is her acceptance, not Architecture's.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VA/PT and secure-code-review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NOT-YET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GitLab CI: Checkstyle, Spotless, ArchUnit, JaCoCo; Trivy/lockfiles (build.gradle.kts S08-E04)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 VA/PT report exists. Swapnali + Deepali: SAST in pipeline now; DAST/VA/PT before UAT exit / S11–S12. Do not tell ARB a pentest passed.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SBOM / software dependency inventory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lockfile inventory · 14 lockfiles, 137 runtime coordinates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CycloneDX/SPDX CI artefact still to be wired (S09). Flutter pubspec.lock is a second inventory.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Data classification and data residency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Information model §2 · TI-08 · FF-08 · India ap-south-1 / DR ap-south-2 only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Shailja S02-G5/G6. GAP-016 residual on attribute-level BA ratification.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IAM / PAM design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AuthN/AuthZ SSOT · LLD IRSA · ADR-020 AD-verify · bank IAM Identity Center (estate 18)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Application IAM is designed. Privileged Access Management for AWS console / break-glass is bank PAM + Deepali; not a second IdP we invent.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Logging and monitoring design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(unsigned)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LLD P6 · ADR-013 OpenSearch · CloudTrail vs CloudWatch (dossier §9.3) · NFR-OBS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Operational logs RET-OPERATIONAL 90 d. Audit is not logging (TI-07).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Third-party and subcontractor details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(compiled)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matrix §2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1SB is a provider route, not a domain dependency (TI-04). Insurers underwrite (TI-03).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Cloud architecture and shared-responsibility matrix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(compiled)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matrix · LLD · ADR-018/ADR-020 · estate 18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Attach to AU-CTO-NETWORK; five Control Tower accounts; no CUG.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Technology lifecycle and end-of-support assessment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(compiled)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lifecycle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Java 21 and Spring Boot 3.5 are in support. Keycloak / Flutter / EKS pin to be confirmed by Amit + Shivanshi at S09.</w:t>
            </w:r>
          </w:p>
        </w:tc>
      </w:tr>
      <w:tr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Exit, portability and decommissioning strategy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READY (compiled)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same paper §2</w:t>
            </w:r>
          </w:p>
        </w:tc>
        <w:tc>
          <w:tcPr>
            <w:tcW w:type="dxa" w:w="1979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1SB replaceable at the adapter. Data exits as Aurora + S3 WORM in India. Kubernetes PVC is not a SoR.</w:t>
            </w:r>
          </w:p>
        </w:tc>
      </w:tr>
    </w:tbl>
    <w:p/>
    <w:p>
      <w:pPr>
        <w:pStyle w:val="Heading1"/>
      </w:pPr>
      <w:r>
        <w:t>CIS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46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Proposed value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System name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 Bank Insurance Distribution Platform (NIP) — R0 assisted Life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Proposed class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Critical Information System (CIS)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Why not “High” or below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The platform stores and processes CIF-derived customer identity, PAN and other KYC identifiers, health/suitability attributes, payment orchestration state, and 7-year immutable audit. A confidentiality, integrity or availability failure is a regulatory and customer-harm event, not only an operational inconvenience.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R0 processing location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AWS ap-south-1 (Mumbai). DR replicas ap-south-2 (Hyderabad) only. No regulated data outside India (TI-08, FF-08).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Internet exposure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Inbound: Cloudflare → F5-XC → Amazon API Gateway only (ADR-018). No public ALB, no public datastore. Outbound: Apigee (ADR-020).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Privileged access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IRSA per deployable; bank IAM Identity Center / PAM for humans; Keycloak admin console is not a bank-user UI.</w:t>
            </w:r>
          </w:p>
        </w:tc>
      </w:tr>
    </w:tbl>
    <w:p/>
    <w:p>
      <w:pPr>
        <w:pStyle w:val="Heading1"/>
      </w:pPr>
      <w:r>
        <w:t>Data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Flow</w:t>
            </w:r>
          </w:p>
        </w:tc>
        <w:tc>
          <w:tcPr>
            <w:tcW w:type="dxa" w:w="4946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Picture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RM / NIP-APP inbound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Cloudflare → F5-XC → API Gateway → Internal ALB → nip-web / NIP BFF (ADR-018)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Provider outbound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Hub → #15 adapter → Apigee → 1SB (ADR-020). 1SB allowlists Apigee IPs.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Internal bank API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Adapter / Customer → Apigee private → AD-verify / EBS. Forbidden: Cloudflare/F5 hairpin.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Payment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Session-create out via Apigee; customer 3-DS on own device; callback in on a separate API Gateway route (TB-6).</w:t>
            </w:r>
          </w:p>
        </w:tc>
      </w:tr>
      <w:tr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Trust boundaries</w:t>
            </w:r>
          </w:p>
        </w:tc>
        <w:tc>
          <w:tcPr>
            <w:tcW w:type="dxa" w:w="4946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TB-1…TB-7 in 04-security-architecture.md §2</w:t>
            </w:r>
          </w:p>
        </w:tc>
      </w:tr>
    </w:tbl>
    <w:p/>
    <w:p>
      <w:pPr>
        <w:pStyle w:val="Heading1"/>
      </w:pPr>
      <w:r>
        <w:t>Sign-off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Seat</w:t>
            </w:r>
          </w:p>
        </w:tc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What they sign</w:t>
            </w:r>
          </w:p>
        </w:tc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What they must not be asked to sign for Architecture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Rajal (R1)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Business ask, CAP-A baseline, CR-015 product acceptance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Technology choice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Mahesh (R2) human T4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SAD / HLD / LLD / this pack as architecture evidence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Deepali’s security residual, Shailja’s CIS class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Deepali (R8) human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Board 4, ADR-010 remainder, VA/PT scope, PAM pattern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 behaviour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Shailja (R9) human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CIS class, classification/retention, residency attestation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 pentest result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Shivanshi (R10)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S09 vending, Apigee onboard, DR drill records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Architecture structure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Aarti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Physical model / PITR / WORM restore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Service boundaries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Swapnali (R7)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Evidence sufficiency of VA/PT and SAST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Waiving a non-waivable control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Kalpana (R12)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Whether ARB is on the critical path this increment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The content of a specialist verdict</w:t>
            </w:r>
          </w:p>
        </w:tc>
      </w:tr>
    </w:tbl>
    <w:p/>
    <w:p>
      <w:pPr>
        <w:pStyle w:val="Heading1"/>
      </w:pPr>
      <w:r>
        <w:t>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Holds</w:t>
            </w:r>
          </w:p>
        </w:tc>
        <w:tc>
          <w:tcPr>
            <w:tcW w:type="dxa" w:w="3298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If it is compromised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shared-services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Terraform state pattern, ECR, shared runners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Build supply chain — not customer data at rest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security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CloudTrail, GuardDuty, Security Hub, Config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Detection failure; not the sale-path datastore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network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Inspection VPCs, attachments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Egress / routing; production data does not live here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uat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vpc-dev (synthetic) + vpc-uat (masked)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Two route tables so stubs cannot reach prod CBS</w:t>
            </w:r>
          </w:p>
        </w:tc>
      </w:tr>
      <w:tr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Real ETB, real AD-verify, real 1SB</w:t>
            </w:r>
          </w:p>
        </w:tc>
        <w:tc>
          <w:tcPr>
            <w:tcW w:type="dxa" w:w="3298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The CIS blast radius</w:t>
            </w:r>
          </w:p>
        </w:tc>
      </w:tr>
    </w:tbl>
    <w:p/>
    <w:p>
      <w:pPr>
        <w:pStyle w:val="Heading1"/>
      </w:pPr>
      <w:r>
        <w:t>Exit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Exit</w:t>
            </w:r>
          </w:p>
        </w:tc>
        <w:tc>
          <w:tcPr>
            <w:tcW w:type="dxa" w:w="2473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What we keep</w:t>
            </w:r>
          </w:p>
        </w:tc>
        <w:tc>
          <w:tcPr>
            <w:tcW w:type="dxa" w:w="2473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What we turn off</w:t>
            </w:r>
          </w:p>
        </w:tc>
        <w:tc>
          <w:tcPr>
            <w:tcW w:type="dxa" w:w="2473"/>
            <w:shd w:fill="00336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Timebox (draft)</w:t>
            </w:r>
          </w:p>
        </w:tc>
      </w:tr>
      <w:tr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Replace 1SB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Hub contract, canonical model, audit, policies already issued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#15 adapter module + Apigee 1SB product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Adapter-swap; no domain migration (TI-04)</w:t>
            </w:r>
          </w:p>
        </w:tc>
      </w:tr>
      <w:tr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Leave AWS (extreme)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Logical model, WORM export, Terraform as documentation of intent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Accounts, KMS, network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Multi-quarter; India residency still binds the destination</w:t>
            </w:r>
          </w:p>
        </w:tc>
      </w:tr>
      <w:tr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Decommission NIP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7-year evidence (audit, consent, suitability, policy documents)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Compute, sessions, operational logs, IdP for this programme</w:t>
            </w:r>
          </w:p>
        </w:tc>
        <w:tc>
          <w:tcPr>
            <w:tcW w:type="dxa" w:w="2473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Retention clock starts from event time / policy termination per information model §2.2</w:t>
            </w:r>
          </w:p>
        </w:tc>
      </w:tr>
    </w:tbl>
    <w:p/>
    <w:p>
      <w:r>
        <w:rPr>
          <w:i/>
        </w:rPr>
        <w:t>Full integration matrix, RACI, lifecycle and the 137-coordinate SBOM are in the Excel workbook — they do not fit a Word page without losing the numbers ARB asked for.</w:t>
      </w:r>
    </w:p>
    <w:sectPr w:rsidR="00FC693F" w:rsidRPr="0006063C" w:rsidSect="00034616">
      <w:pgSz w:w="11909" w:h="16834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 Bank NIP R0 ARB Prerequisite Pack</dc:title>
  <dc:subject>AI-DRAFTED evidence. Not ARB approval, not T4 Architecture, not Board 4, not Board 6 CIS registration, not a VA/PT pass. HA-02: ADR / LLD / NFR win.</dc:subject>
  <dc:creator>Mahesh — Principal Insurance Platform Architect (draft)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