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60" w:before="0" w:line="276"/>
        <w:jc w:val="left"/>
      </w:pPr>
      <w:r>
        <w:rPr>
          <w:b w:val="false"/>
          <w:bCs w:val="false"/>
          <w:i w:val="false"/>
          <w:iCs w:val="false"/>
          <w:color w:val="5A6570"/>
          <w:sz w:val="18"/>
          <w:szCs w:val="18"/>
        </w:rPr>
        <w:t xml:space="preserve">Volume 2 of 3  ·  Reference volume, read alongside Decision Schedule A</w:t>
      </w:r>
    </w:p>
    <w:p>
      <w:pPr>
        <w:spacing w:after="400" w:before="0" w:line="276"/>
        <w:jc w:val="left"/>
      </w:pPr>
      <w:r>
        <w:rPr>
          <w:b w:val="false"/>
          <w:bCs w:val="false"/>
          <w:i w:val="false"/>
          <w:iCs w:val="false"/>
          <w:color w:val="5A6570"/>
          <w:sz w:val="17"/>
          <w:szCs w:val="17"/>
        </w:rPr>
        <w:t xml:space="preserve">Companion files: </w:t>
      </w:r>
      <w:r>
        <w:rPr>
          <w:b/>
          <w:bCs/>
          <w:i w:val="false"/>
          <w:iCs w:val="false"/>
          <w:color w:val="0F6E6E"/>
          <w:sz w:val="17"/>
          <w:szCs w:val="17"/>
        </w:rPr>
        <w:t xml:space="preserve">1-Decision-Pack.docx  ·  3-Suitability-Rule-Pack.docx</w:t>
      </w:r>
    </w:p>
    <w:p>
      <w:pPr>
        <w:spacing w:after="140" w:line="640"/>
      </w:pPr>
      <w:r>
        <w:rPr>
          <w:b/>
          <w:bCs/>
          <w:i w:val="false"/>
          <w:iCs w:val="false"/>
          <w:color w:val="11304E"/>
          <w:sz w:val="52"/>
          <w:szCs w:val="52"/>
        </w:rPr>
        <w:t xml:space="preserve">Consent Rule Pack</w:t>
      </w:r>
    </w:p>
    <w:p>
      <w:pPr>
        <w:spacing w:after="220" w:line="500"/>
      </w:pPr>
      <w:r>
        <w:rPr>
          <w:b/>
          <w:bCs/>
          <w:i w:val="false"/>
          <w:iCs w:val="false"/>
          <w:color w:val="0F6E6E"/>
          <w:sz w:val="40"/>
          <w:szCs w:val="40"/>
        </w:rPr>
        <w:t xml:space="preserve">The 42 rules, in full</w:t>
      </w:r>
    </w:p>
    <w:p>
      <w:pPr>
        <w:pBdr>
          <w:bottom w:val="single" w:color="11304E" w:sz="12" w:space="8"/>
        </w:pBdr>
        <w:spacing w:after="260"/>
      </w:pPr>
      <w:r>
        <w:rPr>
          <w:b w:val="false"/>
          <w:bCs w:val="false"/>
          <w:i/>
          <w:iCs/>
          <w:color w:val="445260"/>
          <w:sz w:val="22"/>
          <w:szCs w:val="22"/>
        </w:rPr>
        <w:t xml:space="preserve">The complete text of what Decision Schedule A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 of 3 — Consent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A (§8).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42 rules — CNS-R01 to CNS-R38 with four sub-numbered rules added at v1.1 — in 13 sections, together with the consent events, the 24-field evidence record and the failure behaviour they govern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Rules proposed in addition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further rules are proposed in Volume 1, §11 (CNS-R12a, CNS-R12b, an amendment to CNS-R22, and CNS-R22b to CNS-R22d). They are not part of this volume, because they are not yet part of the pack.</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Consent Service does not exist. </w:t>
            </w:r>
            <w:r>
              <w:rPr>
                <w:b w:val="false"/>
                <w:bCs w:val="false"/>
                <w:i w:val="false"/>
                <w:iCs w:val="false"/>
                <w:color w:val="222629"/>
                <w:sz w:val="18"/>
                <w:szCs w:val="18"/>
              </w:rPr>
              <w:t xml:space="preserve">It is held behind a build freeze pending this approval. See Volume 1, §3 for the full and less comfortable position on what has already been built.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distribution assisted by a relationship manager, to existing bank customers, through the approved insurer panel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Consent events in the first release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Statement identity and versioning</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Version change and journeys already in flight</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Language</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Capture mechanism by channel</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consent evidence record</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Immutability</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Validity, expiry and reuse</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Withdrawal</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Retention and retrieval</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Failure behaviour</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Regulatory register: every obligation these rules serve</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Terms and internal references</w:t>
      </w:r>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A in Volume 1 has one row per section of this volume, in the same order, and each row names the section to read. Sections 1 to 11 each carry a row and a decision box. Sections 12 and 13 carry none: section 12 records which obligation each rule serves, and section 13 sets out what the pack deliberately leaves open for Compliance to determine.</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keepNext/>
        <w:keepLines/>
        <w:spacing w:after="120" w:before="300"/>
      </w:pPr>
      <w:r>
        <w:rPr>
          <w:b/>
          <w:bCs/>
          <w:color w:val="11304E"/>
          <w:sz w:val="24"/>
          <w:szCs w:val="24"/>
        </w:rPr>
        <w:t xml:space="preserve">1.  Consent events in the first release</w:t>
      </w:r>
    </w:p>
    <w:p>
      <w:pPr>
        <w:spacing w:after="120" w:before="0" w:line="276"/>
        <w:jc w:val="left"/>
      </w:pPr>
      <w:r>
        <w:rPr>
          <w:b w:val="false"/>
          <w:bCs w:val="false"/>
          <w:i w:val="false"/>
          <w:iCs w:val="false"/>
          <w:color w:val="222629"/>
          <w:sz w:val="20"/>
          <w:szCs w:val="20"/>
        </w:rPr>
        <w:t xml:space="preserve">Five consent events are defined; four are in scope for the first release. Each has a code, a position in the journey, and an effect if it is absent. The position given is the earliest point at which the consent must exist — it may always be captured earlier, which is the subject of the proposal in Volume 1, §11.</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964"/>
        <w:gridCol w:w="2313"/>
        <w:gridCol w:w="2313"/>
        <w:gridCol w:w="2602"/>
        <w:gridCol w:w="1446"/>
      </w:tblGrid>
      <w:tr>
        <w:trPr>
          <w:cantSplit/>
          <w:tblHeader/>
        </w:trPr>
        <w:tc>
          <w:tcPr>
            <w:tcW w:type="dxa" w:w="96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event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Must exist before</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if absent</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 scope now</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CNS-DP</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and pre-fill from bank records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customer data is read from the bank record into the journey</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search returns identity only; no pre-fill and no progression</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CNS-SOL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Insurance solicitation, need analysis and suitability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questionnaire is presented</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suitability assessment can be created</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CNS-SHR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Sharing data with the selected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proposal is submitted to the insurer</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Proposal submission is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CNS-COM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 communications by message, email or push</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outbound customer communication</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Communication suppressed; the journey continues</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CNS-RDR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Controlled redirect to an off-panel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redirect link is generated</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Redirect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later release</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Product’s position on presentation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Data processing, solicitation and servicing communications are presented to the customer as one acknowledgement with three separately-recorded consents. The customer experiences one interaction; the record holds three rows with three statement identifiers. This gives the experience benefit without the exposure of a bundled consent. Sharing consent is captured separately in the pack as drafted, because the counterparty is named in the statement and the customer must see which insurer receives their data — this is the point the proposal in Volume 1, §11 seeks to change. Whether data processing and solicitation may share a single affirmative act at all is OPEN-CNS-01.</w:t>
      </w:r>
    </w:p>
    <w:p>
      <w:pPr>
        <w:pStyle w:val="Heading2"/>
        <w:keepNext/>
        <w:keepLines/>
        <w:spacing w:after="120" w:before="300"/>
      </w:pPr>
      <w:r>
        <w:rPr>
          <w:b/>
          <w:bCs/>
          <w:color w:val="11304E"/>
          <w:sz w:val="24"/>
          <w:szCs w:val="24"/>
        </w:rPr>
        <w:t xml:space="preserve">2.  Statement identity and versioning</w:t>
      </w:r>
    </w:p>
    <w:p>
      <w:pPr>
        <w:spacing w:after="120" w:before="0" w:line="276"/>
        <w:jc w:val="left"/>
      </w:pPr>
      <w:r>
        <w:rPr>
          <w:b w:val="false"/>
          <w:bCs w:val="false"/>
          <w:i w:val="false"/>
          <w:iCs w:val="false"/>
          <w:color w:val="222629"/>
          <w:sz w:val="20"/>
          <w:szCs w:val="20"/>
        </w:rPr>
        <w:t xml:space="preserve">Every consent statement carries an identifier whose meaning never changes:</w:t>
      </w:r>
    </w:p>
    <w:p>
      <w:pPr>
        <w:spacing w:after="100" w:before="0" w:line="276"/>
        <w:jc w:val="left"/>
      </w:pPr>
      <w:r>
        <w:rPr>
          <w:rFonts w:ascii="Consolas" w:cs="Consolas" w:eastAsia="Consolas" w:hAnsi="Consolas"/>
          <w:b w:val="false"/>
          <w:bCs w:val="false"/>
          <w:i w:val="false"/>
          <w:iCs w:val="false"/>
          <w:color w:val="11304E"/>
          <w:sz w:val="18"/>
          <w:szCs w:val="18"/>
        </w:rPr>
        <w:t xml:space="preserve">&lt;CONSENT_CODE&gt;-&lt;LANGUAGE&gt;-v&lt;MAJOR&gt;.&lt;MINOR&gt;          for example:  CNS-DP-en-IN-v1.0</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captured consent MUST record the statement identifier, the statement version, and a SHA-256 hash of the exact statement text rendered to the customer.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any consent record: all three fields present and non-null, and recomputing the hash over the stored text reproduces the stored hash.</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MUST be immutable once a version is published. A change of wording MUST create a new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alter the text of a published version. The attempt is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CNS-R03</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major version increment signals a material change of meaning; a minor increment signals a non-material change such as a typographical or formatting correction. Only Compliance may classify which it is.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published version carries a change classification and the name of the Compliance approver who set it. Without both, publication is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OBL-DP-01</w:t>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text stored with the evidence record MUST be the text actually shown to the customer, not a reference resolved when the record is later read.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new version, then retrieve a consent captured under the previous version. The previous text is returned word for word.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CNS-R04 is the rule that makes the evidence defensible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record saying "the customer accepted statement version 1.0", which then resolves version 1.0 from a table that can change, proves nothing three years later. The text has to travel with the record.</w:t>
      </w:r>
    </w:p>
    <w:p>
      <w:pPr>
        <w:pStyle w:val="Heading2"/>
        <w:keepNext/>
        <w:keepLines/>
        <w:spacing w:after="120" w:before="300"/>
      </w:pPr>
      <w:r>
        <w:rPr>
          <w:b/>
          <w:bCs/>
          <w:color w:val="11304E"/>
          <w:sz w:val="24"/>
          <w:szCs w:val="24"/>
        </w:rPr>
        <w:t xml:space="preserve">3.  Version change and journeys already in flight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version change MUST invalidate consents captured under earlier versions for journeys that have not yet passed the point the consent gates. Journeys past that point continue under the version they captured.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new version. A journey still at lead stage is blocked and re-prompted; a journey already at proposal stage is undisturbed and retains its original evidence.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CNS-R06</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non-material version change MUST NOT invalidate any existing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minor version. No journey is re-prompted and no consent record changes state.</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r>
              <w:rPr>
                <w:b w:val="false"/>
                <w:bCs w:val="false"/>
                <w:i w:val="false"/>
                <w:iCs w:val="false"/>
                <w:color w:val="0F6E6E"/>
                <w:sz w:val="15"/>
                <w:szCs w:val="15"/>
              </w:rPr>
              <w:br/>
              <w:t xml:space="preserve">OBL-INS-04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be told why a re-consent is required, in business language, naming the consent event.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 re-consent. The message identifies the consent event and the action required. No generic error is shown.</w:t>
            </w:r>
          </w:p>
        </w:tc>
      </w:tr>
    </w:tbl>
    <w:p>
      <w:pPr>
        <w:pStyle w:val="Heading2"/>
        <w:keepNext/>
        <w:keepLines/>
        <w:spacing w:after="120" w:before="300"/>
      </w:pPr>
      <w:r>
        <w:rPr>
          <w:b/>
          <w:bCs/>
          <w:color w:val="11304E"/>
          <w:sz w:val="24"/>
          <w:szCs w:val="24"/>
        </w:rPr>
        <w:t xml:space="preserve">4.  Language</w:t>
      </w:r>
    </w:p>
    <w:p>
      <w:pPr>
        <w:spacing w:after="120" w:before="0" w:line="276"/>
        <w:jc w:val="left"/>
      </w:pPr>
      <w:r>
        <w:rPr>
          <w:b w:val="false"/>
          <w:bCs w:val="false"/>
          <w:i w:val="false"/>
          <w:iCs w:val="false"/>
          <w:color w:val="222629"/>
          <w:sz w:val="20"/>
          <w:szCs w:val="20"/>
        </w:rPr>
        <w:t xml:space="preserve">The first release ships in Indian English only. Additional languages follow later.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language of the statement shown MUST be recorded on the evidence record.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record carries a language code matching a published statement version.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CNS-R09</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OBL-DP-03</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statement MUST carry the same version number as its source-language statement and MUST be Compliance-approved in its own right.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variant exists only where the source-language version exists, and carries its own named Compliance approver.</w:t>
            </w:r>
          </w:p>
        </w:tc>
      </w:tr>
    </w:tbl>
    <w:p>
      <w:pPr>
        <w:pStyle w:val="Heading2"/>
        <w:keepNext/>
        <w:keepLines/>
        <w:pageBreakBefore/>
        <w:spacing w:after="120" w:before="0"/>
      </w:pPr>
      <w:r>
        <w:rPr>
          <w:b/>
          <w:bCs/>
          <w:color w:val="11304E"/>
          <w:sz w:val="24"/>
          <w:szCs w:val="24"/>
        </w:rPr>
        <w:t xml:space="preserve">5.  Capture mechanism by channel</w:t>
      </w:r>
    </w:p>
    <w:p>
      <w:pPr>
        <w:spacing w:after="120" w:before="0" w:line="276"/>
        <w:jc w:val="left"/>
      </w:pPr>
      <w:r>
        <w:rPr>
          <w:b w:val="false"/>
          <w:bCs w:val="false"/>
          <w:i w:val="false"/>
          <w:iCs w:val="false"/>
          <w:color w:val="222629"/>
          <w:sz w:val="20"/>
          <w:szCs w:val="20"/>
        </w:rPr>
        <w:t xml:space="preserve">The evidence captured MUST be identical across channels. The interaction differs; the record does not.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301"/>
        <w:gridCol w:w="2024"/>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Channel</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Recorded method</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Relationship-manager assisted</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is displayed on the staff device and sent to the customer’s registered mobile; the customer enters the code delivered to their own device.</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to customer device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 self-service (later release)</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affirmative action in the app — never a pre-ticked box — plus a code to the registered mobile.</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In-app affirmative plus code</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Hybrid (later release)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Whichever device the customer is using at the moment of capture, recorded as such.</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 above</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OBL-INS-09</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recorded without a verified one-time password transaction. A tick by a member of staff is never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a capture with no verification transaction: refused. Submit one with an unverified transaction: refused.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OBL-RBI-05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MUST be delivered to the customer’s mobile number as held in the bank record, never to a number entered during the journey.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Alter the mobile number in the journey data; the code is still dispatched to the number of record.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control MUST NOT be pre-selected or defaulted to accepted.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Render the consent screen. The affirmative control is in its un-actioned state when the screen is first drawn.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CNS-R13</w:t>
            </w:r>
            <w:r>
              <w:rPr>
                <w:b w:val="false"/>
                <w:bCs w:val="false"/>
                <w:i w:val="false"/>
                <w:iCs w:val="false"/>
                <w:color w:val="0F6E6E"/>
                <w:sz w:val="15"/>
                <w:szCs w:val="15"/>
              </w:rPr>
              <w:t xml:space="preserve"/>
            </w:r>
            <w:r>
              <w:rPr>
                <w:b w:val="false"/>
                <w:bCs w:val="false"/>
                <w:i w:val="false"/>
                <w:iCs w:val="false"/>
                <w:color w:val="0F6E6E"/>
                <w:sz w:val="15"/>
                <w:szCs w:val="15"/>
              </w:rPr>
              <w:br/>
              <w:t xml:space="preserve">OBL-RBI-05</w:t>
            </w:r>
            <w:r>
              <w:rPr>
                <w:b w:val="false"/>
                <w:bCs w:val="false"/>
                <w:i w:val="false"/>
                <w:iCs w:val="false"/>
                <w:color w:val="0F6E6E"/>
                <w:sz w:val="15"/>
                <w:szCs w:val="15"/>
              </w:rPr>
              <w:br/>
              <w:t xml:space="preserve">OBL-INS-08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enter, on the staff device, a code that was delivered to the customer’s device.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staff screen exposes no entry field for a customer-device code. It shows pending or verified status only.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OBL-INS-09</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is valid for 10 minutes. Expiry requires a new code to be issued, not a retry of the old one.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Verify at 9 minutes 59 seconds: accepted. Verify at 10 minutes 1 second: refused as expired.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OBL-INS-09</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maximum of 3 verification attempts per transaction, after which the transaction locks and a new code must be issued. A maximum of 5 codes issued per consent event in 24 hours.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fourth attempt is refused. A sixth issue within 24 hours is refused.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Why CNS-R13 exists</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is the consent equivalent of the payment-device separation principle. If a member of staff can complete the customer’s acknowledgement, the record evidences an act the customer did not perform, and every downstream compliance claim rests on it.</w:t>
      </w:r>
    </w:p>
    <w:p>
      <w:pPr>
        <w:pStyle w:val="Heading2"/>
        <w:keepNext/>
        <w:keepLines/>
        <w:pageBreakBefore/>
        <w:spacing w:after="120" w:before="0"/>
      </w:pPr>
      <w:r>
        <w:rPr>
          <w:b/>
          <w:bCs/>
          <w:color w:val="11304E"/>
          <w:sz w:val="24"/>
          <w:szCs w:val="24"/>
        </w:rPr>
        <w:t xml:space="preserve">6.  The consent evidence record</w:t>
      </w:r>
    </w:p>
    <w:p>
      <w:pPr>
        <w:spacing w:after="120" w:before="0" w:line="276"/>
        <w:jc w:val="left"/>
      </w:pPr>
      <w:r>
        <w:rPr>
          <w:b w:val="false"/>
          <w:bCs w:val="false"/>
          <w:i w:val="false"/>
          <w:iCs w:val="false"/>
          <w:color w:val="222629"/>
          <w:sz w:val="20"/>
          <w:szCs w:val="20"/>
        </w:rPr>
        <w:t xml:space="preserve">The 24 fields every consent record must carry. Field names are business names; their physical representation is a database design matter.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988"/>
        <w:gridCol w:w="2313"/>
        <w:gridCol w:w="2024"/>
        <w:gridCol w:w="1638"/>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Type</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Lead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Restricted — personal data</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 code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codes in §1</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version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as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Long 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Hash of the statement text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SHA-256</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tag</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self-service or hybrid</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Acknowledgement method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methods in §5</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Verification transaction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code was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consent was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Originating network address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Distributor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 server-side only, never exposed to a client</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from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equals field 14</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or the explicit value OPEN_ENDED for a consent that does not expire — per §8 and CNS-R23a</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Active, expired, withdrawn or superseded</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Identifier of the consent this supersedes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 sequence number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Integer, append-only</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bl>
    <w:p>
      <w:pPr>
        <w:pStyle w:val="Heading2"/>
        <w:keepNext/>
        <w:keepLines/>
        <w:pageBreakBefore/>
        <w:spacing w:after="120" w:before="0"/>
      </w:pPr>
      <w:r>
        <w:rPr>
          <w:b/>
          <w:bCs/>
          <w:color w:val="11304E"/>
          <w:sz w:val="24"/>
          <w:szCs w:val="24"/>
        </w:rPr>
        <w:t xml:space="preserve">7.  Immutability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store MUST be append-only. No update and no delete against a consent record,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 an update and a delete against a consent record using the application’s own database account. Both fail on privilege rather than on application logic.</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CNS-R17</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state — expiry, withdrawal, supersession — MUST be represented as a new record referencing the earlier one, never as an edit.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consent. Two records exist: the original unchanged, and a new one recording the withdrawal.</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CNS-R18</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 consent MUST be derivable from the record chain with no ambiguity about which record is current.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consent, exactly one record is the head of its chain.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CNS-R19</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OBL-DP-09</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retrievable by journey, by customer and by consent identifier, returning the full chain each 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Three retrievals, each returning every record in the chain in sequence order.</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consent field classified restricted or confidential MUST appear in application logs.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full test suite and scan the emitted logs for customer identifiers, verification transaction identifiers, network addresses and agent licence numbers. No matches.</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CNS-R16 is enforced by database privilege, not by code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append-only rule that lives inside a service is an append-only rule that one urgent fix removes. This is a hard requirement on the physical database design and a condition on the infrastructure stage. It is carried forward as a condition in Volume 1, §12.</w:t>
      </w:r>
    </w:p>
    <w:p>
      <w:pPr>
        <w:pStyle w:val="Heading2"/>
        <w:keepNext/>
        <w:keepLines/>
        <w:spacing w:after="120" w:before="300"/>
      </w:pPr>
      <w:r>
        <w:rPr>
          <w:b/>
          <w:bCs/>
          <w:color w:val="11304E"/>
          <w:sz w:val="24"/>
          <w:szCs w:val="24"/>
        </w:rPr>
        <w:t xml:space="preserve">8.  Validity, expiry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Data-processing and solicitation consents are valid for 90 days from the time they take effect.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at 89 days permits the journey to proceed; at 91 days the journey is blocked as expired.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is valid for 30 days and is scoped to a named insurer. Sharing with a second insurer requires a second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sharing consent for one insurer and submit a proposal to another: refused as a scope mismatch.</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Servicing-communications consent has no expiry; it persists until withdrawn.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given 400 days earlier still permits communication.</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CNS-R23a</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does not expire, the mandatory “valid until” field MUST carry the explicit value OPEN_ENDED. It MUST NOT be left null, and it MUST NOT be filled with a far-future date that would read at audit as a fixed expiry the customer was never told about.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a servicing-communications consent: the field reads OPEN_ENDED. Assert that no null and no synthetic date is accepted in that field, and that an expiry check on OPEN_ENDED never returns expired.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CNS-R24</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OBL-DP-08</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reused across customers. A consent is bound to one customer for its lifetime.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Present a valid consent alongside a different customer identifier: refused as a subject mismatch.</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CNS-R25</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MAY be reused across journeys for the same customer within its validity window, for the same event and the same scope.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then start another 10 days later for the same customer. The existing consent is reused with no re-prompt, and the new journey references it.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CNS-R26</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re-consent MUST create a new record chained to the one it supersedes, and the superseded record MUST be retained.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Re-consent. The earlier record is present and marked superseded; the new record references it.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reuse is deliberate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existing customer re-prompted for identical data-processing consent ten days apart learns that consent is noise, which is the outcome the obligation exists to prevent. Reuse is bounded by customer, event, scope and window — all four, together.</w:t>
      </w:r>
    </w:p>
    <w:p>
      <w:pPr>
        <w:pStyle w:val="Heading2"/>
        <w:keepNext/>
        <w:keepLines/>
        <w:pageBreakBefore/>
        <w:spacing w:after="120" w:before="0"/>
      </w:pPr>
      <w:r>
        <w:rPr>
          <w:b/>
          <w:bCs/>
          <w:color w:val="11304E"/>
          <w:sz w:val="24"/>
          <w:szCs w:val="24"/>
        </w:rPr>
        <w:t xml:space="preserve">9.  Withdrawal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MUST be able to withdraw any consent at any time, through staff or in the app. Withdrawal requires the same verification as capture.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through each channel; a verified transaction is present on each withdrawal record.</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withdrawal MUST record the time, the acting identity, the channel, an optional customer-stated reason, and the verification transaction.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 withdrawal record; all mandatory fields are present.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CNS-R29</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data-processing or solicitation consent MUST halt the journey immediately at its current step. Journey data is retained under the retention schedule; processing stops.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mid-journey. The next journey action is refused as halted, and no further insurer call occurs.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CNS-R30</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OBL-INS-10</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sharing consent after a proposal has been submitted to the insurer MUST NOT be presented to the customer as retracting the submission. The platform records the withdrawal, stops further sharing, and raises an operations task to contact the insurer.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after submission. The chain shows the withdrawal, an operations task exists, and the message to the customer states that the insurer will be contacted — not that the proposal is cancelled.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CNS-R31</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servicing-communications consent MUST suppress non-mandatory communications only. Regulatory and transactional messages continue.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it: marketing messages are suppressed and the issuance confirmation is still sent.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CNS-R32</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OBL-DP-04</w:t>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MUST NOT delete prior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withdrawal, the original capture record is retrievable in full.</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CNS-R30 is the honest rule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platform cannot un-send data already transmitted to an insurer. Telling the customer otherwise would be a false statement about a regulated act. The behaviour is: stop, record, escalate to a person, and tell the customer exactly that.</w:t>
      </w:r>
    </w:p>
    <w:p>
      <w:pPr>
        <w:pStyle w:val="Heading2"/>
        <w:keepNext/>
        <w:keepLines/>
        <w:spacing w:after="120" w:before="300"/>
      </w:pPr>
      <w:r>
        <w:rPr>
          <w:b/>
          <w:bCs/>
          <w:color w:val="11304E"/>
          <w:sz w:val="24"/>
          <w:szCs w:val="24"/>
        </w:rPr>
        <w:t xml:space="preserve">10.  Retention and retrieval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retained for 7 years from the terminal state of the journey it belongs to — policy issued, lapsed, or abandoned and closed.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 the retention expiry for records across all three terminal states; each equals the terminal date plus seven years.</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CNS-R33a</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is reused across journeys under CNS-R25, retention MUST be anchored to the terminal state of the LAST journey that relied on it. The clock restarts on each reuse and MUST never shorten. A consent that has not yet been relied upon by any terminated journey MUST NOT become eligible for disposal.</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one consent across two journeys terminating three months apart: the expiry equals the later terminal date plus seven years. Add a third, later journey: the expiry moves out. Assert no path shortens a previously computed expiry.</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CNS-R33b</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OBL-REC-01</w:t>
            </w:r>
            <w:r>
              <w:rPr>
                <w:b w:val="false"/>
                <w:bCs w:val="false"/>
                <w:i w:val="false"/>
                <w:iCs w:val="false"/>
                <w:color w:val="0F6E6E"/>
                <w:sz w:val="15"/>
                <w:szCs w:val="15"/>
              </w:rPr>
              <w:br/>
              <w:t xml:space="preserve">OBL-DP-06</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with no expiry under CNS-R23 MUST be retained for 7 years from its withdrawal, or from the terminal state of the last journey that relied on it, whichever is later.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servicing-communications consent one year after the last journey terminated: retention runs seven years from the withdrawal.</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CNS-R33c</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OBL-DP-06</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legal hold MUST suspend disposal for the records it names, MUST be recorded with who placed it and when, and MUST be releasable only by Compliance. Retention MUST NOT be computed as expired while a hold is in force.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 a hold on a record past its retention expiry: disposal is refused and the refusal is logged. Release the hold as Compliance: disposal becomes possible. Attempt release as any other role: refused.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CNS-R34</w:t>
            </w:r>
            <w:r>
              <w:rPr>
                <w:b w:val="false"/>
                <w:bCs w:val="false"/>
                <w:i w:val="false"/>
                <w:iCs w:val="false"/>
                <w:color w:val="0F6E6E"/>
                <w:sz w:val="15"/>
                <w:szCs w:val="15"/>
              </w:rPr>
              <w:t xml:space="preserve"/>
            </w:r>
            <w:r>
              <w:rPr>
                <w:b w:val="false"/>
                <w:bCs w:val="false"/>
                <w:i w:val="false"/>
                <w:iCs w:val="false"/>
                <w:color w:val="0F6E6E"/>
                <w:sz w:val="15"/>
                <w:szCs w:val="15"/>
              </w:rPr>
              <w:br/>
              <w:t xml:space="preserve">OBL-RBI-04</w:t>
            </w:r>
            <w:r>
              <w:rPr>
                <w:b w:val="false"/>
                <w:bCs w:val="false"/>
                <w:i w:val="false"/>
                <w:iCs w:val="false"/>
                <w:color w:val="0F6E6E"/>
                <w:sz w:val="15"/>
                <w:szCs w:val="15"/>
              </w:rPr>
              <w:br/>
              <w:t xml:space="preserve">OBL-INT-01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Retained evidence MUST be held in write-once storage in an India region.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Inspect the storage configuration: write-once locking enabled, retention set to seven years, region within India.</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CNS-R35</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consent record MUST be retrievable within 4 business hours of a regulator or internal audit request; a full journey bundle within 1 business day.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timed retrieval exercise, recorded.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CNS-R36</w:t>
            </w:r>
            <w:r>
              <w:rPr>
                <w:b w:val="false"/>
                <w:bCs w:val="false"/>
                <w:i w:val="false"/>
                <w:iCs w:val="false"/>
                <w:color w:val="0F6E6E"/>
                <w:sz w:val="15"/>
                <w:szCs w:val="15"/>
              </w:rPr>
              <w:t xml:space="preserve"/>
            </w:r>
            <w:r>
              <w:rPr>
                <w:b w:val="false"/>
                <w:bCs w:val="false"/>
                <w:i w:val="false"/>
                <w:iCs w:val="false"/>
                <w:color w:val="0F6E6E"/>
                <w:sz w:val="15"/>
                <w:szCs w:val="15"/>
              </w:rPr>
              <w:br/>
              <w:t xml:space="preserve">OBL-INS-05</w:t>
            </w:r>
            <w:r>
              <w:rPr>
                <w:b w:val="false"/>
                <w:bCs w:val="false"/>
                <w:i w:val="false"/>
                <w:iCs w:val="false"/>
                <w:color w:val="0F6E6E"/>
                <w:sz w:val="15"/>
                <w:szCs w:val="15"/>
              </w:rPr>
              <w:br/>
              <w:t xml:space="preserve">OBL-INT-01</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MUST NOT be shortenable by an application configuration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reduce the retention period through application configuration; the value is bound to the infrastructure and the change has no effect on stored records.</w:t>
            </w:r>
          </w:p>
        </w:tc>
      </w:tr>
    </w:tbl>
    <w:p>
      <w:pPr>
        <w:spacing w:after="100"/>
      </w:pPr>
      <w:r>
        <w:t xml:space="preserve"/>
      </w:r>
    </w:p>
    <w:p>
      <w:pPr>
        <w:spacing w:after="120" w:before="0" w:line="276"/>
        <w:jc w:val="left"/>
      </w:pPr>
      <w:r>
        <w:rPr>
          <w:b/>
          <w:bCs/>
          <w:i w:val="false"/>
          <w:iCs w:val="false"/>
          <w:color w:val="222629"/>
          <w:sz w:val="20"/>
          <w:szCs w:val="20"/>
        </w:rPr>
        <w:t xml:space="preserve">Data residency is on the agreed non-waivable list. </w:t>
      </w:r>
      <w:r>
        <w:rPr>
          <w:b w:val="false"/>
          <w:bCs w:val="false"/>
          <w:i w:val="false"/>
          <w:iCs w:val="false"/>
          <w:color w:val="222629"/>
          <w:sz w:val="20"/>
          <w:szCs w:val="20"/>
        </w:rPr>
        <w:t xml:space="preserve">CNS-R34 is therefore a hard dependency on the infrastructure stage and cannot be deferred to the build stage.</w:t>
      </w:r>
    </w:p>
    <w:p>
      <w:pPr>
        <w:pStyle w:val="Heading2"/>
        <w:keepNext/>
        <w:keepLines/>
        <w:pageBreakBefore/>
        <w:spacing w:after="120" w:before="0"/>
      </w:pPr>
      <w:r>
        <w:rPr>
          <w:b/>
          <w:bCs/>
          <w:color w:val="11304E"/>
          <w:sz w:val="24"/>
          <w:szCs w:val="24"/>
        </w:rPr>
        <w:t xml:space="preserve">11.  Failure behaviour</w:t>
      </w:r>
    </w:p>
    <w:p>
      <w:pPr>
        <w:spacing w:after="120" w:before="0" w:line="276"/>
        <w:jc w:val="left"/>
      </w:pPr>
      <w:r>
        <w:rPr>
          <w:b w:val="false"/>
          <w:bCs w:val="false"/>
          <w:i w:val="false"/>
          <w:iCs w:val="false"/>
          <w:color w:val="222629"/>
          <w:sz w:val="20"/>
          <w:szCs w:val="20"/>
        </w:rPr>
        <w:t xml:space="preserve">Every rule above has a failure path. What the actor experiences is specified, because a control that produces an unexplained error trains staff to work around it.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2313"/>
        <w:gridCol w:w="3277"/>
        <w:gridCol w:w="212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staff are told</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on the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Required consent absent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CONSENT_REQUIRED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for [named event] is needed before this step", with an action to obtain it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at that step</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expired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CONSENT_EXPIRED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given on [date] has expired. Re-confirm with the customer."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 re-consent path is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withdrawn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JOURNEY_HALTED_CONSENT_WITHDRAWN</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withdrew consent on [date]. This journey is closed."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Halted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 mismatch on insurer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CONSENT_SCOPE_MISMATCH</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covers [insurer A]. Capture consent for [insurer B]."</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for that insurer only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identity mismatch</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CONSENT_SUBJECT_MISMATCH</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generic failure; an incident is raised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Blocked — treated as a security event</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not yet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CONSENT_OTP_NOT_VERIFIED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"Waiting for the customer to confirm the code sent to their mobile."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expired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OTP_EXPIRED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expired. Send a new one."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attempts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OTP_ATTEMPTS_EXCEEDED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incorrect attempts. Send a new code."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could not be written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CONSENT_EVIDENCE_WRITE_FAILED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"Could not record consent. Do not proceed."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Fails closed — the business step does not succeed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4530"/>
        <w:gridCol w:w="3662"/>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CNS-R37</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capture MUST fail closed. If the evidence cannot be written, the business action MUST NOT succeed.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Inject a failure in the consent store; the calling business action returns an error and no downstream call is made.</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CNS-R38</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OBL-DP-07</w:t>
            </w:r>
            <w:r>
              <w:rPr>
                <w:b w:val="false"/>
                <w:bCs w:val="false"/>
                <w:i w:val="false"/>
                <w:iCs w:val="false"/>
                <w:color w:val="0F6E6E"/>
                <w:sz w:val="15"/>
                <w:szCs w:val="15"/>
              </w:rPr>
              <w:br/>
              <w:t xml:space="preserve">OBL-DP-08</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customer-identity mismatch MUST raise a security event, not merely a business error.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the condition; a security event is emitted carrying the actor, the journey and both customer identifiers, masked as CNS-R20 requires.</w:t>
            </w:r>
          </w:p>
        </w:tc>
      </w:tr>
    </w:tbl>
    <w:p>
      <w:pPr>
        <w:pStyle w:val="Heading2"/>
        <w:keepNext/>
        <w:keepLines/>
        <w:spacing w:after="120" w:before="300"/>
      </w:pPr>
      <w:r>
        <w:rPr>
          <w:b/>
          <w:bCs/>
          <w:color w:val="11304E"/>
          <w:sz w:val="24"/>
          <w:szCs w:val="24"/>
        </w:rPr>
        <w:t xml:space="preserve">12.  Traceability</w:t>
      </w:r>
    </w:p>
    <w:p>
      <w:pPr>
        <w:spacing w:after="120" w:before="0" w:line="276"/>
        <w:jc w:val="left"/>
      </w:pPr>
      <w:r>
        <w:rPr>
          <w:b w:val="false"/>
          <w:bCs w:val="false"/>
          <w:i w:val="false"/>
          <w:iCs w:val="false"/>
          <w:color w:val="222629"/>
          <w:sz w:val="20"/>
          <w:szCs w:val="20"/>
        </w:rPr>
        <w:t xml:space="preserve">Which obligation each group of rules serves, and where the control will live. The obligation codes are defined in Appendix A; every individual rule also prints its own codes beneath its identifier.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3181"/>
        <w:gridCol w:w="2602"/>
        <w:gridCol w:w="2409"/>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Obligations served</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the control lives</w:t>
            </w:r>
          </w:p>
        </w:tc>
        <w:tc>
          <w:tcPr>
            <w:tcW w:type="dxa" w:w="240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R04</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OBL-DP-01, OBL-DP-02, OBL-INS-04,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 record store</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CNS-R05 – R07</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OBL-DP-03, OBL-INS-04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orchestration, screens</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CNS-R08 – R09</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 R15</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OBL-INS-08, OBL-INS-09, OBL-RBI-05</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notification service, screens</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OBL-DP-07, OBL-DP-09,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Database privileges, logging framework</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 R26</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OBL-DP-06, OBL-DP-08</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journey orchestration</w:t>
            </w:r>
          </w:p>
        </w:tc>
        <w:tc>
          <w:tcPr>
            <w:tcW w:type="dxa" w:w="240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OBL-DP-04, OBL-DP-06, OBL-INS-05, OBL-INS-10</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screens, notification service, operations</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OBL-DP-06, OBL-INS-05, OBL-REC-01, OBL-RBI-04, OBL-INT-01</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operations runbook</w:t>
            </w:r>
          </w:p>
        </w:tc>
        <w:tc>
          <w:tcPr>
            <w:tcW w:type="dxa" w:w="240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build, before any customer record exists</w:t>
            </w:r>
          </w:p>
        </w:tc>
      </w:tr>
      <w:tr>
        <w:trPr>
          <w:cantSplit/>
        </w:trPr>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CNS-R37 – R38</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OBL-DP-02, OBL-DP-07, OBL-DP-08, OBL-INS-05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security monitoring</w:t>
            </w:r>
          </w:p>
        </w:tc>
        <w:tc>
          <w:tcPr>
            <w:tcW w:type="dxa" w:w="240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What this table cannot yet tell you</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It maps rules to obligations Product has identified. It does not prove those obligations apply, because no instrument in Appendix A has been verified and no applicability determination has been made for this entity in its distribution capacity. Until Compliance completes Appendix A, this table shows intent and coverage, not compliance.</w:t>
      </w:r>
    </w:p>
    <w:p>
      <w:pPr>
        <w:pStyle w:val="Heading2"/>
        <w:keepNext/>
        <w:keepLines/>
        <w:spacing w:after="120" w:before="300"/>
      </w:pPr>
      <w:r>
        <w:rPr>
          <w:b/>
          <w:bCs/>
          <w:color w:val="11304E"/>
          <w:sz w:val="24"/>
          <w:szCs w:val="24"/>
        </w:rPr>
        <w:t xml:space="preserve">13.  What this pack does not decide</w:t>
      </w:r>
    </w:p>
    <w:p>
      <w:pPr>
        <w:spacing w:after="120" w:before="0" w:line="276"/>
        <w:jc w:val="left"/>
      </w:pPr>
      <w:r>
        <w:rPr>
          <w:b w:val="false"/>
          <w:bCs w:val="false"/>
          <w:i w:val="false"/>
          <w:iCs w:val="false"/>
          <w:color w:val="222629"/>
          <w:sz w:val="20"/>
          <w:szCs w:val="20"/>
        </w:rPr>
        <w:t xml:space="preserve">Named openly, because a rule pack that pretends to have settled an open regulatory question is worse than one that flags it. These are the consent items carried into Volume 1, §10, where Product’s recommended position on each is stated.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6072"/>
        <w:gridCol w:w="2313"/>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607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data-processing and solicitation consent may share one acknowledgement action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each statement — this pack defines structure and fields; the legal text is Compliance-authored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90-day and 30-day windows are acceptable or must be shorter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withdrawal after issuance creates an insurer-side obligation on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Bancassurance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notified before go-live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Consent Service. All five are wording, window or interoperability questions over a record structure and a control set that do not change with the answer. That is the point of specifying structure before text.</w:t>
      </w:r>
    </w:p>
    <w:p>
      <w:pPr>
        <w:pStyle w:val="Heading1"/>
        <w:keepNext/>
        <w:keepLines/>
        <w:pageBreakBefore/>
        <w:pBdr>
          <w:bottom w:val="single" w:color="0F6E6E" w:sz="8" w:space="6"/>
        </w:pBdr>
        <w:spacing w:after="160" w:before="0"/>
      </w:pPr>
      <w:r>
        <w:rPr>
          <w:b/>
          <w:bCs/>
          <w:color w:val="11304E"/>
          <w:sz w:val="30"/>
          <w:szCs w:val="30"/>
        </w:rPr>
        <w:t xml:space="preserve">Appendix A — Regulatory register</w:t>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Read this before reading the register</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instrument named in this register is Product’s identification of the likely source. None has been verified by Compliance or Legal, no provision pointer has been checked against the text in force, and no applicability determination has been made for this entity in its distribution capacity. Nothing here may be relied on as a citation until Compliance completes the status column.</w:t>
      </w:r>
    </w:p>
    <w:p>
      <w:pPr>
        <w:spacing w:after="140"/>
      </w:pPr>
      <w:r>
        <w:t xml:space="preserve"/>
      </w:r>
    </w:p>
    <w:p>
      <w:pPr>
        <w:spacing w:after="120" w:before="0" w:line="276"/>
        <w:jc w:val="left"/>
      </w:pPr>
      <w:r>
        <w:rPr>
          <w:b w:val="false"/>
          <w:bCs w:val="false"/>
          <w:i w:val="false"/>
          <w:iCs w:val="false"/>
          <w:color w:val="222629"/>
          <w:sz w:val="20"/>
          <w:szCs w:val="20"/>
        </w:rPr>
        <w:t xml:space="preserve">Each rule in this submission carries one or more of the codes below, printed beneath the rule identifier. The code says which obligation the rule is there to serve. Where a rule carries no code, no external obligation is claimed for it and it is Product design.</w:t>
      </w:r>
    </w:p>
    <w:p>
      <w:pPr>
        <w:spacing w:after="60"/>
      </w:pPr>
      <w:r>
        <w:t xml:space="preserve"/>
      </w:r>
    </w:p>
    <w:p>
      <w:pPr>
        <w:pStyle w:val="Heading2"/>
        <w:keepNext/>
        <w:keepLines/>
        <w:spacing w:after="100" w:before="220"/>
      </w:pPr>
      <w:r>
        <w:rPr>
          <w:b/>
          <w:bCs/>
          <w:color w:val="0F6E6E"/>
          <w:sz w:val="21"/>
          <w:szCs w:val="21"/>
        </w:rPr>
        <w:t xml:space="preserve">Data protection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an itemised notice describing the personal data and the purpose must be given before, or at the time of, seeking consent.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provision (understood to be s.5). Provision and current amendment status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consent: free, specific, informed, unconditional and unambiguous, given by a clear affirmative action, and limited to the data necessary for the stated purpose.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provision (understood to be s.6(1)).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Form of the request: clear and plain language, available in English or a language in the Eighth Schedule, with contact details of a person able to answer.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s.6(3).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the customer may withdraw consent at any time, with ease comparable to giving it, and processing must stop within a reasonable time.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s.6(4) to s.6(6).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Manager: consent may be given, managed, reviewed and withdrawn through a registered Consent Manager.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s.6(7) to s.6(9). Applicability depends on notification — see OPEN-CNS-05.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Purpose limitation and erasure: erase personal data once the purpose is no longer served, unless retention is required by law.</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s.8(7). Interaction with insurance record-preservation is a live question — see §6.5.</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Reasonable security safeguards to prevent a personal data breach.</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s.8(5).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Accuracy and completeness where the data is used to make a decision affecting the customer, or is disclosed to another data fiduciary.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s.8(3). Directly relevant: a suitability assessment is such a decision, and it is disclosed to an insurer.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Accountability: the data fiduciary remains responsible for compliance, including for processing carried out by a processor on its behalf.</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 Bears on the aggregator and cloud arrangements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effective grievance redressal mechanism must be published and operated.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s.8(10) with s.13. To be confirmed.</w:t>
            </w:r>
          </w:p>
        </w:tc>
      </w:tr>
    </w:tbl>
    <w:p>
      <w:pPr>
        <w:spacing w:after="160"/>
      </w:pPr>
      <w:r>
        <w:t xml:space="preserve"/>
      </w:r>
    </w:p>
    <w:p>
      <w:pPr>
        <w:pStyle w:val="Heading2"/>
        <w:keepNext/>
        <w:keepLines/>
        <w:spacing w:after="100" w:before="220"/>
      </w:pPr>
      <w:r>
        <w:rPr>
          <w:b/>
          <w:bCs/>
          <w:color w:val="0F6E6E"/>
          <w:sz w:val="21"/>
          <w:szCs w:val="21"/>
        </w:rPr>
        <w:t xml:space="preserve">Insurance distribution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 and the intermediary framework consolidated by IRDAI in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and servicing of insurance by a corporate agent may be carried out only within the registration held, and only by persons authorised under it.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registration actually held by this entity, and its current conditions, are unknown to Product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the IRDAI Master Circular on Protection of Policyholders’ Interests,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recommendation of a life insurance product must be preceded by a documented analysis of the prospect’s needs and circumstances, and the product recommended must be suitable to them.</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obligation the whole suitability pack exists to discharge. Instrument named at title level; the operative clause, and whether a prescribed assessment format applies, is OPEN-SUIT-01 and blocks the algorithm decision.</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Master Circular on Protection of Policyholders’ Interests,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analysis must be recorded, retained, and made available to the prospect; a prescribed prospect–product matrix may apply to life products.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prescribed matrix applies, and in what form, is unresolved. If it does, it replaces the arithmetic in Volume 3, §3 but not its structure.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of material product information, in a form the prospect can understand, before the sale is concluded.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specific content requirements for a caution disclosure are not established by Product — see OPEN-SUIT-03.</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read with the IRDAI (Maintenance of Insurance Records) framework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relating to a policy and its solicitation must be maintained, preserved for a defined period, and produced on request.</w:t>
            </w:r>
          </w:p>
        </w:tc>
        <w:tc>
          <w:tcPr>
            <w:tcW w:type="dxa" w:w="3085"/>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seven-year period used throughout these packs is carried from the programme baseline and Product has not established its source.</w:t>
            </w:r>
            <w:r>
              <w:rPr>
                <w:b w:val="false"/>
                <w:bCs w:val="false"/>
                <w:i w:val="false"/>
                <w:iCs w:val="false"/>
                <w:color w:val="222629"/>
                <w:sz w:val="18"/>
                <w:szCs w:val="18"/>
              </w:rPr>
              <w:t xml:space="preserve"> The trigger event — record date, policy termination or relationship end — is equally unestablished.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may be carried out only by a specified person holding a valid certificate, and the identity of that person must be attributable to the sale.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This is why the agent licence identifier is a mandatory field on the consent record.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proposed policy would replace an existing one, the consequences must be disclosed to the prospect before the sale.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prescribed content of a replacement disclosure is not established by Product.</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IRDAI conduct requirements for intermediaries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must not be mis-sold; a recommendation must not be driven by the distributor’s remuneration or commercial preference.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The no-override rule and the exclusion of commission from ranking are Product’s response to this obligation, not a quotation of it.</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framework for electronic solicitation and insurance self-network platforms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solicitation is conducted electronically, the process must identify the prospect, evidence their assent, and preserve the electronic record.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identified only in general terms; the applicable circular for an assisted branch journey on a bank-owned platform needs Compliance to determine.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grievance redressal mechanism with defined turnaround times must be available to the policyholder.</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Not yet reflected in these packs — raised as a gap in §6.5.</w:t>
            </w:r>
          </w:p>
        </w:tc>
      </w:tr>
    </w:tbl>
    <w:p>
      <w:pPr>
        <w:spacing w:after="160"/>
      </w:pPr>
      <w:r>
        <w:t xml:space="preserve"/>
      </w:r>
    </w:p>
    <w:p>
      <w:pPr>
        <w:pStyle w:val="Heading2"/>
        <w:keepNext/>
        <w:keepLines/>
        <w:spacing w:after="100" w:before="220"/>
      </w:pPr>
      <w:r>
        <w:rPr>
          <w:b/>
          <w:bCs/>
          <w:color w:val="0F6E6E"/>
          <w:sz w:val="21"/>
          <w:szCs w:val="21"/>
        </w:rPr>
        <w:t xml:space="preserve">Banking and outsourcing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Financial Services provided by Banks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undertaking insurance agency business must do so without linking it to any other facility, and without compelling the customer to buy.</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Bears directly on how a relationship-manager-assisted journey may be conducted in a branch.</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directions on outsourcing of financial services by banks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Responsibility for an outsourced activity remains with the bank, and customer data handled by a service provider remains the bank’s responsibility.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Relevant because insurer traffic passes through an integration intermediary — see §6.1.</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Outsourcing of Information Technology Services, 2023, and the RBI Master Direction on IT Governance, Risk, Controls and Assurance Practices,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Governance, control and assurance requirements over IT services, including those provided by third parties, and over the records they hold.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Instruments named. Applicability to this platform’s hosting and to the aggregator is for Compliance and Architecture jointly.</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circular on storage of payment system data (April 2018)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system data must be stored within India.</w:t>
            </w:r>
          </w:p>
        </w:tc>
        <w:tc>
          <w:tcPr>
            <w:tcW w:type="dxa" w:w="308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has cited this as the likely source of the residency requirement and is not confident it is the right one</w:t>
            </w:r>
            <w:r>
              <w:rPr>
                <w:b w:val="false"/>
                <w:bCs w:val="false"/>
                <w:i w:val="false"/>
                <w:iCs w:val="false"/>
                <w:color w:val="222629"/>
                <w:sz w:val="18"/>
                <w:szCs w:val="18"/>
              </w:rPr>
              <w:t xml:space="preserve">, because these packs concern insurance records rather than payment system data. Compliance should either confirm a different source or reclassify residency as internal policy.</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framework for customer protection in unauthorised electronic transactions, and RBI authentication requirements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Authentication of a customer-authorised transaction must be performed by the customer, and liability turns on whether it was.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source Product reasons from by analogy for the rule that staff cannot enter the customer’s one-time password. Product does not claim it applies directly to consent.</w:t>
            </w:r>
          </w:p>
        </w:tc>
      </w:tr>
    </w:tbl>
    <w:p>
      <w:pPr>
        <w:spacing w:after="160"/>
      </w:pPr>
      <w:r>
        <w:t xml:space="preserve"/>
      </w:r>
    </w:p>
    <w:p>
      <w:pPr>
        <w:pStyle w:val="Heading2"/>
        <w:keepNext/>
        <w:keepLines/>
        <w:spacing w:after="100" w:before="220"/>
      </w:pPr>
      <w:r>
        <w:rPr>
          <w:b/>
          <w:bCs/>
          <w:color w:val="0F6E6E"/>
          <w:sz w:val="21"/>
          <w:szCs w:val="21"/>
        </w:rPr>
        <w:t xml:space="preserve">Records and other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Money-Laundering (Maintenance of Records) Rules, 2005, as amended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of transactions and of customer identity must be maintained for the prescribed period.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Named because it is a candidate source for a retention period. Product notes the prescribed period here is commonly understood to be five years, which does not match the seven used in these packs —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Technology Act, 2000, and the rules made under it on reasonable security practices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Security practices and procedures for sensitive personal data, to the extent still operative alongside the 2023 Act.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and how far this remains operative after the 2023 Act is a question for Legal.</w:t>
            </w:r>
          </w:p>
        </w:tc>
      </w:tr>
    </w:tbl>
    <w:p>
      <w:pPr>
        <w:spacing w:after="160"/>
      </w:pPr>
      <w:r>
        <w:t xml:space="preserve"/>
      </w:r>
    </w:p>
    <w:p>
      <w:pPr>
        <w:pStyle w:val="Heading2"/>
        <w:keepNext/>
        <w:keepLines/>
        <w:spacing w:after="100" w:before="220"/>
      </w:pPr>
      <w:r>
        <w:rPr>
          <w:b/>
          <w:bCs/>
          <w:color w:val="0F6E6E"/>
          <w:sz w:val="21"/>
          <w:szCs w:val="21"/>
        </w:rPr>
        <w:t xml:space="preserve">Internal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OBL-INT-01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the programme’s own non-waivable control list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the programme has resolved that no authority within it may waive, whatever the external position turns out to be.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Binding internally by decision, not by law. Data residency and consent capture where legally required are both on this list.</w:t>
            </w:r>
          </w:p>
        </w:tc>
      </w:tr>
    </w:tbl>
    <w:p>
      <w:pPr>
        <w:pStyle w:val="Heading1"/>
        <w:keepNext/>
        <w:keepLines/>
        <w:pageBreakBefore/>
        <w:pBdr>
          <w:bottom w:val="single" w:color="0F6E6E" w:sz="8" w:space="6"/>
        </w:pBdr>
        <w:spacing w:after="160" w:before="0"/>
      </w:pPr>
      <w:r>
        <w:rPr>
          <w:b/>
          <w:bCs/>
          <w:color w:val="11304E"/>
          <w:sz w:val="30"/>
          <w:szCs w:val="30"/>
        </w:rPr>
        <w:t xml:space="preserve">Appendix B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2 of 3 — Consent Rule Pack · AI-drafted for Product and Compliance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2 — Consent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2, Consent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2026-08-24T06:08:10.873Z</dcterms:created>
  <dcterms:modified xsi:type="dcterms:W3CDTF">2026-08-24T06:08:10.873Z</dcterms:modified>
</cp:coreProperties>
</file>

<file path=docProps/custom.xml><?xml version="1.0" encoding="utf-8"?>
<Properties xmlns="http://schemas.openxmlformats.org/officeDocument/2006/custom-properties" xmlns:vt="http://schemas.openxmlformats.org/officeDocument/2006/docPropsVTypes"/>
</file>