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 Bank End-to-End Insurance Platform — Business Capability Map</w:t>
      </w:r>
    </w:p>
    <w:p>
      <w:pPr>
        <w:pStyle w:val="Subtitle"/>
      </w:pPr>
      <w:r>
        <w:t>Architecture pre-approval document</w:t>
      </w:r>
      <w:r>
        <w:t xml:space="preserve">  |  AU Bank End-to-End Insurance Platform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cantSplit/>
          <w:trHeight w:hRule="atLeast"/>
          <w:tblHeader w:val="true"/>
        </w:trPr>
        <w:tc>
          <w:tcPr>
            <w:tcW w:type="dxa" w:w="9360"/>
            <w:vAlign w:val="center"/>
            <w:tcBorders>
              <w:top w:val="single" w:sz="14" w:color="B33A3A"/>
              <w:left w:val="single" w:sz="14" w:color="B33A3A"/>
              <w:bottom w:val="single" w:sz="14" w:color="B33A3A"/>
              <w:right w:val="single" w:sz="14" w:color="B33A3A"/>
              <w:insideH w:val="single" w:sz="14" w:color="B33A3A"/>
              <w:insideV w:val="single" w:sz="14" w:color="B33A3A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CE4E4"/>
          </w:tcPr>
          <w:p>
            <w:pPr>
              <w:jc w:val="center"/>
            </w:pPr>
            <w:r>
              <w:rPr>
                <w:b/>
                <w:color w:val="B33A3A"/>
                <w:sz w:val="21"/>
              </w:rPr>
              <w:t>DRAFT FOR REVIEW - NOT APPROVED - NOT AUTHORISED FOR DEVELOPMENT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497"/>
        <w:gridCol w:w="3182"/>
        <w:gridCol w:w="1497"/>
        <w:gridCol w:w="3184"/>
      </w:tblGrid>
      <w:tr>
        <w:trPr>
          <w:cantSplit/>
          <w:trHeight w:hRule="atLeast"/>
          <w:tblHeader w:val="true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0.1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 August 2026</w:t>
            </w:r>
          </w:p>
        </w:tc>
      </w:tr>
      <w:tr>
        <w:trPr>
          <w:cantSplit/>
          <w:trHeight w:hRule="atLeast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Document owner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 Owner for business meaning; Principal Architect for solution alignment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Approval state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Identify the capabilities required by the platform and show where each capability belongs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Next action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Stakeholder review and recorded decision</w:t>
            </w:r>
          </w:p>
        </w:tc>
      </w:tr>
    </w:tbl>
    <w:p/>
    <w:p>
      <w:pPr>
        <w:pStyle w:val="Heading1"/>
      </w:pPr>
      <w:r>
        <w:t>1. Capability 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title="Business capability map" descr="Business capability map. Diagram prepared for stakeholder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capability_map_v0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i/>
          <w:color w:val="5B6573"/>
          <w:sz w:val="18"/>
        </w:rPr>
        <w:t>Figure: Business capability map</w:t>
      </w:r>
    </w:p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080"/>
        <w:gridCol w:w="2426"/>
        <w:gridCol w:w="2426"/>
        <w:gridCol w:w="2428"/>
      </w:tblGrid>
      <w:tr>
        <w:trPr>
          <w:cantSplit/>
          <w:trHeight w:hRule="atLeast"/>
          <w:tblHeader w:val="true"/>
        </w:trPr>
        <w:tc>
          <w:tcPr>
            <w:tcW w:type="dxa" w:w="208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 group</w:t>
            </w:r>
          </w:p>
        </w:tc>
        <w:tc>
          <w:tcPr>
            <w:tcW w:type="dxa" w:w="242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capabilities</w:t>
            </w:r>
          </w:p>
        </w:tc>
        <w:tc>
          <w:tcPr>
            <w:tcW w:type="dxa" w:w="242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Target solution area</w:t>
            </w:r>
          </w:p>
        </w:tc>
        <w:tc>
          <w:tcPr>
            <w:tcW w:type="dxa" w:w="2428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First release position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and relationship management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lookup, customer profile, lead creation, assignment, resumption, Relationship Manager workspace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Customer, Lead and Relationship Manager Workspace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lookup and assisted journey included; broader lead management later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Advice and customer protection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 analysis, suitability, consent, disclosures, evidence capture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Suitability and Consent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management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Insurer and product catalogue, eligibility, product restrictions, pricing inputs, product activation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Catalogue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One Term Life product from one insurer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Quotation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Quote request, partner routing, quote collection, comparison, expiry and re-quote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Quotation and Partner Integration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Proposal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Proposal capture, documents, validation, submission and status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Proposal and Underwriting Tracking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Underwriting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Requirements, medical or financial evidence status, insurer decision tracking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Proposal and Underwriting Tracking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Status tracking only; insurer keeps underwriting decision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Payment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Payment session, customer delivery, callback, uncertain-state handling and reconciliation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Payment and Reconciliation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Policy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Issuance confirmation, policy record, document access and sold-status decision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Policy and Issuance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Policy servicing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Endorsement, nominee change, cancellation, refund and service request tracking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Policy Servicing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Later release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Renewal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Renewal notice, quote, payment and confirmation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Renewal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Later release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Claims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Claim notification, document collection, insurer hand-off and status visibility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Claims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Later release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Journey control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End-to-end stage, resumption, failure handling and manual intervention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Journey Coordination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Partner management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Partner onboarding, product connection, service limits, credentials and support contacts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Partner Integration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One selected integration route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Identity and access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Workforce sign-in, customer confirmation, permissions, branch and insurer access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Identity and Access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Workforce access and customer confirmation 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Audit and compliance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Attributable evidence, consent history, suitability history, sales reconstruction and retention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Audit and Compliance Evidence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Included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Communications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One-time password, payment link, status messages and reminders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Communications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Transaction messages only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 queues, failed-journey recovery, reconciliation breaks and support actions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Operations Work Management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Minimum journey and payment exceptions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Reporting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Sales funnel, completion, failure points, insurer performance and compliance reporting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Reporting and Information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Pilot measures only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Administration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Products, rules, access, templates and reference information</w:t>
            </w:r>
          </w:p>
        </w:tc>
        <w:tc>
          <w:tcPr>
            <w:tcW w:type="dxa" w:w="24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Administration and Configuration</w:t>
            </w:r>
          </w:p>
        </w:tc>
        <w:tc>
          <w:tcPr>
            <w:tcW w:type="dxa" w:w="242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Controlled files for the first release; user interface later</w:t>
            </w:r>
          </w:p>
        </w:tc>
      </w:tr>
      <w:tr>
        <w:trPr>
          <w:cantSplit/>
          <w:trHeight w:hRule="atLeast"/>
        </w:trPr>
        <w:tc>
          <w:tcPr>
            <w:tcW w:type="dxa" w:w="208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Platform operation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Build, release, monitoring, alerting, backup, restore and incident response</w:t>
            </w:r>
          </w:p>
        </w:tc>
        <w:tc>
          <w:tcPr>
            <w:tcW w:type="dxa" w:w="24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Shared Platform Services</w:t>
            </w:r>
          </w:p>
        </w:tc>
        <w:tc>
          <w:tcPr>
            <w:tcW w:type="dxa" w:w="242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Required before production use</w:t>
            </w:r>
          </w:p>
        </w:tc>
      </w:tr>
    </w:tbl>
    <w:p>
      <w:pPr>
        <w:spacing w:after="0"/>
      </w:pPr>
    </w:p>
    <w:p>
      <w:pPr>
        <w:pStyle w:val="Heading1"/>
      </w:pPr>
      <w:r>
        <w:t>2. Capability ownership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3214"/>
        <w:gridCol w:w="2174"/>
        <w:gridCol w:w="3972"/>
      </w:tblGrid>
      <w:tr>
        <w:trPr>
          <w:cantSplit/>
          <w:trHeight w:hRule="atLeast"/>
          <w:tblHeader w:val="true"/>
        </w:trPr>
        <w:tc>
          <w:tcPr>
            <w:tcW w:type="dxa" w:w="3214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174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Business owner</w:t>
            </w:r>
          </w:p>
        </w:tc>
        <w:tc>
          <w:tcPr>
            <w:tcW w:type="dxa" w:w="397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Main collaborators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and lead management</w:t>
            </w:r>
          </w:p>
        </w:tc>
        <w:tc>
          <w:tcPr>
            <w:tcW w:type="dxa" w:w="217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and Sales</w:t>
            </w:r>
          </w:p>
        </w:tc>
        <w:tc>
          <w:tcPr>
            <w:tcW w:type="dxa" w:w="39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Operations, Architecture, Data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Suitability and consent</w:t>
            </w:r>
          </w:p>
        </w:tc>
        <w:tc>
          <w:tcPr>
            <w:tcW w:type="dxa" w:w="217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39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Compliance, Security, Architecture, Quality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catalogue and quotation</w:t>
            </w:r>
          </w:p>
        </w:tc>
        <w:tc>
          <w:tcPr>
            <w:tcW w:type="dxa" w:w="217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39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Architecture, Partner Management, Engineering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Proposal and underwriting tracking</w:t>
            </w:r>
          </w:p>
        </w:tc>
        <w:tc>
          <w:tcPr>
            <w:tcW w:type="dxa" w:w="217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39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Partner Insurer, Compliance, Operations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Payment and reconciliation</w:t>
            </w:r>
          </w:p>
        </w:tc>
        <w:tc>
          <w:tcPr>
            <w:tcW w:type="dxa" w:w="217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and Finance</w:t>
            </w:r>
          </w:p>
        </w:tc>
        <w:tc>
          <w:tcPr>
            <w:tcW w:type="dxa" w:w="39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Architecture, Security, Operations, Data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Policy and servicing</w:t>
            </w:r>
          </w:p>
        </w:tc>
        <w:tc>
          <w:tcPr>
            <w:tcW w:type="dxa" w:w="217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and Operations</w:t>
            </w:r>
          </w:p>
        </w:tc>
        <w:tc>
          <w:tcPr>
            <w:tcW w:type="dxa" w:w="39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Partner Insurer, Finance, Data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Identity and access</w:t>
            </w:r>
          </w:p>
        </w:tc>
        <w:tc>
          <w:tcPr>
            <w:tcW w:type="dxa" w:w="217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 and Technology</w:t>
            </w:r>
          </w:p>
        </w:tc>
        <w:tc>
          <w:tcPr>
            <w:tcW w:type="dxa" w:w="39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Product, Architecture, Operations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Audit and compliance evidence</w:t>
            </w:r>
          </w:p>
        </w:tc>
        <w:tc>
          <w:tcPr>
            <w:tcW w:type="dxa" w:w="217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Compliance and Risk</w:t>
            </w:r>
          </w:p>
        </w:tc>
        <w:tc>
          <w:tcPr>
            <w:tcW w:type="dxa" w:w="39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Security, Architecture, Data, Quality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Platform operation</w:t>
            </w:r>
          </w:p>
        </w:tc>
        <w:tc>
          <w:tcPr>
            <w:tcW w:type="dxa" w:w="217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Technology Operations</w:t>
            </w:r>
          </w:p>
        </w:tc>
        <w:tc>
          <w:tcPr>
            <w:tcW w:type="dxa" w:w="39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Architecture, Engineering, Security, Data</w:t>
            </w:r>
          </w:p>
        </w:tc>
      </w:tr>
      <w:tr>
        <w:trPr>
          <w:cantSplit/>
          <w:trHeight w:hRule="atLeast"/>
        </w:trPr>
        <w:tc>
          <w:tcPr>
            <w:tcW w:type="dxa" w:w="321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Reporting and outcomes</w:t>
            </w:r>
          </w:p>
        </w:tc>
        <w:tc>
          <w:tcPr>
            <w:tcW w:type="dxa" w:w="2174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39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Finance, Operations, Data, Delivery</w:t>
            </w:r>
          </w:p>
        </w:tc>
      </w:tr>
    </w:tbl>
    <w:p>
      <w:pPr>
        <w:spacing w:after="0"/>
      </w:pPr>
    </w:p>
    <w:p>
      <w:pPr>
        <w:pStyle w:val="Heading1"/>
      </w:pPr>
      <w:r>
        <w:t>3. Alignment rules</w:t>
      </w:r>
    </w:p>
    <w:p>
      <w:pPr>
        <w:pStyle w:val="ListBullet"/>
        <w:spacing w:after="60"/>
        <w:ind w:left="360" w:hanging="230"/>
      </w:pPr>
      <w:r>
        <w:t>One business capability may use more than one software component.</w:t>
      </w:r>
    </w:p>
    <w:p>
      <w:pPr>
        <w:pStyle w:val="ListBullet"/>
        <w:spacing w:after="60"/>
        <w:ind w:left="360" w:hanging="230"/>
      </w:pPr>
      <w:r>
        <w:t>One software component may support closely related capabilities.</w:t>
      </w:r>
    </w:p>
    <w:p>
      <w:pPr>
        <w:pStyle w:val="ListBullet"/>
        <w:spacing w:after="60"/>
        <w:ind w:left="360" w:hanging="230"/>
      </w:pPr>
      <w:r>
        <w:t>A capability name does not automatically justify a separately deployed service.</w:t>
      </w:r>
    </w:p>
    <w:p>
      <w:pPr>
        <w:pStyle w:val="ListBullet"/>
        <w:spacing w:after="60"/>
        <w:ind w:left="360" w:hanging="230"/>
      </w:pPr>
      <w:r>
        <w:t>The official owner of a business rule also owns changes to its meaning.</w:t>
      </w:r>
    </w:p>
    <w:p>
      <w:pPr>
        <w:pStyle w:val="ListBullet"/>
        <w:spacing w:after="60"/>
        <w:ind w:left="360" w:hanging="230"/>
      </w:pPr>
      <w:r>
        <w:t>Technical ownership does not replace business ownership.</w:t>
      </w:r>
    </w:p>
    <w:p>
      <w:pPr>
        <w:pStyle w:val="ListBullet"/>
        <w:spacing w:after="60"/>
        <w:ind w:left="360" w:hanging="230"/>
      </w:pPr>
      <w:r>
        <w:t>Shared reporting may read approved copies of data but does not become the owner of that data.</w:t>
      </w:r>
    </w:p>
    <w:p>
      <w:pPr>
        <w:pStyle w:val="ListBullet"/>
        <w:spacing w:after="60"/>
        <w:ind w:left="360" w:hanging="230"/>
      </w:pPr>
      <w:r>
        <w:t>A partner may supply facts and decisions within its role, but it does not own the bank's journey.</w:t>
      </w:r>
    </w:p>
    <w:p>
      <w:pPr>
        <w:pStyle w:val="Heading1"/>
      </w:pPr>
      <w:r>
        <w:t>4. Capability gaps requiring stakeholder decisions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3331"/>
        <w:gridCol w:w="3331"/>
        <w:gridCol w:w="2698"/>
      </w:tblGrid>
      <w:tr>
        <w:trPr>
          <w:cantSplit/>
          <w:trHeight w:hRule="atLeast"/>
          <w:tblHeader w:val="true"/>
        </w:trPr>
        <w:tc>
          <w:tcPr>
            <w:tcW w:type="dxa" w:w="3331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3331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Decision needed</w:t>
            </w:r>
          </w:p>
        </w:tc>
        <w:tc>
          <w:tcPr>
            <w:tcW w:type="dxa" w:w="2698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Decision owner</w:t>
            </w:r>
          </w:p>
        </w:tc>
      </w:tr>
      <w:tr>
        <w:trPr>
          <w:cantSplit/>
          <w:trHeight w:hRule="atLeast"/>
        </w:trPr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sign-in for self-service journeys</w:t>
            </w:r>
          </w:p>
        </w:tc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Choose the customer identity approach before self-service starts</w:t>
            </w:r>
          </w:p>
        </w:tc>
        <w:tc>
          <w:tcPr>
            <w:tcW w:type="dxa" w:w="269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Product, Security and Architecture</w:t>
            </w:r>
          </w:p>
        </w:tc>
      </w:tr>
      <w:tr>
        <w:trPr>
          <w:cantSplit/>
          <w:trHeight w:hRule="atLeast"/>
        </w:trPr>
        <w:tc>
          <w:tcPr>
            <w:tcW w:type="dxa" w:w="333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Suitability rules</w:t>
            </w:r>
          </w:p>
        </w:tc>
        <w:tc>
          <w:tcPr>
            <w:tcW w:type="dxa" w:w="333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inputs, outcomes, validity and evidence</w:t>
            </w:r>
          </w:p>
        </w:tc>
        <w:tc>
          <w:tcPr>
            <w:tcW w:type="dxa" w:w="269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and Compliance</w:t>
            </w:r>
          </w:p>
        </w:tc>
      </w:tr>
      <w:tr>
        <w:trPr>
          <w:cantSplit/>
          <w:trHeight w:hRule="atLeast"/>
        </w:trPr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Consent rules</w:t>
            </w:r>
          </w:p>
        </w:tc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wording, customer confirmation, validity and withdrawal</w:t>
            </w:r>
          </w:p>
        </w:tc>
        <w:tc>
          <w:tcPr>
            <w:tcW w:type="dxa" w:w="269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and Compliance</w:t>
            </w:r>
          </w:p>
        </w:tc>
      </w:tr>
      <w:tr>
        <w:trPr>
          <w:cantSplit/>
          <w:trHeight w:hRule="atLeast"/>
        </w:trPr>
        <w:tc>
          <w:tcPr>
            <w:tcW w:type="dxa" w:w="333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matrix</w:t>
            </w:r>
          </w:p>
        </w:tc>
        <w:tc>
          <w:tcPr>
            <w:tcW w:type="dxa" w:w="333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the first insurer, product and eligibility boundary</w:t>
            </w:r>
          </w:p>
        </w:tc>
        <w:tc>
          <w:tcPr>
            <w:tcW w:type="dxa" w:w="269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</w:t>
            </w:r>
          </w:p>
        </w:tc>
      </w:tr>
      <w:tr>
        <w:trPr>
          <w:cantSplit/>
          <w:trHeight w:hRule="atLeast"/>
        </w:trPr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Payment reconciliation</w:t>
            </w:r>
          </w:p>
        </w:tc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settlement timing, break handling and Finance ownership</w:t>
            </w:r>
          </w:p>
        </w:tc>
        <w:tc>
          <w:tcPr>
            <w:tcW w:type="dxa" w:w="269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Finance and Product</w:t>
            </w:r>
          </w:p>
        </w:tc>
      </w:tr>
      <w:tr>
        <w:trPr>
          <w:cantSplit/>
          <w:trHeight w:hRule="atLeast"/>
        </w:trPr>
        <w:tc>
          <w:tcPr>
            <w:tcW w:type="dxa" w:w="333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Retention</w:t>
            </w:r>
          </w:p>
        </w:tc>
        <w:tc>
          <w:tcPr>
            <w:tcW w:type="dxa" w:w="333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retention and disposal periods by data class</w:t>
            </w:r>
          </w:p>
        </w:tc>
        <w:tc>
          <w:tcPr>
            <w:tcW w:type="dxa" w:w="269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Compliance, Data and Security</w:t>
            </w:r>
          </w:p>
        </w:tc>
      </w:tr>
      <w:tr>
        <w:trPr>
          <w:cantSplit/>
          <w:trHeight w:hRule="atLeast"/>
        </w:trPr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Claims boundary</w:t>
            </w:r>
          </w:p>
        </w:tc>
        <w:tc>
          <w:tcPr>
            <w:tcW w:type="dxa" w:w="333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whether the platform tracks, starts or manages claims</w:t>
            </w:r>
          </w:p>
        </w:tc>
        <w:tc>
          <w:tcPr>
            <w:tcW w:type="dxa" w:w="269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cantSplit/>
          <w:trHeight w:hRule="atLeast"/>
          <w:tblHeader w:val="true"/>
        </w:trPr>
        <w:tc>
          <w:tcPr>
            <w:tcW w:type="dxa" w:w="9360"/>
            <w:vAlign w:val="center"/>
            <w:tcBorders>
              <w:top w:val="single" w:sz="10" w:color="B33A3A"/>
              <w:left w:val="single" w:sz="10" w:color="B33A3A"/>
              <w:bottom w:val="single" w:sz="10" w:color="B33A3A"/>
              <w:right w:val="single" w:sz="10" w:color="B33A3A"/>
              <w:insideH w:val="single" w:sz="10" w:color="B33A3A"/>
              <w:insideV w:val="single" w:sz="10" w:color="B33A3A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CE4E4"/>
          </w:tcPr>
          <w:p>
            <w:r>
              <w:rPr>
                <w:b/>
                <w:color w:val="B33A3A"/>
                <w:sz w:val="19"/>
              </w:rPr>
              <w:t>Approval control: review comments and recommendations do not constitute approval. The decision remains Pending until the named human stakeholder records a decision, date and signature.</w:t>
            </w:r>
          </w:p>
        </w:tc>
      </w:tr>
    </w:tbl>
    <w:p/>
    <w:p>
      <w:pPr>
        <w:pStyle w:val="Heading1"/>
      </w:pPr>
      <w:r>
        <w:t>5. Review and sign-off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970"/>
        <w:gridCol w:w="3448"/>
        <w:gridCol w:w="985"/>
        <w:gridCol w:w="985"/>
        <w:gridCol w:w="985"/>
        <w:gridCol w:w="987"/>
      </w:tblGrid>
      <w:tr>
        <w:trPr>
          <w:cantSplit/>
          <w:trHeight w:hRule="atLeast"/>
          <w:tblHeader w:val="true"/>
        </w:trPr>
        <w:tc>
          <w:tcPr>
            <w:tcW w:type="dxa" w:w="197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3448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Review responsibility</w:t>
            </w:r>
          </w:p>
        </w:tc>
        <w:tc>
          <w:tcPr>
            <w:tcW w:type="dxa" w:w="98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98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98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98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Comments</w:t>
            </w:r>
          </w:p>
        </w:tc>
      </w:tr>
      <w:tr>
        <w:trPr>
          <w:cantSplit/>
          <w:trHeight w:hRule="atLeast"/>
        </w:trPr>
        <w:tc>
          <w:tcPr>
            <w:tcW w:type="dxa" w:w="197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Owner</w:t>
            </w:r>
          </w:p>
        </w:tc>
        <w:tc>
          <w:tcPr>
            <w:tcW w:type="dxa" w:w="344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Capability completeness, priority and release scope</w:t>
            </w:r>
          </w:p>
        </w:tc>
        <w:tc>
          <w:tcPr>
            <w:tcW w:type="dxa" w:w="985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7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Business Analysis Lead</w:t>
            </w:r>
          </w:p>
        </w:tc>
        <w:tc>
          <w:tcPr>
            <w:tcW w:type="dxa" w:w="344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Process, rule and information completeness</w:t>
            </w:r>
          </w:p>
        </w:tc>
        <w:tc>
          <w:tcPr>
            <w:tcW w:type="dxa" w:w="985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7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Principal Architect</w:t>
            </w:r>
          </w:p>
        </w:tc>
        <w:tc>
          <w:tcPr>
            <w:tcW w:type="dxa" w:w="344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Alignment to target solution</w:t>
            </w:r>
          </w:p>
        </w:tc>
        <w:tc>
          <w:tcPr>
            <w:tcW w:type="dxa" w:w="985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7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Chief Technology Officer</w:t>
            </w:r>
          </w:p>
        </w:tc>
        <w:tc>
          <w:tcPr>
            <w:tcW w:type="dxa" w:w="344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Strategic technology alignment</w:t>
            </w:r>
          </w:p>
        </w:tc>
        <w:tc>
          <w:tcPr>
            <w:tcW w:type="dxa" w:w="985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7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Delivery Head</w:t>
            </w:r>
          </w:p>
        </w:tc>
        <w:tc>
          <w:tcPr>
            <w:tcW w:type="dxa" w:w="344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Delivery sequence and dependency feasibility</w:t>
            </w:r>
          </w:p>
        </w:tc>
        <w:tc>
          <w:tcPr>
            <w:tcW w:type="dxa" w:w="985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Version history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337"/>
        <w:gridCol w:w="2080"/>
        <w:gridCol w:w="3862"/>
        <w:gridCol w:w="2081"/>
      </w:tblGrid>
      <w:tr>
        <w:trPr>
          <w:cantSplit/>
          <w:trHeight w:hRule="atLeast"/>
          <w:tblHeader w:val="true"/>
        </w:trPr>
        <w:tc>
          <w:tcPr>
            <w:tcW w:type="dxa" w:w="133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8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86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081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Approval state</w:t>
            </w:r>
          </w:p>
        </w:tc>
      </w:tr>
      <w:tr>
        <w:trPr>
          <w:cantSplit/>
          <w:trHeight w:hRule="atLeast"/>
        </w:trPr>
        <w:tc>
          <w:tcPr>
            <w:tcW w:type="dxa" w:w="133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17 August 2026</w:t>
            </w:r>
          </w:p>
        </w:tc>
        <w:tc>
          <w:tcPr>
            <w:tcW w:type="dxa" w:w="386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Initial pre-approval draft</w:t>
            </w:r>
          </w:p>
        </w:tc>
        <w:tc>
          <w:tcPr>
            <w:tcW w:type="dxa" w:w="20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approved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B33A3A"/>
        <w:sz w:val="16"/>
      </w:rPr>
      <w:t xml:space="preserve">DRAFT FOR REVIEW - VERSION 0.1 - NOT APPROVED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fill="FFFFFF"/>
      <w:pBdr>
        <w:bottom w:val="single" w:sz="14" w:color="17365D"/>
      </w:pBdr>
    </w:pPr>
    <w:r>
      <w:rPr>
        <w:rFonts w:ascii="Calibri" w:hAnsi="Calibri"/>
        <w:b/>
        <w:color w:val="5B6573"/>
        <w:sz w:val="16"/>
      </w:rPr>
      <w:t>AU BANK INSURANCE PLATFORM  |  ARCHITECTURE PRE-APPROVAL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 Bank End-to-End Insurance Platform — Business Capability Map</dc:title>
  <dc:subject>Architecture pre-approval document</dc:subject>
  <dc:creator>Mahesh, Principal Insurance Platform Architect</dc:creator>
  <cp:keywords>architecture, insurance platform, pre-approval, version 0.1</cp:keywords>
  <dc:description>Draft for stakeholder review. Approval remains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