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 Bank End-to-End Insurance Platform — Technical Risks, Dependencies and Assumptions</w:t>
      </w:r>
    </w:p>
    <w:p>
      <w:pPr>
        <w:pStyle w:val="Subtitle"/>
      </w:pPr>
      <w:r>
        <w:t>Architecture pre-approval document</w:t>
      </w:r>
      <w:r>
        <w:t xml:space="preserve">  |  AU Bank End-to-End Insurance Platform</w:t>
      </w:r>
    </w:p>
    <w:tbl>
      <w:tblPr>
        <w:tblW w:type="dxa" w:w="13200"/>
        <w:jc w:val="center"/>
        <w:tblLayout w:type="fixed"/>
        <w:tblLook w:firstColumn="1" w:firstRow="1" w:lastColumn="0" w:lastRow="0" w:noHBand="0" w:noVBand="1" w:val="04A0"/>
        <w:tblInd w:w="100" w:type="dxa"/>
      </w:tblPr>
      <w:tblGrid>
        <w:gridCol w:w="13200"/>
      </w:tblGrid>
      <w:tr>
        <w:trPr>
          <w:cantSplit/>
          <w:trHeight w:hRule="atLeast"/>
          <w:tblHeader w:val="true"/>
        </w:trPr>
        <w:tc>
          <w:tcPr>
            <w:tcW w:type="dxa" w:w="13200"/>
            <w:vAlign w:val="center"/>
            <w:tcBorders>
              <w:top w:val="single" w:sz="14" w:color="B33A3A"/>
              <w:left w:val="single" w:sz="14" w:color="B33A3A"/>
              <w:bottom w:val="single" w:sz="14" w:color="B33A3A"/>
              <w:right w:val="single" w:sz="14" w:color="B33A3A"/>
              <w:insideH w:val="single" w:sz="14" w:color="B33A3A"/>
              <w:insideV w:val="single" w:sz="14" w:color="B33A3A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CE4E4"/>
          </w:tcPr>
          <w:p>
            <w:pPr>
              <w:jc w:val="center"/>
            </w:pPr>
            <w:r>
              <w:rPr>
                <w:b/>
                <w:color w:val="B33A3A"/>
                <w:sz w:val="21"/>
              </w:rPr>
              <w:t>DRAFT FOR REVIEW - NOT APPROVED - NOT AUTHORISED FOR DEVELOPMENT</w:t>
            </w:r>
          </w:p>
        </w:tc>
      </w:tr>
    </w:tbl>
    <w:p/>
    <w:tbl>
      <w:tblPr>
        <w:tblW w:type="dxa" w:w="13200"/>
        <w:jc w:val="center"/>
        <w:tblLayout w:type="fixed"/>
        <w:tblLook w:firstColumn="1" w:firstRow="1" w:lastColumn="0" w:lastRow="0" w:noHBand="0" w:noVBand="1" w:val="04A0"/>
        <w:tblInd w:w="100" w:type="dxa"/>
      </w:tblPr>
      <w:tblGrid>
        <w:gridCol w:w="2112"/>
        <w:gridCol w:w="4488"/>
        <w:gridCol w:w="2112"/>
        <w:gridCol w:w="4488"/>
      </w:tblGrid>
      <w:tr>
        <w:trPr>
          <w:cantSplit/>
          <w:trHeight w:hRule="atLeast"/>
          <w:tblHeader w:val="true"/>
        </w:trPr>
        <w:tc>
          <w:tcPr>
            <w:tcW w:type="dxa" w:w="2112"/>
            <w:shd w:fill="D9EAF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</w:rPr>
              <w:t>Version</w:t>
            </w:r>
          </w:p>
        </w:tc>
        <w:tc>
          <w:tcPr>
            <w:tcW w:type="dxa" w:w="4488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0.1</w:t>
            </w:r>
          </w:p>
        </w:tc>
        <w:tc>
          <w:tcPr>
            <w:tcW w:type="dxa" w:w="2112"/>
            <w:shd w:fill="D9EAF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</w:rPr>
              <w:t>Date</w:t>
            </w:r>
          </w:p>
        </w:tc>
        <w:tc>
          <w:tcPr>
            <w:tcW w:type="dxa" w:w="4488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17 August 2026</w:t>
            </w:r>
          </w:p>
        </w:tc>
      </w:tr>
      <w:tr>
        <w:trPr>
          <w:cantSplit/>
          <w:trHeight w:hRule="atLeast"/>
        </w:trPr>
        <w:tc>
          <w:tcPr>
            <w:tcW w:type="dxa" w:w="2112"/>
            <w:shd w:fill="D9EAF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</w:rPr>
              <w:t>Document owner</w:t>
            </w:r>
          </w:p>
        </w:tc>
        <w:tc>
          <w:tcPr>
            <w:tcW w:type="dxa" w:w="4488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Mahesh, Principal Insurance Platform Architect</w:t>
            </w:r>
          </w:p>
        </w:tc>
        <w:tc>
          <w:tcPr>
            <w:tcW w:type="dxa" w:w="2112"/>
            <w:shd w:fill="D9EAF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</w:rPr>
              <w:t>Approval state</w:t>
            </w:r>
          </w:p>
        </w:tc>
        <w:tc>
          <w:tcPr>
            <w:tcW w:type="dxa" w:w="4488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Pending</w:t>
            </w:r>
          </w:p>
        </w:tc>
      </w:tr>
      <w:tr>
        <w:trPr>
          <w:cantSplit/>
          <w:trHeight w:hRule="atLeast"/>
        </w:trPr>
        <w:tc>
          <w:tcPr>
            <w:tcW w:type="dxa" w:w="2112"/>
            <w:shd w:fill="D9EAF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</w:rPr>
              <w:t>Purpose</w:t>
            </w:r>
          </w:p>
        </w:tc>
        <w:tc>
          <w:tcPr>
            <w:tcW w:type="dxa" w:w="4488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Make architecture risks, dependencies, assumptions and mitigation actions explicit before development</w:t>
            </w:r>
          </w:p>
        </w:tc>
        <w:tc>
          <w:tcPr>
            <w:tcW w:type="dxa" w:w="2112"/>
            <w:shd w:fill="D9EAF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</w:rPr>
              <w:t>Next action</w:t>
            </w:r>
          </w:p>
        </w:tc>
        <w:tc>
          <w:tcPr>
            <w:tcW w:type="dxa" w:w="4488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Stakeholder review and recorded decision</w:t>
            </w:r>
          </w:p>
        </w:tc>
      </w:tr>
    </w:tbl>
    <w:p/>
    <w:p>
      <w:pPr>
        <w:pStyle w:val="Heading1"/>
      </w:pPr>
      <w:r>
        <w:t>1. Technical risks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321040" cy="4680585"/>
            <wp:docPr id="1" name="Picture 1" title="Initial architecture risk heatmap" descr="Initial architecture risk heatmap. Diagram prepared for stakeholder revie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risk_heatmap_v0.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21040" cy="4680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i/>
          <w:color w:val="5B6573"/>
          <w:sz w:val="18"/>
        </w:rPr>
        <w:t>Figure: Initial architecture risk heatmap</w:t>
      </w:r>
    </w:p>
    <w:p>
      <w:r>
        <w:br w:type="page"/>
      </w:r>
    </w:p>
    <w:tbl>
      <w:tblPr>
        <w:tblStyle w:val="TableGrid"/>
        <w:tblW w:type="dxa" w:w="13200"/>
        <w:jc w:val="center"/>
        <w:tblLayout w:type="fixed"/>
        <w:tblLook w:firstColumn="1" w:firstRow="1" w:lastColumn="0" w:lastRow="0" w:noHBand="0" w:noVBand="1" w:val="04A0"/>
        <w:tblInd w:w="100" w:type="dxa"/>
      </w:tblPr>
      <w:tblGrid>
        <w:gridCol w:w="920"/>
        <w:gridCol w:w="3223"/>
        <w:gridCol w:w="920"/>
        <w:gridCol w:w="920"/>
        <w:gridCol w:w="3223"/>
        <w:gridCol w:w="3069"/>
        <w:gridCol w:w="925"/>
      </w:tblGrid>
      <w:tr>
        <w:trPr>
          <w:cantSplit/>
          <w:trHeight w:hRule="atLeast"/>
          <w:tblHeader w:val="true"/>
        </w:trPr>
        <w:tc>
          <w:tcPr>
            <w:tcW w:type="dxa" w:w="920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ID</w:t>
            </w:r>
          </w:p>
        </w:tc>
        <w:tc>
          <w:tcPr>
            <w:tcW w:type="dxa" w:w="3223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Risk</w:t>
            </w:r>
          </w:p>
        </w:tc>
        <w:tc>
          <w:tcPr>
            <w:tcW w:type="dxa" w:w="920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Likelihood</w:t>
            </w:r>
          </w:p>
        </w:tc>
        <w:tc>
          <w:tcPr>
            <w:tcW w:type="dxa" w:w="920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Impact</w:t>
            </w:r>
          </w:p>
        </w:tc>
        <w:tc>
          <w:tcPr>
            <w:tcW w:type="dxa" w:w="3223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Mitigation action</w:t>
            </w:r>
          </w:p>
        </w:tc>
        <w:tc>
          <w:tcPr>
            <w:tcW w:type="dxa" w:w="3069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925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Status</w:t>
            </w:r>
          </w:p>
        </w:tc>
      </w:tr>
      <w:tr>
        <w:trPr>
          <w:cantSplit/>
          <w:trHeight w:hRule="atLeast"/>
        </w:trPr>
        <w:tc>
          <w:tcPr>
            <w:tcW w:type="dxa" w:w="92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R-01</w:t>
            </w:r>
          </w:p>
        </w:tc>
        <w:tc>
          <w:tcPr>
            <w:tcW w:type="dxa" w:w="3223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Customer identity for self-service is not agreed</w:t>
            </w:r>
          </w:p>
        </w:tc>
        <w:tc>
          <w:tcPr>
            <w:tcW w:type="dxa" w:w="92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High</w:t>
            </w:r>
          </w:p>
        </w:tc>
        <w:tc>
          <w:tcPr>
            <w:tcW w:type="dxa" w:w="92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High</w:t>
            </w:r>
          </w:p>
        </w:tc>
        <w:tc>
          <w:tcPr>
            <w:tcW w:type="dxa" w:w="3223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Keep first release assisted; approve the self-service identity approach before expansion</w:t>
            </w:r>
          </w:p>
        </w:tc>
        <w:tc>
          <w:tcPr>
            <w:tcW w:type="dxa" w:w="3069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Product, Security and Architecture</w:t>
            </w:r>
          </w:p>
        </w:tc>
        <w:tc>
          <w:tcPr>
            <w:tcW w:type="dxa" w:w="925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Open</w:t>
            </w:r>
          </w:p>
        </w:tc>
      </w:tr>
      <w:tr>
        <w:trPr>
          <w:cantSplit/>
          <w:trHeight w:hRule="atLeast"/>
        </w:trPr>
        <w:tc>
          <w:tcPr>
            <w:tcW w:type="dxa" w:w="920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R-02</w:t>
            </w:r>
          </w:p>
        </w:tc>
        <w:tc>
          <w:tcPr>
            <w:tcW w:type="dxa" w:w="3223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Consent or suitability rules remain unresolved</w:t>
            </w:r>
          </w:p>
        </w:tc>
        <w:tc>
          <w:tcPr>
            <w:tcW w:type="dxa" w:w="920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High</w:t>
            </w:r>
          </w:p>
        </w:tc>
        <w:tc>
          <w:tcPr>
            <w:tcW w:type="dxa" w:w="920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Critical</w:t>
            </w:r>
          </w:p>
        </w:tc>
        <w:tc>
          <w:tcPr>
            <w:tcW w:type="dxa" w:w="3223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Complete rule approval before building affected journey controls</w:t>
            </w:r>
          </w:p>
        </w:tc>
        <w:tc>
          <w:tcPr>
            <w:tcW w:type="dxa" w:w="3069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Product and Compliance</w:t>
            </w:r>
          </w:p>
        </w:tc>
        <w:tc>
          <w:tcPr>
            <w:tcW w:type="dxa" w:w="925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Open</w:t>
            </w:r>
          </w:p>
        </w:tc>
      </w:tr>
      <w:tr>
        <w:trPr>
          <w:cantSplit/>
          <w:trHeight w:hRule="atLeast"/>
        </w:trPr>
        <w:tc>
          <w:tcPr>
            <w:tcW w:type="dxa" w:w="92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R-03</w:t>
            </w:r>
          </w:p>
        </w:tc>
        <w:tc>
          <w:tcPr>
            <w:tcW w:type="dxa" w:w="3223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Partner service limits and maintenance windows are unknown</w:t>
            </w:r>
          </w:p>
        </w:tc>
        <w:tc>
          <w:tcPr>
            <w:tcW w:type="dxa" w:w="92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Medium</w:t>
            </w:r>
          </w:p>
        </w:tc>
        <w:tc>
          <w:tcPr>
            <w:tcW w:type="dxa" w:w="92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High</w:t>
            </w:r>
          </w:p>
        </w:tc>
        <w:tc>
          <w:tcPr>
            <w:tcW w:type="dxa" w:w="3223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Obtain written limits; configure safe request and connection limits</w:t>
            </w:r>
          </w:p>
        </w:tc>
        <w:tc>
          <w:tcPr>
            <w:tcW w:type="dxa" w:w="3069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Product and Operations</w:t>
            </w:r>
          </w:p>
        </w:tc>
        <w:tc>
          <w:tcPr>
            <w:tcW w:type="dxa" w:w="925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Open</w:t>
            </w:r>
          </w:p>
        </w:tc>
      </w:tr>
      <w:tr>
        <w:trPr>
          <w:cantSplit/>
          <w:trHeight w:hRule="atLeast"/>
        </w:trPr>
        <w:tc>
          <w:tcPr>
            <w:tcW w:type="dxa" w:w="920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R-04</w:t>
            </w:r>
          </w:p>
        </w:tc>
        <w:tc>
          <w:tcPr>
            <w:tcW w:type="dxa" w:w="3223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Partner delays make the Relationship Manager journey unusable</w:t>
            </w:r>
          </w:p>
        </w:tc>
        <w:tc>
          <w:tcPr>
            <w:tcW w:type="dxa" w:w="920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Medium</w:t>
            </w:r>
          </w:p>
        </w:tc>
        <w:tc>
          <w:tcPr>
            <w:tcW w:type="dxa" w:w="920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High</w:t>
            </w:r>
          </w:p>
        </w:tc>
        <w:tc>
          <w:tcPr>
            <w:tcW w:type="dxa" w:w="3223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Return an acknowledgement, track status, isolate partner capacity and support resume</w:t>
            </w:r>
          </w:p>
        </w:tc>
        <w:tc>
          <w:tcPr>
            <w:tcW w:type="dxa" w:w="3069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Architecture and Operations</w:t>
            </w:r>
          </w:p>
        </w:tc>
        <w:tc>
          <w:tcPr>
            <w:tcW w:type="dxa" w:w="925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Open</w:t>
            </w:r>
          </w:p>
        </w:tc>
      </w:tr>
      <w:tr>
        <w:trPr>
          <w:cantSplit/>
          <w:trHeight w:hRule="atLeast"/>
        </w:trPr>
        <w:tc>
          <w:tcPr>
            <w:tcW w:type="dxa" w:w="92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R-05</w:t>
            </w:r>
          </w:p>
        </w:tc>
        <w:tc>
          <w:tcPr>
            <w:tcW w:type="dxa" w:w="3223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Duplicate proposal or payment requests create financial or customer harm</w:t>
            </w:r>
          </w:p>
        </w:tc>
        <w:tc>
          <w:tcPr>
            <w:tcW w:type="dxa" w:w="92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Medium</w:t>
            </w:r>
          </w:p>
        </w:tc>
        <w:tc>
          <w:tcPr>
            <w:tcW w:type="dxa" w:w="92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Critical</w:t>
            </w:r>
          </w:p>
        </w:tc>
        <w:tc>
          <w:tcPr>
            <w:tcW w:type="dxa" w:w="3223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Require a request key, retain the first result and reject changed replays</w:t>
            </w:r>
          </w:p>
        </w:tc>
        <w:tc>
          <w:tcPr>
            <w:tcW w:type="dxa" w:w="3069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Engineering and Quality</w:t>
            </w:r>
          </w:p>
        </w:tc>
        <w:tc>
          <w:tcPr>
            <w:tcW w:type="dxa" w:w="925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Open</w:t>
            </w:r>
          </w:p>
        </w:tc>
      </w:tr>
      <w:tr>
        <w:trPr>
          <w:cantSplit/>
          <w:trHeight w:hRule="atLeast"/>
        </w:trPr>
        <w:tc>
          <w:tcPr>
            <w:tcW w:type="dxa" w:w="920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R-06</w:t>
            </w:r>
          </w:p>
        </w:tc>
        <w:tc>
          <w:tcPr>
            <w:tcW w:type="dxa" w:w="3223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Payment result remains uncertain after a missing or delayed callback</w:t>
            </w:r>
          </w:p>
        </w:tc>
        <w:tc>
          <w:tcPr>
            <w:tcW w:type="dxa" w:w="920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Medium</w:t>
            </w:r>
          </w:p>
        </w:tc>
        <w:tc>
          <w:tcPr>
            <w:tcW w:type="dxa" w:w="920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Critical</w:t>
            </w:r>
          </w:p>
        </w:tc>
        <w:tc>
          <w:tcPr>
            <w:tcW w:type="dxa" w:w="3223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Match settlement information, create an exception task and never assume success</w:t>
            </w:r>
          </w:p>
        </w:tc>
        <w:tc>
          <w:tcPr>
            <w:tcW w:type="dxa" w:w="3069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Finance, Operations and Engineering</w:t>
            </w:r>
          </w:p>
        </w:tc>
        <w:tc>
          <w:tcPr>
            <w:tcW w:type="dxa" w:w="925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Open</w:t>
            </w:r>
          </w:p>
        </w:tc>
      </w:tr>
      <w:tr>
        <w:trPr>
          <w:cantSplit/>
          <w:trHeight w:hRule="atLeast"/>
        </w:trPr>
        <w:tc>
          <w:tcPr>
            <w:tcW w:type="dxa" w:w="92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R-07</w:t>
            </w:r>
          </w:p>
        </w:tc>
        <w:tc>
          <w:tcPr>
            <w:tcW w:type="dxa" w:w="3223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Policy is reported as sold before issuance or reconciliation</w:t>
            </w:r>
          </w:p>
        </w:tc>
        <w:tc>
          <w:tcPr>
            <w:tcW w:type="dxa" w:w="92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Medium</w:t>
            </w:r>
          </w:p>
        </w:tc>
        <w:tc>
          <w:tcPr>
            <w:tcW w:type="dxa" w:w="92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Critical</w:t>
            </w:r>
          </w:p>
        </w:tc>
        <w:tc>
          <w:tcPr>
            <w:tcW w:type="dxa" w:w="3223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Require issuance, payment reconciliation and audit completeness before completion</w:t>
            </w:r>
          </w:p>
        </w:tc>
        <w:tc>
          <w:tcPr>
            <w:tcW w:type="dxa" w:w="3069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Product, Finance and Architecture</w:t>
            </w:r>
          </w:p>
        </w:tc>
        <w:tc>
          <w:tcPr>
            <w:tcW w:type="dxa" w:w="925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Open</w:t>
            </w:r>
          </w:p>
        </w:tc>
      </w:tr>
      <w:tr>
        <w:trPr>
          <w:cantSplit/>
          <w:trHeight w:hRule="atLeast"/>
        </w:trPr>
        <w:tc>
          <w:tcPr>
            <w:tcW w:type="dxa" w:w="920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R-08</w:t>
            </w:r>
          </w:p>
        </w:tc>
        <w:tc>
          <w:tcPr>
            <w:tcW w:type="dxa" w:w="3223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Personal or health information appears in logs</w:t>
            </w:r>
          </w:p>
        </w:tc>
        <w:tc>
          <w:tcPr>
            <w:tcW w:type="dxa" w:w="920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Medium</w:t>
            </w:r>
          </w:p>
        </w:tc>
        <w:tc>
          <w:tcPr>
            <w:tcW w:type="dxa" w:w="920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Critical</w:t>
            </w:r>
          </w:p>
        </w:tc>
        <w:tc>
          <w:tcPr>
            <w:tcW w:type="dxa" w:w="3223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Block body logging, mask protected fields and run automated log scans</w:t>
            </w:r>
          </w:p>
        </w:tc>
        <w:tc>
          <w:tcPr>
            <w:tcW w:type="dxa" w:w="3069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Security, Engineering and Quality</w:t>
            </w:r>
          </w:p>
        </w:tc>
        <w:tc>
          <w:tcPr>
            <w:tcW w:type="dxa" w:w="925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Open</w:t>
            </w:r>
          </w:p>
        </w:tc>
      </w:tr>
      <w:tr>
        <w:trPr>
          <w:cantSplit/>
          <w:trHeight w:hRule="atLeast"/>
        </w:trPr>
        <w:tc>
          <w:tcPr>
            <w:tcW w:type="dxa" w:w="92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R-09</w:t>
            </w:r>
          </w:p>
        </w:tc>
        <w:tc>
          <w:tcPr>
            <w:tcW w:type="dxa" w:w="3223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Audit evidence can be changed or deleted</w:t>
            </w:r>
          </w:p>
        </w:tc>
        <w:tc>
          <w:tcPr>
            <w:tcW w:type="dxa" w:w="92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Low</w:t>
            </w:r>
          </w:p>
        </w:tc>
        <w:tc>
          <w:tcPr>
            <w:tcW w:type="dxa" w:w="92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Critical</w:t>
            </w:r>
          </w:p>
        </w:tc>
        <w:tc>
          <w:tcPr>
            <w:tcW w:type="dxa" w:w="3223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Use insert-only access, locked storage and deletion-refusal tests</w:t>
            </w:r>
          </w:p>
        </w:tc>
        <w:tc>
          <w:tcPr>
            <w:tcW w:type="dxa" w:w="3069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Data, Security and Quality</w:t>
            </w:r>
          </w:p>
        </w:tc>
        <w:tc>
          <w:tcPr>
            <w:tcW w:type="dxa" w:w="925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Open</w:t>
            </w:r>
          </w:p>
        </w:tc>
      </w:tr>
      <w:tr>
        <w:trPr>
          <w:cantSplit/>
          <w:trHeight w:hRule="atLeast"/>
        </w:trPr>
        <w:tc>
          <w:tcPr>
            <w:tcW w:type="dxa" w:w="920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R-10</w:t>
            </w:r>
          </w:p>
        </w:tc>
        <w:tc>
          <w:tcPr>
            <w:tcW w:type="dxa" w:w="3223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Too many independently deployed components create delivery and support burden</w:t>
            </w:r>
          </w:p>
        </w:tc>
        <w:tc>
          <w:tcPr>
            <w:tcW w:type="dxa" w:w="920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Medium</w:t>
            </w:r>
          </w:p>
        </w:tc>
        <w:tc>
          <w:tcPr>
            <w:tcW w:type="dxa" w:w="920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High</w:t>
            </w:r>
          </w:p>
        </w:tc>
        <w:tc>
          <w:tcPr>
            <w:tcW w:type="dxa" w:w="3223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Combine components unless ownership, scale or failure isolation proves a need</w:t>
            </w:r>
          </w:p>
        </w:tc>
        <w:tc>
          <w:tcPr>
            <w:tcW w:type="dxa" w:w="3069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Architecture, Engineering and Operations</w:t>
            </w:r>
          </w:p>
        </w:tc>
        <w:tc>
          <w:tcPr>
            <w:tcW w:type="dxa" w:w="925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Open</w:t>
            </w:r>
          </w:p>
        </w:tc>
      </w:tr>
      <w:tr>
        <w:trPr>
          <w:cantSplit/>
          <w:trHeight w:hRule="atLeast"/>
        </w:trPr>
        <w:tc>
          <w:tcPr>
            <w:tcW w:type="dxa" w:w="92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R-11</w:t>
            </w:r>
          </w:p>
        </w:tc>
        <w:tc>
          <w:tcPr>
            <w:tcW w:type="dxa" w:w="3223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A shared database weakens ownership and increases change risk</w:t>
            </w:r>
          </w:p>
        </w:tc>
        <w:tc>
          <w:tcPr>
            <w:tcW w:type="dxa" w:w="92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Medium</w:t>
            </w:r>
          </w:p>
        </w:tc>
        <w:tc>
          <w:tcPr>
            <w:tcW w:type="dxa" w:w="92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High</w:t>
            </w:r>
          </w:p>
        </w:tc>
        <w:tc>
          <w:tcPr>
            <w:tcW w:type="dxa" w:w="3223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Give each business area controlled data ownership; prohibit direct cross-area access</w:t>
            </w:r>
          </w:p>
        </w:tc>
        <w:tc>
          <w:tcPr>
            <w:tcW w:type="dxa" w:w="3069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Architecture and Data</w:t>
            </w:r>
          </w:p>
        </w:tc>
        <w:tc>
          <w:tcPr>
            <w:tcW w:type="dxa" w:w="925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Open</w:t>
            </w:r>
          </w:p>
        </w:tc>
      </w:tr>
      <w:tr>
        <w:trPr>
          <w:cantSplit/>
          <w:trHeight w:hRule="atLeast"/>
        </w:trPr>
        <w:tc>
          <w:tcPr>
            <w:tcW w:type="dxa" w:w="920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R-12</w:t>
            </w:r>
          </w:p>
        </w:tc>
        <w:tc>
          <w:tcPr>
            <w:tcW w:type="dxa" w:w="3223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Partner formats leak into the bank business model</w:t>
            </w:r>
          </w:p>
        </w:tc>
        <w:tc>
          <w:tcPr>
            <w:tcW w:type="dxa" w:w="920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Medium</w:t>
            </w:r>
          </w:p>
        </w:tc>
        <w:tc>
          <w:tcPr>
            <w:tcW w:type="dxa" w:w="920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High</w:t>
            </w:r>
          </w:p>
        </w:tc>
        <w:tc>
          <w:tcPr>
            <w:tcW w:type="dxa" w:w="3223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Translate partner messages at the integration boundary and test replacement</w:t>
            </w:r>
          </w:p>
        </w:tc>
        <w:tc>
          <w:tcPr>
            <w:tcW w:type="dxa" w:w="3069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Architecture and Engineering</w:t>
            </w:r>
          </w:p>
        </w:tc>
        <w:tc>
          <w:tcPr>
            <w:tcW w:type="dxa" w:w="925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Open</w:t>
            </w:r>
          </w:p>
        </w:tc>
      </w:tr>
      <w:tr>
        <w:trPr>
          <w:cantSplit/>
          <w:trHeight w:hRule="atLeast"/>
        </w:trPr>
        <w:tc>
          <w:tcPr>
            <w:tcW w:type="dxa" w:w="92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R-13</w:t>
            </w:r>
          </w:p>
        </w:tc>
        <w:tc>
          <w:tcPr>
            <w:tcW w:type="dxa" w:w="3223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Delivery begins before automated quality and security checks work</w:t>
            </w:r>
          </w:p>
        </w:tc>
        <w:tc>
          <w:tcPr>
            <w:tcW w:type="dxa" w:w="92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High</w:t>
            </w:r>
          </w:p>
        </w:tc>
        <w:tc>
          <w:tcPr>
            <w:tcW w:type="dxa" w:w="92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High</w:t>
            </w:r>
          </w:p>
        </w:tc>
        <w:tc>
          <w:tcPr>
            <w:tcW w:type="dxa" w:w="3223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Make the build, test and security checks a development-entry condition</w:t>
            </w:r>
          </w:p>
        </w:tc>
        <w:tc>
          <w:tcPr>
            <w:tcW w:type="dxa" w:w="3069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Engineering, Security and Quality</w:t>
            </w:r>
          </w:p>
        </w:tc>
        <w:tc>
          <w:tcPr>
            <w:tcW w:type="dxa" w:w="925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Open</w:t>
            </w:r>
          </w:p>
        </w:tc>
      </w:tr>
      <w:tr>
        <w:trPr>
          <w:cantSplit/>
          <w:trHeight w:hRule="atLeast"/>
        </w:trPr>
        <w:tc>
          <w:tcPr>
            <w:tcW w:type="dxa" w:w="920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R-14</w:t>
            </w:r>
          </w:p>
        </w:tc>
        <w:tc>
          <w:tcPr>
            <w:tcW w:type="dxa" w:w="3223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Backup exists but cannot be restored within the business need</w:t>
            </w:r>
          </w:p>
        </w:tc>
        <w:tc>
          <w:tcPr>
            <w:tcW w:type="dxa" w:w="920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Medium</w:t>
            </w:r>
          </w:p>
        </w:tc>
        <w:tc>
          <w:tcPr>
            <w:tcW w:type="dxa" w:w="920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Critical</w:t>
            </w:r>
          </w:p>
        </w:tc>
        <w:tc>
          <w:tcPr>
            <w:tcW w:type="dxa" w:w="3223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Perform and time restore and regional recovery exercises</w:t>
            </w:r>
          </w:p>
        </w:tc>
        <w:tc>
          <w:tcPr>
            <w:tcW w:type="dxa" w:w="3069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Data and Operations</w:t>
            </w:r>
          </w:p>
        </w:tc>
        <w:tc>
          <w:tcPr>
            <w:tcW w:type="dxa" w:w="925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Open</w:t>
            </w:r>
          </w:p>
        </w:tc>
      </w:tr>
      <w:tr>
        <w:trPr>
          <w:cantSplit/>
          <w:trHeight w:hRule="atLeast"/>
        </w:trPr>
        <w:tc>
          <w:tcPr>
            <w:tcW w:type="dxa" w:w="92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R-15</w:t>
            </w:r>
          </w:p>
        </w:tc>
        <w:tc>
          <w:tcPr>
            <w:tcW w:type="dxa" w:w="3223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Platform capacity is increased without checking database or partner limits</w:t>
            </w:r>
          </w:p>
        </w:tc>
        <w:tc>
          <w:tcPr>
            <w:tcW w:type="dxa" w:w="92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Medium</w:t>
            </w:r>
          </w:p>
        </w:tc>
        <w:tc>
          <w:tcPr>
            <w:tcW w:type="dxa" w:w="92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High</w:t>
            </w:r>
          </w:p>
        </w:tc>
        <w:tc>
          <w:tcPr>
            <w:tcW w:type="dxa" w:w="3223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Base capacity changes on business load, measured bottleneck and downstream limits</w:t>
            </w:r>
          </w:p>
        </w:tc>
        <w:tc>
          <w:tcPr>
            <w:tcW w:type="dxa" w:w="3069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Operations, Data and Architecture</w:t>
            </w:r>
          </w:p>
        </w:tc>
        <w:tc>
          <w:tcPr>
            <w:tcW w:type="dxa" w:w="925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Open</w:t>
            </w:r>
          </w:p>
        </w:tc>
      </w:tr>
      <w:tr>
        <w:trPr>
          <w:cantSplit/>
          <w:trHeight w:hRule="atLeast"/>
        </w:trPr>
        <w:tc>
          <w:tcPr>
            <w:tcW w:type="dxa" w:w="920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R-16</w:t>
            </w:r>
          </w:p>
        </w:tc>
        <w:tc>
          <w:tcPr>
            <w:tcW w:type="dxa" w:w="3223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Retention or data-location rules are implemented incorrectly</w:t>
            </w:r>
          </w:p>
        </w:tc>
        <w:tc>
          <w:tcPr>
            <w:tcW w:type="dxa" w:w="920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Medium</w:t>
            </w:r>
          </w:p>
        </w:tc>
        <w:tc>
          <w:tcPr>
            <w:tcW w:type="dxa" w:w="920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Critical</w:t>
            </w:r>
          </w:p>
        </w:tc>
        <w:tc>
          <w:tcPr>
            <w:tcW w:type="dxa" w:w="3223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Approve the data schedule and automatically verify storage location and disposal</w:t>
            </w:r>
          </w:p>
        </w:tc>
        <w:tc>
          <w:tcPr>
            <w:tcW w:type="dxa" w:w="3069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Compliance, Data and Security</w:t>
            </w:r>
          </w:p>
        </w:tc>
        <w:tc>
          <w:tcPr>
            <w:tcW w:type="dxa" w:w="925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Open</w:t>
            </w:r>
          </w:p>
        </w:tc>
      </w:tr>
      <w:tr>
        <w:trPr>
          <w:cantSplit/>
          <w:trHeight w:hRule="atLeast"/>
        </w:trPr>
        <w:tc>
          <w:tcPr>
            <w:tcW w:type="dxa" w:w="92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R-17</w:t>
            </w:r>
          </w:p>
        </w:tc>
        <w:tc>
          <w:tcPr>
            <w:tcW w:type="dxa" w:w="3223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Core banking, payment or insurer access is delayed</w:t>
            </w:r>
          </w:p>
        </w:tc>
        <w:tc>
          <w:tcPr>
            <w:tcW w:type="dxa" w:w="92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High</w:t>
            </w:r>
          </w:p>
        </w:tc>
        <w:tc>
          <w:tcPr>
            <w:tcW w:type="dxa" w:w="92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High</w:t>
            </w:r>
          </w:p>
        </w:tc>
        <w:tc>
          <w:tcPr>
            <w:tcW w:type="dxa" w:w="3223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Name owners, required dates, test alternatives and delivery impact</w:t>
            </w:r>
          </w:p>
        </w:tc>
        <w:tc>
          <w:tcPr>
            <w:tcW w:type="dxa" w:w="3069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Delivery and external system owners</w:t>
            </w:r>
          </w:p>
        </w:tc>
        <w:tc>
          <w:tcPr>
            <w:tcW w:type="dxa" w:w="925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Open</w:t>
            </w:r>
          </w:p>
        </w:tc>
      </w:tr>
      <w:tr>
        <w:trPr>
          <w:cantSplit/>
          <w:trHeight w:hRule="atLeast"/>
        </w:trPr>
        <w:tc>
          <w:tcPr>
            <w:tcW w:type="dxa" w:w="920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R-18</w:t>
            </w:r>
          </w:p>
        </w:tc>
        <w:tc>
          <w:tcPr>
            <w:tcW w:type="dxa" w:w="3223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Rules change without version history</w:t>
            </w:r>
          </w:p>
        </w:tc>
        <w:tc>
          <w:tcPr>
            <w:tcW w:type="dxa" w:w="920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Medium</w:t>
            </w:r>
          </w:p>
        </w:tc>
        <w:tc>
          <w:tcPr>
            <w:tcW w:type="dxa" w:w="920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High</w:t>
            </w:r>
          </w:p>
        </w:tc>
        <w:tc>
          <w:tcPr>
            <w:tcW w:type="dxa" w:w="3223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Publish approved rule versions with effective dates and preserve prior versions</w:t>
            </w:r>
          </w:p>
        </w:tc>
        <w:tc>
          <w:tcPr>
            <w:tcW w:type="dxa" w:w="3069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Product, Compliance and Administration</w:t>
            </w:r>
          </w:p>
        </w:tc>
        <w:tc>
          <w:tcPr>
            <w:tcW w:type="dxa" w:w="925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Open</w:t>
            </w:r>
          </w:p>
        </w:tc>
      </w:tr>
    </w:tbl>
    <w:p>
      <w:pPr>
        <w:spacing w:after="0"/>
      </w:pPr>
    </w:p>
    <w:p>
      <w:pPr>
        <w:pStyle w:val="Heading1"/>
      </w:pPr>
      <w:r>
        <w:t>2. Dependencies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321040" cy="4680585"/>
            <wp:docPr id="2" name="Picture 2" title="Architecture dependencies" descr="Architecture dependencies. Diagram prepared for stakeholder revie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ependency_map_v0.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321040" cy="4680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i/>
          <w:color w:val="5B6573"/>
          <w:sz w:val="18"/>
        </w:rPr>
        <w:t>Figure: Architecture dependencies</w:t>
      </w:r>
    </w:p>
    <w:p>
      <w:r>
        <w:br w:type="page"/>
      </w:r>
    </w:p>
    <w:tbl>
      <w:tblPr>
        <w:tblStyle w:val="TableGrid"/>
        <w:tblW w:type="dxa" w:w="13200"/>
        <w:jc w:val="center"/>
        <w:tblLayout w:type="fixed"/>
        <w:tblLook w:firstColumn="1" w:firstRow="1" w:lastColumn="0" w:lastRow="0" w:noHBand="0" w:noVBand="1" w:val="04A0"/>
        <w:tblInd w:w="100" w:type="dxa"/>
      </w:tblPr>
      <w:tblGrid>
        <w:gridCol w:w="825"/>
        <w:gridCol w:w="2887"/>
        <w:gridCol w:w="2887"/>
        <w:gridCol w:w="2887"/>
        <w:gridCol w:w="2887"/>
        <w:gridCol w:w="827"/>
      </w:tblGrid>
      <w:tr>
        <w:trPr>
          <w:cantSplit/>
          <w:trHeight w:hRule="atLeast"/>
          <w:tblHeader w:val="true"/>
        </w:trPr>
        <w:tc>
          <w:tcPr>
            <w:tcW w:type="dxa" w:w="825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ID</w:t>
            </w:r>
          </w:p>
        </w:tc>
        <w:tc>
          <w:tcPr>
            <w:tcW w:type="dxa" w:w="2887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Dependency</w:t>
            </w:r>
          </w:p>
        </w:tc>
        <w:tc>
          <w:tcPr>
            <w:tcW w:type="dxa" w:w="2887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Needed for</w:t>
            </w:r>
          </w:p>
        </w:tc>
        <w:tc>
          <w:tcPr>
            <w:tcW w:type="dxa" w:w="2887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Provider or owner</w:t>
            </w:r>
          </w:p>
        </w:tc>
        <w:tc>
          <w:tcPr>
            <w:tcW w:type="dxa" w:w="2887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Required evidence</w:t>
            </w:r>
          </w:p>
        </w:tc>
        <w:tc>
          <w:tcPr>
            <w:tcW w:type="dxa" w:w="827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State</w:t>
            </w:r>
          </w:p>
        </w:tc>
      </w:tr>
      <w:tr>
        <w:trPr>
          <w:cantSplit/>
          <w:trHeight w:hRule="atLeast"/>
        </w:trPr>
        <w:tc>
          <w:tcPr>
            <w:tcW w:type="dxa" w:w="825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D-01</w:t>
            </w:r>
          </w:p>
        </w:tc>
        <w:tc>
          <w:tcPr>
            <w:tcW w:type="dxa" w:w="288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Product vision and first release scope approval</w:t>
            </w:r>
          </w:p>
        </w:tc>
        <w:tc>
          <w:tcPr>
            <w:tcW w:type="dxa" w:w="288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All architecture decisions</w:t>
            </w:r>
          </w:p>
        </w:tc>
        <w:tc>
          <w:tcPr>
            <w:tcW w:type="dxa" w:w="288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Product Owner and Chief Technology Officer</w:t>
            </w:r>
          </w:p>
        </w:tc>
        <w:tc>
          <w:tcPr>
            <w:tcW w:type="dxa" w:w="288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Signed scope and outcome</w:t>
            </w:r>
          </w:p>
        </w:tc>
        <w:tc>
          <w:tcPr>
            <w:tcW w:type="dxa" w:w="827"/>
            <w:shd w:fill="FCE4E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33A3A"/>
                <w:sz w:val="15"/>
              </w:rPr>
              <w:t>Pending</w:t>
            </w:r>
          </w:p>
        </w:tc>
      </w:tr>
      <w:tr>
        <w:trPr>
          <w:cantSplit/>
          <w:trHeight w:hRule="atLeast"/>
        </w:trPr>
        <w:tc>
          <w:tcPr>
            <w:tcW w:type="dxa" w:w="825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D-02</w:t>
            </w:r>
          </w:p>
        </w:tc>
        <w:tc>
          <w:tcPr>
            <w:tcW w:type="dxa" w:w="2887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Consent rule approval</w:t>
            </w:r>
          </w:p>
        </w:tc>
        <w:tc>
          <w:tcPr>
            <w:tcW w:type="dxa" w:w="2887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Consent and proposal controls</w:t>
            </w:r>
          </w:p>
        </w:tc>
        <w:tc>
          <w:tcPr>
            <w:tcW w:type="dxa" w:w="2887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Product and Compliance</w:t>
            </w:r>
          </w:p>
        </w:tc>
        <w:tc>
          <w:tcPr>
            <w:tcW w:type="dxa" w:w="2887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Signed rule set</w:t>
            </w:r>
          </w:p>
        </w:tc>
        <w:tc>
          <w:tcPr>
            <w:tcW w:type="dxa" w:w="827"/>
            <w:shd w:fill="FCE4E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33A3A"/>
                <w:sz w:val="15"/>
              </w:rPr>
              <w:t>Pending</w:t>
            </w:r>
          </w:p>
        </w:tc>
      </w:tr>
      <w:tr>
        <w:trPr>
          <w:cantSplit/>
          <w:trHeight w:hRule="atLeast"/>
        </w:trPr>
        <w:tc>
          <w:tcPr>
            <w:tcW w:type="dxa" w:w="825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D-03</w:t>
            </w:r>
          </w:p>
        </w:tc>
        <w:tc>
          <w:tcPr>
            <w:tcW w:type="dxa" w:w="288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Suitability rule approval</w:t>
            </w:r>
          </w:p>
        </w:tc>
        <w:tc>
          <w:tcPr>
            <w:tcW w:type="dxa" w:w="288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Suitability and quotation controls</w:t>
            </w:r>
          </w:p>
        </w:tc>
        <w:tc>
          <w:tcPr>
            <w:tcW w:type="dxa" w:w="288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Product and Compliance</w:t>
            </w:r>
          </w:p>
        </w:tc>
        <w:tc>
          <w:tcPr>
            <w:tcW w:type="dxa" w:w="288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Signed rule set</w:t>
            </w:r>
          </w:p>
        </w:tc>
        <w:tc>
          <w:tcPr>
            <w:tcW w:type="dxa" w:w="827"/>
            <w:shd w:fill="FCE4E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33A3A"/>
                <w:sz w:val="15"/>
              </w:rPr>
              <w:t>Pending</w:t>
            </w:r>
          </w:p>
        </w:tc>
      </w:tr>
      <w:tr>
        <w:trPr>
          <w:cantSplit/>
          <w:trHeight w:hRule="atLeast"/>
        </w:trPr>
        <w:tc>
          <w:tcPr>
            <w:tcW w:type="dxa" w:w="825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D-04</w:t>
            </w:r>
          </w:p>
        </w:tc>
        <w:tc>
          <w:tcPr>
            <w:tcW w:type="dxa" w:w="2887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First product and insurer matrix</w:t>
            </w:r>
          </w:p>
        </w:tc>
        <w:tc>
          <w:tcPr>
            <w:tcW w:type="dxa" w:w="2887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Catalogue, suitability, quote and proposal</w:t>
            </w:r>
          </w:p>
        </w:tc>
        <w:tc>
          <w:tcPr>
            <w:tcW w:type="dxa" w:w="2887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Product</w:t>
            </w:r>
          </w:p>
        </w:tc>
        <w:tc>
          <w:tcPr>
            <w:tcW w:type="dxa" w:w="2887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Approved product matrix</w:t>
            </w:r>
          </w:p>
        </w:tc>
        <w:tc>
          <w:tcPr>
            <w:tcW w:type="dxa" w:w="827"/>
            <w:shd w:fill="FCE4E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33A3A"/>
                <w:sz w:val="15"/>
              </w:rPr>
              <w:t>Pending</w:t>
            </w:r>
          </w:p>
        </w:tc>
      </w:tr>
      <w:tr>
        <w:trPr>
          <w:cantSplit/>
          <w:trHeight w:hRule="atLeast"/>
        </w:trPr>
        <w:tc>
          <w:tcPr>
            <w:tcW w:type="dxa" w:w="825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D-05</w:t>
            </w:r>
          </w:p>
        </w:tc>
        <w:tc>
          <w:tcPr>
            <w:tcW w:type="dxa" w:w="288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Workforce identity and permission service</w:t>
            </w:r>
          </w:p>
        </w:tc>
        <w:tc>
          <w:tcPr>
            <w:tcW w:type="dxa" w:w="288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Relationship Manager access</w:t>
            </w:r>
          </w:p>
        </w:tc>
        <w:tc>
          <w:tcPr>
            <w:tcW w:type="dxa" w:w="288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Security and Identity team</w:t>
            </w:r>
          </w:p>
        </w:tc>
        <w:tc>
          <w:tcPr>
            <w:tcW w:type="dxa" w:w="288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Agreed interface and test environment</w:t>
            </w:r>
          </w:p>
        </w:tc>
        <w:tc>
          <w:tcPr>
            <w:tcW w:type="dxa" w:w="827"/>
            <w:shd w:fill="FCE4E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33A3A"/>
                <w:sz w:val="15"/>
              </w:rPr>
              <w:t>Pending</w:t>
            </w:r>
          </w:p>
        </w:tc>
      </w:tr>
      <w:tr>
        <w:trPr>
          <w:cantSplit/>
          <w:trHeight w:hRule="atLeast"/>
        </w:trPr>
        <w:tc>
          <w:tcPr>
            <w:tcW w:type="dxa" w:w="825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D-06</w:t>
            </w:r>
          </w:p>
        </w:tc>
        <w:tc>
          <w:tcPr>
            <w:tcW w:type="dxa" w:w="2887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Core banking customer service</w:t>
            </w:r>
          </w:p>
        </w:tc>
        <w:tc>
          <w:tcPr>
            <w:tcW w:type="dxa" w:w="2887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Existing-customer lookup</w:t>
            </w:r>
          </w:p>
        </w:tc>
        <w:tc>
          <w:tcPr>
            <w:tcW w:type="dxa" w:w="2887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Core banking owner</w:t>
            </w:r>
          </w:p>
        </w:tc>
        <w:tc>
          <w:tcPr>
            <w:tcW w:type="dxa" w:w="2887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Interface, access and test data</w:t>
            </w:r>
          </w:p>
        </w:tc>
        <w:tc>
          <w:tcPr>
            <w:tcW w:type="dxa" w:w="827"/>
            <w:shd w:fill="FCE4E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33A3A"/>
                <w:sz w:val="15"/>
              </w:rPr>
              <w:t>Pending</w:t>
            </w:r>
          </w:p>
        </w:tc>
      </w:tr>
      <w:tr>
        <w:trPr>
          <w:cantSplit/>
          <w:trHeight w:hRule="atLeast"/>
        </w:trPr>
        <w:tc>
          <w:tcPr>
            <w:tcW w:type="dxa" w:w="825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D-07</w:t>
            </w:r>
          </w:p>
        </w:tc>
        <w:tc>
          <w:tcPr>
            <w:tcW w:type="dxa" w:w="288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Insurance provider access</w:t>
            </w:r>
          </w:p>
        </w:tc>
        <w:tc>
          <w:tcPr>
            <w:tcW w:type="dxa" w:w="288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Quote, proposal and policy</w:t>
            </w:r>
          </w:p>
        </w:tc>
        <w:tc>
          <w:tcPr>
            <w:tcW w:type="dxa" w:w="288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Partner owner</w:t>
            </w:r>
          </w:p>
        </w:tc>
        <w:tc>
          <w:tcPr>
            <w:tcW w:type="dxa" w:w="288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Contract, credentials, limits and sandbox</w:t>
            </w:r>
          </w:p>
        </w:tc>
        <w:tc>
          <w:tcPr>
            <w:tcW w:type="dxa" w:w="827"/>
            <w:shd w:fill="FCE4E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33A3A"/>
                <w:sz w:val="15"/>
              </w:rPr>
              <w:t>Pending</w:t>
            </w:r>
          </w:p>
        </w:tc>
      </w:tr>
      <w:tr>
        <w:trPr>
          <w:cantSplit/>
          <w:trHeight w:hRule="atLeast"/>
        </w:trPr>
        <w:tc>
          <w:tcPr>
            <w:tcW w:type="dxa" w:w="825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D-08</w:t>
            </w:r>
          </w:p>
        </w:tc>
        <w:tc>
          <w:tcPr>
            <w:tcW w:type="dxa" w:w="2887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Payment service access</w:t>
            </w:r>
          </w:p>
        </w:tc>
        <w:tc>
          <w:tcPr>
            <w:tcW w:type="dxa" w:w="2887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Customer payment and reconciliation</w:t>
            </w:r>
          </w:p>
        </w:tc>
        <w:tc>
          <w:tcPr>
            <w:tcW w:type="dxa" w:w="2887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Payments and Finance</w:t>
            </w:r>
          </w:p>
        </w:tc>
        <w:tc>
          <w:tcPr>
            <w:tcW w:type="dxa" w:w="2887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Contract, callback protection and settlement format</w:t>
            </w:r>
          </w:p>
        </w:tc>
        <w:tc>
          <w:tcPr>
            <w:tcW w:type="dxa" w:w="827"/>
            <w:shd w:fill="FCE4E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33A3A"/>
                <w:sz w:val="15"/>
              </w:rPr>
              <w:t>Pending</w:t>
            </w:r>
          </w:p>
        </w:tc>
      </w:tr>
      <w:tr>
        <w:trPr>
          <w:cantSplit/>
          <w:trHeight w:hRule="atLeast"/>
        </w:trPr>
        <w:tc>
          <w:tcPr>
            <w:tcW w:type="dxa" w:w="825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D-09</w:t>
            </w:r>
          </w:p>
        </w:tc>
        <w:tc>
          <w:tcPr>
            <w:tcW w:type="dxa" w:w="288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Messaging service</w:t>
            </w:r>
          </w:p>
        </w:tc>
        <w:tc>
          <w:tcPr>
            <w:tcW w:type="dxa" w:w="288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Consent and payment messages</w:t>
            </w:r>
          </w:p>
        </w:tc>
        <w:tc>
          <w:tcPr>
            <w:tcW w:type="dxa" w:w="288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Messaging owner</w:t>
            </w:r>
          </w:p>
        </w:tc>
        <w:tc>
          <w:tcPr>
            <w:tcW w:type="dxa" w:w="288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Contract, sender approval and test account</w:t>
            </w:r>
          </w:p>
        </w:tc>
        <w:tc>
          <w:tcPr>
            <w:tcW w:type="dxa" w:w="827"/>
            <w:shd w:fill="FCE4E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33A3A"/>
                <w:sz w:val="15"/>
              </w:rPr>
              <w:t>Pending</w:t>
            </w:r>
          </w:p>
        </w:tc>
      </w:tr>
      <w:tr>
        <w:trPr>
          <w:cantSplit/>
          <w:trHeight w:hRule="atLeast"/>
        </w:trPr>
        <w:tc>
          <w:tcPr>
            <w:tcW w:type="dxa" w:w="825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D-10</w:t>
            </w:r>
          </w:p>
        </w:tc>
        <w:tc>
          <w:tcPr>
            <w:tcW w:type="dxa" w:w="2887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India-based environments</w:t>
            </w:r>
          </w:p>
        </w:tc>
        <w:tc>
          <w:tcPr>
            <w:tcW w:type="dxa" w:w="2887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Development, testing and production</w:t>
            </w:r>
          </w:p>
        </w:tc>
        <w:tc>
          <w:tcPr>
            <w:tcW w:type="dxa" w:w="2887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Technology Operations</w:t>
            </w:r>
          </w:p>
        </w:tc>
        <w:tc>
          <w:tcPr>
            <w:tcW w:type="dxa" w:w="2887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Environment and network readiness</w:t>
            </w:r>
          </w:p>
        </w:tc>
        <w:tc>
          <w:tcPr>
            <w:tcW w:type="dxa" w:w="827"/>
            <w:shd w:fill="FCE4E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33A3A"/>
                <w:sz w:val="15"/>
              </w:rPr>
              <w:t>Pending</w:t>
            </w:r>
          </w:p>
        </w:tc>
      </w:tr>
      <w:tr>
        <w:trPr>
          <w:cantSplit/>
          <w:trHeight w:hRule="atLeast"/>
        </w:trPr>
        <w:tc>
          <w:tcPr>
            <w:tcW w:type="dxa" w:w="825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D-11</w:t>
            </w:r>
          </w:p>
        </w:tc>
        <w:tc>
          <w:tcPr>
            <w:tcW w:type="dxa" w:w="288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Secure key and secret service</w:t>
            </w:r>
          </w:p>
        </w:tc>
        <w:tc>
          <w:tcPr>
            <w:tcW w:type="dxa" w:w="288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All protected connections</w:t>
            </w:r>
          </w:p>
        </w:tc>
        <w:tc>
          <w:tcPr>
            <w:tcW w:type="dxa" w:w="288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Security and Operations</w:t>
            </w:r>
          </w:p>
        </w:tc>
        <w:tc>
          <w:tcPr>
            <w:tcW w:type="dxa" w:w="288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Access, rotation and recovery procedure</w:t>
            </w:r>
          </w:p>
        </w:tc>
        <w:tc>
          <w:tcPr>
            <w:tcW w:type="dxa" w:w="827"/>
            <w:shd w:fill="FCE4E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33A3A"/>
                <w:sz w:val="15"/>
              </w:rPr>
              <w:t>Pending</w:t>
            </w:r>
          </w:p>
        </w:tc>
      </w:tr>
      <w:tr>
        <w:trPr>
          <w:cantSplit/>
          <w:trHeight w:hRule="atLeast"/>
        </w:trPr>
        <w:tc>
          <w:tcPr>
            <w:tcW w:type="dxa" w:w="825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D-12</w:t>
            </w:r>
          </w:p>
        </w:tc>
        <w:tc>
          <w:tcPr>
            <w:tcW w:type="dxa" w:w="2887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Automated build and test service</w:t>
            </w:r>
          </w:p>
        </w:tc>
        <w:tc>
          <w:tcPr>
            <w:tcW w:type="dxa" w:w="2887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Safe development and evidence</w:t>
            </w:r>
          </w:p>
        </w:tc>
        <w:tc>
          <w:tcPr>
            <w:tcW w:type="dxa" w:w="2887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Engineering, Security and Quality</w:t>
            </w:r>
          </w:p>
        </w:tc>
        <w:tc>
          <w:tcPr>
            <w:tcW w:type="dxa" w:w="2887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Green run and demonstrated failure blocking</w:t>
            </w:r>
          </w:p>
        </w:tc>
        <w:tc>
          <w:tcPr>
            <w:tcW w:type="dxa" w:w="827"/>
            <w:shd w:fill="FCE4E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33A3A"/>
                <w:sz w:val="15"/>
              </w:rPr>
              <w:t>Pending</w:t>
            </w:r>
          </w:p>
        </w:tc>
      </w:tr>
      <w:tr>
        <w:trPr>
          <w:cantSplit/>
          <w:trHeight w:hRule="atLeast"/>
        </w:trPr>
        <w:tc>
          <w:tcPr>
            <w:tcW w:type="dxa" w:w="825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D-13</w:t>
            </w:r>
          </w:p>
        </w:tc>
        <w:tc>
          <w:tcPr>
            <w:tcW w:type="dxa" w:w="288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Data classification and retention schedule</w:t>
            </w:r>
          </w:p>
        </w:tc>
        <w:tc>
          <w:tcPr>
            <w:tcW w:type="dxa" w:w="288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Storage, backup, archive and disposal</w:t>
            </w:r>
          </w:p>
        </w:tc>
        <w:tc>
          <w:tcPr>
            <w:tcW w:type="dxa" w:w="288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Compliance, Data and Security</w:t>
            </w:r>
          </w:p>
        </w:tc>
        <w:tc>
          <w:tcPr>
            <w:tcW w:type="dxa" w:w="288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Approved schedule</w:t>
            </w:r>
          </w:p>
        </w:tc>
        <w:tc>
          <w:tcPr>
            <w:tcW w:type="dxa" w:w="827"/>
            <w:shd w:fill="FCE4E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33A3A"/>
                <w:sz w:val="15"/>
              </w:rPr>
              <w:t>Pending</w:t>
            </w:r>
          </w:p>
        </w:tc>
      </w:tr>
      <w:tr>
        <w:trPr>
          <w:cantSplit/>
          <w:trHeight w:hRule="atLeast"/>
        </w:trPr>
        <w:tc>
          <w:tcPr>
            <w:tcW w:type="dxa" w:w="825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D-14</w:t>
            </w:r>
          </w:p>
        </w:tc>
        <w:tc>
          <w:tcPr>
            <w:tcW w:type="dxa" w:w="2887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Test data and partner test accounts</w:t>
            </w:r>
          </w:p>
        </w:tc>
        <w:tc>
          <w:tcPr>
            <w:tcW w:type="dxa" w:w="2887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End-to-end testing</w:t>
            </w:r>
          </w:p>
        </w:tc>
        <w:tc>
          <w:tcPr>
            <w:tcW w:type="dxa" w:w="2887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Quality and partner owners</w:t>
            </w:r>
          </w:p>
        </w:tc>
        <w:tc>
          <w:tcPr>
            <w:tcW w:type="dxa" w:w="2887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Generated data and active accounts</w:t>
            </w:r>
          </w:p>
        </w:tc>
        <w:tc>
          <w:tcPr>
            <w:tcW w:type="dxa" w:w="827"/>
            <w:shd w:fill="FCE4E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33A3A"/>
                <w:sz w:val="15"/>
              </w:rPr>
              <w:t>Pending</w:t>
            </w:r>
          </w:p>
        </w:tc>
      </w:tr>
      <w:tr>
        <w:trPr>
          <w:cantSplit/>
          <w:trHeight w:hRule="atLeast"/>
        </w:trPr>
        <w:tc>
          <w:tcPr>
            <w:tcW w:type="dxa" w:w="825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D-15</w:t>
            </w:r>
          </w:p>
        </w:tc>
        <w:tc>
          <w:tcPr>
            <w:tcW w:type="dxa" w:w="288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Operations ownership and support process</w:t>
            </w:r>
          </w:p>
        </w:tc>
        <w:tc>
          <w:tcPr>
            <w:tcW w:type="dxa" w:w="288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Failure and manual recovery</w:t>
            </w:r>
          </w:p>
        </w:tc>
        <w:tc>
          <w:tcPr>
            <w:tcW w:type="dxa" w:w="288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Reliability and Operations</w:t>
            </w:r>
          </w:p>
        </w:tc>
        <w:tc>
          <w:tcPr>
            <w:tcW w:type="dxa" w:w="2887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Work queue, support contacts and response targets</w:t>
            </w:r>
          </w:p>
        </w:tc>
        <w:tc>
          <w:tcPr>
            <w:tcW w:type="dxa" w:w="827"/>
            <w:shd w:fill="FCE4E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33A3A"/>
                <w:sz w:val="15"/>
              </w:rPr>
              <w:t>Pending</w:t>
            </w:r>
          </w:p>
        </w:tc>
      </w:tr>
    </w:tbl>
    <w:p>
      <w:pPr>
        <w:spacing w:after="0"/>
      </w:pPr>
    </w:p>
    <w:p>
      <w:pPr>
        <w:pStyle w:val="Heading1"/>
      </w:pPr>
      <w:r>
        <w:t>3. Assumptions</w:t>
      </w:r>
    </w:p>
    <w:tbl>
      <w:tblPr>
        <w:tblStyle w:val="TableGrid"/>
        <w:tblW w:type="dxa" w:w="13200"/>
        <w:jc w:val="center"/>
        <w:tblLayout w:type="fixed"/>
        <w:tblLook w:firstColumn="1" w:firstRow="1" w:lastColumn="0" w:lastRow="0" w:noHBand="0" w:noVBand="1" w:val="04A0"/>
        <w:tblInd w:w="100" w:type="dxa"/>
      </w:tblPr>
      <w:tblGrid>
        <w:gridCol w:w="1056"/>
        <w:gridCol w:w="3696"/>
        <w:gridCol w:w="3696"/>
        <w:gridCol w:w="3696"/>
        <w:gridCol w:w="1056"/>
      </w:tblGrid>
      <w:tr>
        <w:trPr>
          <w:cantSplit/>
          <w:trHeight w:hRule="atLeast"/>
          <w:tblHeader w:val="true"/>
        </w:trPr>
        <w:tc>
          <w:tcPr>
            <w:tcW w:type="dxa" w:w="1056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ID</w:t>
            </w:r>
          </w:p>
        </w:tc>
        <w:tc>
          <w:tcPr>
            <w:tcW w:type="dxa" w:w="3696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Assumption</w:t>
            </w:r>
          </w:p>
        </w:tc>
        <w:tc>
          <w:tcPr>
            <w:tcW w:type="dxa" w:w="3696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Impact if false</w:t>
            </w:r>
          </w:p>
        </w:tc>
        <w:tc>
          <w:tcPr>
            <w:tcW w:type="dxa" w:w="3696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Validation owner</w:t>
            </w:r>
          </w:p>
        </w:tc>
        <w:tc>
          <w:tcPr>
            <w:tcW w:type="dxa" w:w="1056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State</w:t>
            </w:r>
          </w:p>
        </w:tc>
      </w:tr>
      <w:tr>
        <w:trPr>
          <w:cantSplit/>
          <w:trHeight w:hRule="atLeast"/>
        </w:trPr>
        <w:tc>
          <w:tcPr>
            <w:tcW w:type="dxa" w:w="105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A-01</w:t>
            </w:r>
          </w:p>
        </w:tc>
        <w:tc>
          <w:tcPr>
            <w:tcW w:type="dxa" w:w="369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The first release is one assisted Term Life sale for an existing bank customer</w:t>
            </w:r>
          </w:p>
        </w:tc>
        <w:tc>
          <w:tcPr>
            <w:tcW w:type="dxa" w:w="369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Scope and component sequence change</w:t>
            </w:r>
          </w:p>
        </w:tc>
        <w:tc>
          <w:tcPr>
            <w:tcW w:type="dxa" w:w="369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Product Owner</w:t>
            </w:r>
          </w:p>
        </w:tc>
        <w:tc>
          <w:tcPr>
            <w:tcW w:type="dxa" w:w="105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Unconfirmed</w:t>
            </w:r>
          </w:p>
        </w:tc>
      </w:tr>
      <w:tr>
        <w:trPr>
          <w:cantSplit/>
          <w:trHeight w:hRule="atLeast"/>
        </w:trPr>
        <w:tc>
          <w:tcPr>
            <w:tcW w:type="dxa" w:w="105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A-02</w:t>
            </w:r>
          </w:p>
        </w:tc>
        <w:tc>
          <w:tcPr>
            <w:tcW w:type="dxa" w:w="369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One selected insurer is sufficient to prove the first journey</w:t>
            </w:r>
          </w:p>
        </w:tc>
        <w:tc>
          <w:tcPr>
            <w:tcW w:type="dxa" w:w="369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Partner routing scope increases</w:t>
            </w:r>
          </w:p>
        </w:tc>
        <w:tc>
          <w:tcPr>
            <w:tcW w:type="dxa" w:w="369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Product Owner</w:t>
            </w:r>
          </w:p>
        </w:tc>
        <w:tc>
          <w:tcPr>
            <w:tcW w:type="dxa" w:w="105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Unconfirmed</w:t>
            </w:r>
          </w:p>
        </w:tc>
      </w:tr>
      <w:tr>
        <w:trPr>
          <w:cantSplit/>
          <w:trHeight w:hRule="atLeast"/>
        </w:trPr>
        <w:tc>
          <w:tcPr>
            <w:tcW w:type="dxa" w:w="105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A-03</w:t>
            </w:r>
          </w:p>
        </w:tc>
        <w:tc>
          <w:tcPr>
            <w:tcW w:type="dxa" w:w="369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The customer can receive a one-time password and payment link on a personal device</w:t>
            </w:r>
          </w:p>
        </w:tc>
        <w:tc>
          <w:tcPr>
            <w:tcW w:type="dxa" w:w="369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Consent and payment design changes</w:t>
            </w:r>
          </w:p>
        </w:tc>
        <w:tc>
          <w:tcPr>
            <w:tcW w:type="dxa" w:w="369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Product and Operations</w:t>
            </w:r>
          </w:p>
        </w:tc>
        <w:tc>
          <w:tcPr>
            <w:tcW w:type="dxa" w:w="105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Unconfirmed</w:t>
            </w:r>
          </w:p>
        </w:tc>
      </w:tr>
      <w:tr>
        <w:trPr>
          <w:cantSplit/>
          <w:trHeight w:hRule="atLeast"/>
        </w:trPr>
        <w:tc>
          <w:tcPr>
            <w:tcW w:type="dxa" w:w="105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A-04</w:t>
            </w:r>
          </w:p>
        </w:tc>
        <w:tc>
          <w:tcPr>
            <w:tcW w:type="dxa" w:w="369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The bank payment service supplies authenticated callbacks and settlement information</w:t>
            </w:r>
          </w:p>
        </w:tc>
        <w:tc>
          <w:tcPr>
            <w:tcW w:type="dxa" w:w="369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Payment recovery design changes</w:t>
            </w:r>
          </w:p>
        </w:tc>
        <w:tc>
          <w:tcPr>
            <w:tcW w:type="dxa" w:w="369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Payments and Security</w:t>
            </w:r>
          </w:p>
        </w:tc>
        <w:tc>
          <w:tcPr>
            <w:tcW w:type="dxa" w:w="105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Unconfirmed</w:t>
            </w:r>
          </w:p>
        </w:tc>
      </w:tr>
      <w:tr>
        <w:trPr>
          <w:cantSplit/>
          <w:trHeight w:hRule="atLeast"/>
        </w:trPr>
        <w:tc>
          <w:tcPr>
            <w:tcW w:type="dxa" w:w="105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A-05</w:t>
            </w:r>
          </w:p>
        </w:tc>
        <w:tc>
          <w:tcPr>
            <w:tcW w:type="dxa" w:w="369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The integration provider supports request tracking after an uncertain submission</w:t>
            </w:r>
          </w:p>
        </w:tc>
        <w:tc>
          <w:tcPr>
            <w:tcW w:type="dxa" w:w="369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Duplicate and recovery risk increases</w:t>
            </w:r>
          </w:p>
        </w:tc>
        <w:tc>
          <w:tcPr>
            <w:tcW w:type="dxa" w:w="369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Partner owner</w:t>
            </w:r>
          </w:p>
        </w:tc>
        <w:tc>
          <w:tcPr>
            <w:tcW w:type="dxa" w:w="105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Unconfirmed</w:t>
            </w:r>
          </w:p>
        </w:tc>
      </w:tr>
      <w:tr>
        <w:trPr>
          <w:cantSplit/>
          <w:trHeight w:hRule="atLeast"/>
        </w:trPr>
        <w:tc>
          <w:tcPr>
            <w:tcW w:type="dxa" w:w="105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A-06</w:t>
            </w:r>
          </w:p>
        </w:tc>
        <w:tc>
          <w:tcPr>
            <w:tcW w:type="dxa" w:w="369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Protected platform data can be hosted and recovered entirely within India</w:t>
            </w:r>
          </w:p>
        </w:tc>
        <w:tc>
          <w:tcPr>
            <w:tcW w:type="dxa" w:w="369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Hosting and recovery design changes</w:t>
            </w:r>
          </w:p>
        </w:tc>
        <w:tc>
          <w:tcPr>
            <w:tcW w:type="dxa" w:w="369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Compliance and Operations</w:t>
            </w:r>
          </w:p>
        </w:tc>
        <w:tc>
          <w:tcPr>
            <w:tcW w:type="dxa" w:w="105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Unconfirmed</w:t>
            </w:r>
          </w:p>
        </w:tc>
      </w:tr>
      <w:tr>
        <w:trPr>
          <w:cantSplit/>
          <w:trHeight w:hRule="atLeast"/>
        </w:trPr>
        <w:tc>
          <w:tcPr>
            <w:tcW w:type="dxa" w:w="105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A-07</w:t>
            </w:r>
          </w:p>
        </w:tc>
        <w:tc>
          <w:tcPr>
            <w:tcW w:type="dxa" w:w="369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Initial transaction volume is modest and correctness is a greater risk than throughput</w:t>
            </w:r>
          </w:p>
        </w:tc>
        <w:tc>
          <w:tcPr>
            <w:tcW w:type="dxa" w:w="369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Initial capacity and cost change</w:t>
            </w:r>
          </w:p>
        </w:tc>
        <w:tc>
          <w:tcPr>
            <w:tcW w:type="dxa" w:w="369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Product and Operations</w:t>
            </w:r>
          </w:p>
        </w:tc>
        <w:tc>
          <w:tcPr>
            <w:tcW w:type="dxa" w:w="105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Unconfirmed</w:t>
            </w:r>
          </w:p>
        </w:tc>
      </w:tr>
      <w:tr>
        <w:trPr>
          <w:cantSplit/>
          <w:trHeight w:hRule="atLeast"/>
        </w:trPr>
        <w:tc>
          <w:tcPr>
            <w:tcW w:type="dxa" w:w="105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A-08</w:t>
            </w:r>
          </w:p>
        </w:tc>
        <w:tc>
          <w:tcPr>
            <w:tcW w:type="dxa" w:w="369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Staff identity includes branch, role, insurer access and certification status</w:t>
            </w:r>
          </w:p>
        </w:tc>
        <w:tc>
          <w:tcPr>
            <w:tcW w:type="dxa" w:w="369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Permission model needs another information source</w:t>
            </w:r>
          </w:p>
        </w:tc>
        <w:tc>
          <w:tcPr>
            <w:tcW w:type="dxa" w:w="369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Security and Product</w:t>
            </w:r>
          </w:p>
        </w:tc>
        <w:tc>
          <w:tcPr>
            <w:tcW w:type="dxa" w:w="105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Unconfirmed</w:t>
            </w:r>
          </w:p>
        </w:tc>
      </w:tr>
      <w:tr>
        <w:trPr>
          <w:cantSplit/>
          <w:trHeight w:hRule="atLeast"/>
        </w:trPr>
        <w:tc>
          <w:tcPr>
            <w:tcW w:type="dxa" w:w="105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A-09</w:t>
            </w:r>
          </w:p>
        </w:tc>
        <w:tc>
          <w:tcPr>
            <w:tcW w:type="dxa" w:w="369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Consent, suitability and audit evidence require long-term retention and protection from alteration</w:t>
            </w:r>
          </w:p>
        </w:tc>
        <w:tc>
          <w:tcPr>
            <w:tcW w:type="dxa" w:w="369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Storage and cost design changes</w:t>
            </w:r>
          </w:p>
        </w:tc>
        <w:tc>
          <w:tcPr>
            <w:tcW w:type="dxa" w:w="369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Compliance and Data</w:t>
            </w:r>
          </w:p>
        </w:tc>
        <w:tc>
          <w:tcPr>
            <w:tcW w:type="dxa" w:w="1056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Unconfirmed</w:t>
            </w:r>
          </w:p>
        </w:tc>
      </w:tr>
      <w:tr>
        <w:trPr>
          <w:cantSplit/>
          <w:trHeight w:hRule="atLeast"/>
        </w:trPr>
        <w:tc>
          <w:tcPr>
            <w:tcW w:type="dxa" w:w="105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A-10</w:t>
            </w:r>
          </w:p>
        </w:tc>
        <w:tc>
          <w:tcPr>
            <w:tcW w:type="dxa" w:w="369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The bank accepts a phased platform rather than every insurance line and journey at launch</w:t>
            </w:r>
          </w:p>
        </w:tc>
        <w:tc>
          <w:tcPr>
            <w:tcW w:type="dxa" w:w="369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Programme scope and funding change</w:t>
            </w:r>
          </w:p>
        </w:tc>
        <w:tc>
          <w:tcPr>
            <w:tcW w:type="dxa" w:w="369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Chief Technology Officer and Product Owner</w:t>
            </w:r>
          </w:p>
        </w:tc>
        <w:tc>
          <w:tcPr>
            <w:tcW w:type="dxa" w:w="1056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Unconfirmed</w:t>
            </w:r>
          </w:p>
        </w:tc>
      </w:tr>
    </w:tbl>
    <w:p>
      <w:pPr>
        <w:spacing w:after="0"/>
      </w:pPr>
    </w:p>
    <w:p>
      <w:pPr>
        <w:pStyle w:val="Heading1"/>
      </w:pPr>
      <w:r>
        <w:t>4. Required mitigation decisions</w:t>
      </w:r>
    </w:p>
    <w:tbl>
      <w:tblPr>
        <w:tblStyle w:val="TableGrid"/>
        <w:tblW w:type="dxa" w:w="13200"/>
        <w:jc w:val="center"/>
        <w:tblLayout w:type="fixed"/>
        <w:tblLook w:firstColumn="1" w:firstRow="1" w:lastColumn="0" w:lastRow="0" w:noHBand="0" w:noVBand="1" w:val="04A0"/>
        <w:tblInd w:w="100" w:type="dxa"/>
      </w:tblPr>
      <w:tblGrid>
        <w:gridCol w:w="5715"/>
        <w:gridCol w:w="5715"/>
        <w:gridCol w:w="1770"/>
      </w:tblGrid>
      <w:tr>
        <w:trPr>
          <w:cantSplit/>
          <w:trHeight w:hRule="atLeast"/>
          <w:tblHeader w:val="true"/>
        </w:trPr>
        <w:tc>
          <w:tcPr>
            <w:tcW w:type="dxa" w:w="5715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5715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Decision owner</w:t>
            </w:r>
          </w:p>
        </w:tc>
        <w:tc>
          <w:tcPr>
            <w:tcW w:type="dxa" w:w="1770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Current state</w:t>
            </w:r>
          </w:p>
        </w:tc>
      </w:tr>
      <w:tr>
        <w:trPr>
          <w:cantSplit/>
          <w:trHeight w:hRule="atLeast"/>
        </w:trPr>
        <w:tc>
          <w:tcPr>
            <w:tcW w:type="dxa" w:w="5715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Approve the first release boundary</w:t>
            </w:r>
          </w:p>
        </w:tc>
        <w:tc>
          <w:tcPr>
            <w:tcW w:type="dxa" w:w="5715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Product Owner and Chief Technology Officer</w:t>
            </w:r>
          </w:p>
        </w:tc>
        <w:tc>
          <w:tcPr>
            <w:tcW w:type="dxa" w:w="1770"/>
            <w:shd w:fill="FCE4E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33A3A"/>
                <w:sz w:val="18"/>
              </w:rPr>
              <w:t>Pending</w:t>
            </w:r>
          </w:p>
        </w:tc>
      </w:tr>
      <w:tr>
        <w:trPr>
          <w:cantSplit/>
          <w:trHeight w:hRule="atLeast"/>
        </w:trPr>
        <w:tc>
          <w:tcPr>
            <w:tcW w:type="dxa" w:w="5715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Approve consent and suitability rules</w:t>
            </w:r>
          </w:p>
        </w:tc>
        <w:tc>
          <w:tcPr>
            <w:tcW w:type="dxa" w:w="5715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Product Owner and Compliance Head</w:t>
            </w:r>
          </w:p>
        </w:tc>
        <w:tc>
          <w:tcPr>
            <w:tcW w:type="dxa" w:w="1770"/>
            <w:shd w:fill="FCE4E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33A3A"/>
                <w:sz w:val="18"/>
              </w:rPr>
              <w:t>Pending</w:t>
            </w:r>
          </w:p>
        </w:tc>
      </w:tr>
      <w:tr>
        <w:trPr>
          <w:cantSplit/>
          <w:trHeight w:hRule="atLeast"/>
        </w:trPr>
        <w:tc>
          <w:tcPr>
            <w:tcW w:type="dxa" w:w="5715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Approve customer identity direction</w:t>
            </w:r>
          </w:p>
        </w:tc>
        <w:tc>
          <w:tcPr>
            <w:tcW w:type="dxa" w:w="5715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Product Owner, Security Head and Principal Architect</w:t>
            </w:r>
          </w:p>
        </w:tc>
        <w:tc>
          <w:tcPr>
            <w:tcW w:type="dxa" w:w="1770"/>
            <w:shd w:fill="FCE4E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33A3A"/>
                <w:sz w:val="18"/>
              </w:rPr>
              <w:t>Pending</w:t>
            </w:r>
          </w:p>
        </w:tc>
      </w:tr>
      <w:tr>
        <w:trPr>
          <w:cantSplit/>
          <w:trHeight w:hRule="atLeast"/>
        </w:trPr>
        <w:tc>
          <w:tcPr>
            <w:tcW w:type="dxa" w:w="5715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Approve payment and reconciliation ownership</w:t>
            </w:r>
          </w:p>
        </w:tc>
        <w:tc>
          <w:tcPr>
            <w:tcW w:type="dxa" w:w="5715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Product Owner and Finance</w:t>
            </w:r>
          </w:p>
        </w:tc>
        <w:tc>
          <w:tcPr>
            <w:tcW w:type="dxa" w:w="1770"/>
            <w:shd w:fill="FCE4E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33A3A"/>
                <w:sz w:val="18"/>
              </w:rPr>
              <w:t>Pending</w:t>
            </w:r>
          </w:p>
        </w:tc>
      </w:tr>
      <w:tr>
        <w:trPr>
          <w:cantSplit/>
          <w:trHeight w:hRule="atLeast"/>
        </w:trPr>
        <w:tc>
          <w:tcPr>
            <w:tcW w:type="dxa" w:w="5715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Approve data classification, location and retention</w:t>
            </w:r>
          </w:p>
        </w:tc>
        <w:tc>
          <w:tcPr>
            <w:tcW w:type="dxa" w:w="5715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Compliance, Security and Data</w:t>
            </w:r>
          </w:p>
        </w:tc>
        <w:tc>
          <w:tcPr>
            <w:tcW w:type="dxa" w:w="1770"/>
            <w:shd w:fill="FCE4E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33A3A"/>
                <w:sz w:val="18"/>
              </w:rPr>
              <w:t>Pending</w:t>
            </w:r>
          </w:p>
        </w:tc>
      </w:tr>
      <w:tr>
        <w:trPr>
          <w:cantSplit/>
          <w:trHeight w:hRule="atLeast"/>
        </w:trPr>
        <w:tc>
          <w:tcPr>
            <w:tcW w:type="dxa" w:w="5715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Approve component grouping and partner boundary</w:t>
            </w:r>
          </w:p>
        </w:tc>
        <w:tc>
          <w:tcPr>
            <w:tcW w:type="dxa" w:w="5715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Principal Architect and Engineering Head</w:t>
            </w:r>
          </w:p>
        </w:tc>
        <w:tc>
          <w:tcPr>
            <w:tcW w:type="dxa" w:w="1770"/>
            <w:shd w:fill="FCE4E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33A3A"/>
                <w:sz w:val="18"/>
              </w:rPr>
              <w:t>Pending</w:t>
            </w:r>
          </w:p>
        </w:tc>
      </w:tr>
      <w:tr>
        <w:trPr>
          <w:cantSplit/>
          <w:trHeight w:hRule="atLeast"/>
        </w:trPr>
        <w:tc>
          <w:tcPr>
            <w:tcW w:type="dxa" w:w="5715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Approve recovery targets and operating model</w:t>
            </w:r>
          </w:p>
        </w:tc>
        <w:tc>
          <w:tcPr>
            <w:tcW w:type="dxa" w:w="5715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Reliability Head, Data Architect and Principal Architect</w:t>
            </w:r>
          </w:p>
        </w:tc>
        <w:tc>
          <w:tcPr>
            <w:tcW w:type="dxa" w:w="1770"/>
            <w:shd w:fill="FCE4E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33A3A"/>
                <w:sz w:val="18"/>
              </w:rPr>
              <w:t>Pending</w:t>
            </w:r>
          </w:p>
        </w:tc>
      </w:tr>
      <w:tr>
        <w:trPr>
          <w:cantSplit/>
          <w:trHeight w:hRule="atLeast"/>
        </w:trPr>
        <w:tc>
          <w:tcPr>
            <w:tcW w:type="dxa" w:w="5715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Approve security controls and residual risk</w:t>
            </w:r>
          </w:p>
        </w:tc>
        <w:tc>
          <w:tcPr>
            <w:tcW w:type="dxa" w:w="5715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Security Head and accountable human risk owner</w:t>
            </w:r>
          </w:p>
        </w:tc>
        <w:tc>
          <w:tcPr>
            <w:tcW w:type="dxa" w:w="1770"/>
            <w:shd w:fill="FCE4E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33A3A"/>
                <w:sz w:val="18"/>
              </w:rPr>
              <w:t>Pending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</w:tblPr>
      <w:tblGrid>
        <w:gridCol w:w="9360"/>
      </w:tblGrid>
      <w:tr>
        <w:trPr>
          <w:cantSplit/>
          <w:trHeight w:hRule="atLeast"/>
          <w:tblHeader w:val="true"/>
        </w:trPr>
        <w:tc>
          <w:tcPr>
            <w:tcW w:type="dxa" w:w="9360"/>
            <w:vAlign w:val="center"/>
            <w:tcBorders>
              <w:top w:val="single" w:sz="10" w:color="B33A3A"/>
              <w:left w:val="single" w:sz="10" w:color="B33A3A"/>
              <w:bottom w:val="single" w:sz="10" w:color="B33A3A"/>
              <w:right w:val="single" w:sz="10" w:color="B33A3A"/>
              <w:insideH w:val="single" w:sz="10" w:color="B33A3A"/>
              <w:insideV w:val="single" w:sz="10" w:color="B33A3A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CE4E4"/>
          </w:tcPr>
          <w:p>
            <w:r>
              <w:rPr>
                <w:b/>
                <w:color w:val="B33A3A"/>
                <w:sz w:val="19"/>
              </w:rPr>
              <w:t>Approval control: review comments and recommendations do not constitute approval. The decision remains Pending until the named human stakeholder records a decision, date and signature.</w:t>
            </w:r>
          </w:p>
        </w:tc>
      </w:tr>
    </w:tbl>
    <w:p/>
    <w:p>
      <w:pPr>
        <w:pStyle w:val="Heading1"/>
      </w:pPr>
      <w:r>
        <w:t>5. Review and sign-off</w:t>
      </w:r>
    </w:p>
    <w:tbl>
      <w:tblPr>
        <w:tblStyle w:val="TableGrid"/>
        <w:tblW w:type="dxa" w:w="13200"/>
        <w:jc w:val="center"/>
        <w:tblLayout w:type="fixed"/>
        <w:tblLook w:firstColumn="1" w:firstRow="1" w:lastColumn="0" w:lastRow="0" w:noHBand="0" w:noVBand="1" w:val="04A0"/>
        <w:tblInd w:w="100" w:type="dxa"/>
      </w:tblPr>
      <w:tblGrid>
        <w:gridCol w:w="3381"/>
        <w:gridCol w:w="4581"/>
        <w:gridCol w:w="1309"/>
        <w:gridCol w:w="1309"/>
        <w:gridCol w:w="1309"/>
        <w:gridCol w:w="1311"/>
      </w:tblGrid>
      <w:tr>
        <w:trPr>
          <w:cantSplit/>
          <w:trHeight w:hRule="atLeast"/>
          <w:tblHeader w:val="true"/>
        </w:trPr>
        <w:tc>
          <w:tcPr>
            <w:tcW w:type="dxa" w:w="3381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Stakeholder</w:t>
            </w:r>
          </w:p>
        </w:tc>
        <w:tc>
          <w:tcPr>
            <w:tcW w:type="dxa" w:w="4581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Review responsibility</w:t>
            </w:r>
          </w:p>
        </w:tc>
        <w:tc>
          <w:tcPr>
            <w:tcW w:type="dxa" w:w="1309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Decision</w:t>
            </w:r>
          </w:p>
        </w:tc>
        <w:tc>
          <w:tcPr>
            <w:tcW w:type="dxa" w:w="1309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Name</w:t>
            </w:r>
          </w:p>
        </w:tc>
        <w:tc>
          <w:tcPr>
            <w:tcW w:type="dxa" w:w="1309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Date</w:t>
            </w:r>
          </w:p>
        </w:tc>
        <w:tc>
          <w:tcPr>
            <w:tcW w:type="dxa" w:w="1311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Comments</w:t>
            </w:r>
          </w:p>
        </w:tc>
      </w:tr>
      <w:tr>
        <w:trPr>
          <w:cantSplit/>
          <w:trHeight w:hRule="atLeast"/>
        </w:trPr>
        <w:tc>
          <w:tcPr>
            <w:tcW w:type="dxa" w:w="3381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Principal Architect</w:t>
            </w:r>
          </w:p>
        </w:tc>
        <w:tc>
          <w:tcPr>
            <w:tcW w:type="dxa" w:w="4581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Technical risk and architecture mitigation</w:t>
            </w:r>
          </w:p>
        </w:tc>
        <w:tc>
          <w:tcPr>
            <w:tcW w:type="dxa" w:w="1309"/>
            <w:shd w:fill="FCE4E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33A3A"/>
                <w:sz w:val="15"/>
              </w:rPr>
              <w:t>Pending</w:t>
            </w:r>
          </w:p>
        </w:tc>
        <w:tc>
          <w:tcPr>
            <w:tcW w:type="dxa" w:w="1309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309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311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</w:r>
          </w:p>
        </w:tc>
      </w:tr>
      <w:tr>
        <w:trPr>
          <w:cantSplit/>
          <w:trHeight w:hRule="atLeast"/>
        </w:trPr>
        <w:tc>
          <w:tcPr>
            <w:tcW w:type="dxa" w:w="3381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Product Owner</w:t>
            </w:r>
          </w:p>
        </w:tc>
        <w:tc>
          <w:tcPr>
            <w:tcW w:type="dxa" w:w="4581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Scope, business assumptions and customer impact</w:t>
            </w:r>
          </w:p>
        </w:tc>
        <w:tc>
          <w:tcPr>
            <w:tcW w:type="dxa" w:w="1309"/>
            <w:shd w:fill="FCE4E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33A3A"/>
                <w:sz w:val="15"/>
              </w:rPr>
              <w:t>Pending</w:t>
            </w:r>
          </w:p>
        </w:tc>
        <w:tc>
          <w:tcPr>
            <w:tcW w:type="dxa" w:w="1309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309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311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</w:r>
          </w:p>
        </w:tc>
      </w:tr>
      <w:tr>
        <w:trPr>
          <w:cantSplit/>
          <w:trHeight w:hRule="atLeast"/>
        </w:trPr>
        <w:tc>
          <w:tcPr>
            <w:tcW w:type="dxa" w:w="3381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Chief Technology Officer</w:t>
            </w:r>
          </w:p>
        </w:tc>
        <w:tc>
          <w:tcPr>
            <w:tcW w:type="dxa" w:w="4581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Strategic dependencies and technical risk appetite</w:t>
            </w:r>
          </w:p>
        </w:tc>
        <w:tc>
          <w:tcPr>
            <w:tcW w:type="dxa" w:w="1309"/>
            <w:shd w:fill="FCE4E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33A3A"/>
                <w:sz w:val="15"/>
              </w:rPr>
              <w:t>Pending</w:t>
            </w:r>
          </w:p>
        </w:tc>
        <w:tc>
          <w:tcPr>
            <w:tcW w:type="dxa" w:w="1309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309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311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</w:r>
          </w:p>
        </w:tc>
      </w:tr>
      <w:tr>
        <w:trPr>
          <w:cantSplit/>
          <w:trHeight w:hRule="atLeast"/>
        </w:trPr>
        <w:tc>
          <w:tcPr>
            <w:tcW w:type="dxa" w:w="3381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Engineering Head</w:t>
            </w:r>
          </w:p>
        </w:tc>
        <w:tc>
          <w:tcPr>
            <w:tcW w:type="dxa" w:w="4581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Build and delivery risk</w:t>
            </w:r>
          </w:p>
        </w:tc>
        <w:tc>
          <w:tcPr>
            <w:tcW w:type="dxa" w:w="1309"/>
            <w:shd w:fill="FCE4E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33A3A"/>
                <w:sz w:val="15"/>
              </w:rPr>
              <w:t>Pending</w:t>
            </w:r>
          </w:p>
        </w:tc>
        <w:tc>
          <w:tcPr>
            <w:tcW w:type="dxa" w:w="1309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309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311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</w:r>
          </w:p>
        </w:tc>
      </w:tr>
      <w:tr>
        <w:trPr>
          <w:cantSplit/>
          <w:trHeight w:hRule="atLeast"/>
        </w:trPr>
        <w:tc>
          <w:tcPr>
            <w:tcW w:type="dxa" w:w="3381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Security Head</w:t>
            </w:r>
          </w:p>
        </w:tc>
        <w:tc>
          <w:tcPr>
            <w:tcW w:type="dxa" w:w="4581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Security risk and mitigations</w:t>
            </w:r>
          </w:p>
        </w:tc>
        <w:tc>
          <w:tcPr>
            <w:tcW w:type="dxa" w:w="1309"/>
            <w:shd w:fill="FCE4E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33A3A"/>
                <w:sz w:val="15"/>
              </w:rPr>
              <w:t>Pending</w:t>
            </w:r>
          </w:p>
        </w:tc>
        <w:tc>
          <w:tcPr>
            <w:tcW w:type="dxa" w:w="1309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309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311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</w:r>
          </w:p>
        </w:tc>
      </w:tr>
      <w:tr>
        <w:trPr>
          <w:cantSplit/>
          <w:trHeight w:hRule="atLeast"/>
        </w:trPr>
        <w:tc>
          <w:tcPr>
            <w:tcW w:type="dxa" w:w="3381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Data and Database Architect</w:t>
            </w:r>
          </w:p>
        </w:tc>
        <w:tc>
          <w:tcPr>
            <w:tcW w:type="dxa" w:w="4581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Data integrity, capacity and recovery risk</w:t>
            </w:r>
          </w:p>
        </w:tc>
        <w:tc>
          <w:tcPr>
            <w:tcW w:type="dxa" w:w="1309"/>
            <w:shd w:fill="FCE4E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33A3A"/>
                <w:sz w:val="15"/>
              </w:rPr>
              <w:t>Pending</w:t>
            </w:r>
          </w:p>
        </w:tc>
        <w:tc>
          <w:tcPr>
            <w:tcW w:type="dxa" w:w="1309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309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311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</w:r>
          </w:p>
        </w:tc>
      </w:tr>
      <w:tr>
        <w:trPr>
          <w:cantSplit/>
          <w:trHeight w:hRule="atLeast"/>
        </w:trPr>
        <w:tc>
          <w:tcPr>
            <w:tcW w:type="dxa" w:w="3381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Compliance and Risk Head</w:t>
            </w:r>
          </w:p>
        </w:tc>
        <w:tc>
          <w:tcPr>
            <w:tcW w:type="dxa" w:w="4581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Regulatory assumptions and risk</w:t>
            </w:r>
          </w:p>
        </w:tc>
        <w:tc>
          <w:tcPr>
            <w:tcW w:type="dxa" w:w="1309"/>
            <w:shd w:fill="FCE4E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33A3A"/>
                <w:sz w:val="15"/>
              </w:rPr>
              <w:t>Pending</w:t>
            </w:r>
          </w:p>
        </w:tc>
        <w:tc>
          <w:tcPr>
            <w:tcW w:type="dxa" w:w="1309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309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311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</w:r>
          </w:p>
        </w:tc>
      </w:tr>
      <w:tr>
        <w:trPr>
          <w:cantSplit/>
          <w:trHeight w:hRule="atLeast"/>
        </w:trPr>
        <w:tc>
          <w:tcPr>
            <w:tcW w:type="dxa" w:w="3381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Reliability and Operations Head</w:t>
            </w:r>
          </w:p>
        </w:tc>
        <w:tc>
          <w:tcPr>
            <w:tcW w:type="dxa" w:w="4581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External limits, recovery and support risk</w:t>
            </w:r>
          </w:p>
        </w:tc>
        <w:tc>
          <w:tcPr>
            <w:tcW w:type="dxa" w:w="1309"/>
            <w:shd w:fill="FCE4E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33A3A"/>
                <w:sz w:val="15"/>
              </w:rPr>
              <w:t>Pending</w:t>
            </w:r>
          </w:p>
        </w:tc>
        <w:tc>
          <w:tcPr>
            <w:tcW w:type="dxa" w:w="1309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309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311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</w:r>
          </w:p>
        </w:tc>
      </w:tr>
      <w:tr>
        <w:trPr>
          <w:cantSplit/>
          <w:trHeight w:hRule="atLeast"/>
        </w:trPr>
        <w:tc>
          <w:tcPr>
            <w:tcW w:type="dxa" w:w="3381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Quality Lead</w:t>
            </w:r>
          </w:p>
        </w:tc>
        <w:tc>
          <w:tcPr>
            <w:tcW w:type="dxa" w:w="4581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Test and evidence risk</w:t>
            </w:r>
          </w:p>
        </w:tc>
        <w:tc>
          <w:tcPr>
            <w:tcW w:type="dxa" w:w="1309"/>
            <w:shd w:fill="FCE4E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33A3A"/>
                <w:sz w:val="15"/>
              </w:rPr>
              <w:t>Pending</w:t>
            </w:r>
          </w:p>
        </w:tc>
        <w:tc>
          <w:tcPr>
            <w:tcW w:type="dxa" w:w="1309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309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311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</w:r>
          </w:p>
        </w:tc>
      </w:tr>
      <w:tr>
        <w:trPr>
          <w:cantSplit/>
          <w:trHeight w:hRule="atLeast"/>
        </w:trPr>
        <w:tc>
          <w:tcPr>
            <w:tcW w:type="dxa" w:w="3381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Delivery Head</w:t>
            </w:r>
          </w:p>
        </w:tc>
        <w:tc>
          <w:tcPr>
            <w:tcW w:type="dxa" w:w="4581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Dependency ownership and delivery impact</w:t>
            </w:r>
          </w:p>
        </w:tc>
        <w:tc>
          <w:tcPr>
            <w:tcW w:type="dxa" w:w="1309"/>
            <w:shd w:fill="FCE4E4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33A3A"/>
                <w:sz w:val="15"/>
              </w:rPr>
              <w:t>Pending</w:t>
            </w:r>
          </w:p>
        </w:tc>
        <w:tc>
          <w:tcPr>
            <w:tcW w:type="dxa" w:w="1309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309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311"/>
            <w:shd w:fill="F7F9FB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6. Version history</w:t>
      </w:r>
    </w:p>
    <w:tbl>
      <w:tblPr>
        <w:tblStyle w:val="TableGrid"/>
        <w:tblW w:type="dxa" w:w="13200"/>
        <w:jc w:val="center"/>
        <w:tblLayout w:type="fixed"/>
        <w:tblLook w:firstColumn="1" w:firstRow="1" w:lastColumn="0" w:lastRow="0" w:noHBand="0" w:noVBand="1" w:val="04A0"/>
        <w:tblInd w:w="100" w:type="dxa"/>
      </w:tblPr>
      <w:tblGrid>
        <w:gridCol w:w="1800"/>
        <w:gridCol w:w="2800"/>
        <w:gridCol w:w="5800"/>
        <w:gridCol w:w="2800"/>
      </w:tblGrid>
      <w:tr>
        <w:trPr>
          <w:cantSplit/>
          <w:trHeight w:hRule="atLeast"/>
          <w:tblHeader w:val="true"/>
        </w:trPr>
        <w:tc>
          <w:tcPr>
            <w:tcW w:type="dxa" w:w="1800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800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5800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2800"/>
            <w:shd w:fill="17365D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Approval state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0.1</w:t>
            </w:r>
          </w:p>
        </w:tc>
        <w:tc>
          <w:tcPr>
            <w:tcW w:type="dxa" w:w="280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17 August 2026</w:t>
            </w:r>
          </w:p>
        </w:tc>
        <w:tc>
          <w:tcPr>
            <w:tcW w:type="dxa" w:w="580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Initial pre-approval register</w:t>
            </w:r>
          </w:p>
        </w:tc>
        <w:tc>
          <w:tcPr>
            <w:tcW w:type="dxa" w:w="2800"/>
            <w:vAlign w:val="center"/>
            <w:tcBorders>
              <w:top w:val="single" w:sz="6" w:color="AEB8C4"/>
              <w:left w:val="single" w:sz="6" w:color="AEB8C4"/>
              <w:bottom w:val="single" w:sz="6" w:color="AEB8C4"/>
              <w:right w:val="single" w:sz="6" w:color="AEB8C4"/>
              <w:insideH w:val="single" w:sz="6" w:color="AEB8C4"/>
              <w:insideV w:val="single" w:sz="6" w:color="AEB8C4"/>
            </w:tcBorders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Not approved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936" w:right="864" w:bottom="936" w:left="864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/>
        <w:color w:val="B33A3A"/>
        <w:sz w:val="16"/>
      </w:rPr>
      <w:t xml:space="preserve">DRAFT FOR REVIEW - VERSION 0.1 - NOT APPROVED  |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hd w:fill="FFFFFF"/>
      <w:pBdr>
        <w:bottom w:val="single" w:sz="14" w:color="17365D"/>
      </w:pBdr>
    </w:pPr>
    <w:r>
      <w:rPr>
        <w:rFonts w:ascii="Calibri" w:hAnsi="Calibri"/>
        <w:b/>
        <w:color w:val="5B6573"/>
        <w:sz w:val="16"/>
      </w:rPr>
      <w:t>AU BANK INSURANCE PLATFORM  |  ARCHITECTURE PRE-APPROVAL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/>
      <w:b w:val="0"/>
      <w:i/>
      <w:iCs/>
      <w:color w:val="5B657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 Bank End-to-End Insurance Platform — Technical Risks, Dependencies and Assumptions</dc:title>
  <dc:subject>Architecture pre-approval document</dc:subject>
  <dc:creator>Mahesh, Principal Insurance Platform Architect</dc:creator>
  <cp:keywords>architecture, insurance platform, pre-approval, version 0.1</cp:keywords>
  <dc:description>Draft for stakeholder review. Approval remains pending.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