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before="0" w:line="276"/>
        <w:jc w:val="left"/>
      </w:pPr>
      <w:r>
        <w:rPr>
          <w:b/>
          <w:bCs/>
          <w:i w:val="false"/>
          <w:iCs w:val="false"/>
          <w:color w:val="0F6E6E"/>
          <w:sz w:val="18"/>
          <w:szCs w:val="18"/>
        </w:rPr>
        <w:t xml:space="preserve">AU BANK  |  INSURANCE DISTRIBUTION PLATFORM</w:t>
      </w:r>
    </w:p>
    <w:p>
      <w:pPr>
        <w:spacing w:after="400" w:before="0" w:line="276"/>
        <w:jc w:val="left"/>
      </w:pPr>
      <w:r>
        <w:rPr>
          <w:b w:val="false"/>
          <w:bCs w:val="false"/>
          <w:i w:val="false"/>
          <w:iCs w:val="false"/>
          <w:color w:val="5A6570"/>
          <w:sz w:val="18"/>
          <w:szCs w:val="18"/>
        </w:rPr>
        <w:t xml:space="preserve">Consent and suitability controls for the first release</w:t>
      </w:r>
    </w:p>
    <w:p>
      <w:pPr>
        <w:spacing w:after="140" w:line="640"/>
      </w:pPr>
      <w:r>
        <w:rPr>
          <w:b/>
          <w:bCs/>
          <w:i w:val="false"/>
          <w:iCs w:val="false"/>
          <w:color w:val="11304E"/>
          <w:sz w:val="52"/>
          <w:szCs w:val="52"/>
        </w:rPr>
        <w:t xml:space="preserve">Consent and Suitability Rule Packs</w:t>
      </w:r>
    </w:p>
    <w:p>
      <w:pPr>
        <w:spacing w:after="220" w:line="500"/>
      </w:pPr>
      <w:r>
        <w:rPr>
          <w:b/>
          <w:bCs/>
          <w:i w:val="false"/>
          <w:iCs w:val="false"/>
          <w:color w:val="0F6E6E"/>
          <w:sz w:val="40"/>
          <w:szCs w:val="40"/>
        </w:rPr>
        <w:t xml:space="preserve">Compliance Approval Pack</w:t>
      </w:r>
    </w:p>
    <w:p>
      <w:pPr>
        <w:pBdr>
          <w:bottom w:val="single" w:color="11304E" w:sz="12" w:space="8"/>
        </w:pBdr>
        <w:spacing w:after="260"/>
      </w:pPr>
      <w:r>
        <w:rPr>
          <w:b w:val="false"/>
          <w:bCs w:val="false"/>
          <w:i/>
          <w:iCs/>
          <w:color w:val="445260"/>
          <w:sz w:val="22"/>
          <w:szCs w:val="22"/>
        </w:rPr>
        <w:t xml:space="preserve">Approval sought before development begins, on the rules that will govern how customer consent is captured and how product suitability is assessed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Detail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Document ID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COMP-APPROVE-CNS-SUIT-v1.0</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Prepared by</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Rajal</w:t>
            </w:r>
            <w:r>
              <w:rPr>
                <w:b w:val="false"/>
                <w:bCs w:val="false"/>
                <w:i w:val="false"/>
                <w:iCs w:val="false"/>
                <w:color w:val="222629"/>
                <w:sz w:val="18"/>
                <w:szCs w:val="18"/>
              </w:rPr>
              <w:t xml:space="preserve"> — Principal Insurance Platform Product Owner</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Approval owner</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Shailja S</w:t>
            </w:r>
            <w:r>
              <w:rPr>
                <w:b w:val="false"/>
                <w:bCs w:val="false"/>
                <w:i w:val="false"/>
                <w:iCs w:val="false"/>
                <w:color w:val="222629"/>
                <w:sz w:val="18"/>
                <w:szCs w:val="18"/>
              </w:rPr>
              <w:t xml:space="preserve"> — Compliance &amp; Risk Head. A human signature is mandatory; this approval cannot be delegated to an automated reviewer.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Supporting approvers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(Information Security) · Aarti (Data and Database) · Swapnali (Quality Assurance) · Mahesh (Solution Architecture)</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issued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August 2026</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Decision requested by</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29 August 2026</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Submitted for approval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Rule Pack v1.0 — 38 rules · Suitability Rule Pack v1.0 — 48 rules, algorithm SUIT-ALGO-LIFE-v1.0</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Development status</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started. </w:t>
            </w:r>
            <w:r>
              <w:rPr>
                <w:b w:val="false"/>
                <w:bCs w:val="false"/>
                <w:i w:val="false"/>
                <w:iCs w:val="false"/>
                <w:color w:val="222629"/>
                <w:sz w:val="18"/>
                <w:szCs w:val="18"/>
              </w:rPr>
              <w:t xml:space="preserve">Both services are held behind a build freeze pending this approval. Nothing described in this document has been built.</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What is being asked for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signed conclusion on each section of each pack. Section 4 sets out precisely what that certifies and what it does not.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 Life products (Term, Savings/Endowment and unit-linked), sold to existing bank customers, assisted by a relationship manager, through the approved insurer panel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Self-contained</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Yes. </w:t>
            </w:r>
            <w:r>
              <w:rPr>
                <w:b w:val="false"/>
                <w:bCs w:val="false"/>
                <w:i w:val="false"/>
                <w:iCs w:val="false"/>
                <w:color w:val="222629"/>
                <w:sz w:val="18"/>
                <w:szCs w:val="18"/>
              </w:rPr>
              <w:t xml:space="preserve">Every rule submitted for approval is reproduced in full in Appendices A and B. No other document needs to be obtained to complete this approval.</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references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document is written for a reader outside the delivery organisation. Where an internal programme code is unavoidable it is explained where it appears, and all of them are listed in Appendix C.2.</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Classification</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Compliance, Product, Delivery</w:t>
            </w:r>
          </w:p>
        </w:tc>
      </w:tr>
    </w:tbl>
    <w:p>
      <w:pPr>
        <w:pStyle w:val="Heading1"/>
        <w:pageBreakBefore/>
        <w:pBdr>
          <w:bottom w:val="single" w:color="0F6E6E" w:sz="8" w:space="6"/>
        </w:pBdr>
        <w:spacing w:after="160" w:before="0"/>
      </w:pPr>
      <w:r>
        <w:rPr>
          <w:b/>
          <w:bCs/>
          <w:color w:val="11304E"/>
          <w:sz w:val="30"/>
          <w:szCs w:val="30"/>
        </w:rPr>
        <w:t xml:space="preserve">Contents</w:t>
      </w:r>
    </w:p>
    <w:p>
      <w:pPr>
        <w:spacing w:after="70" w:before="0" w:line="276"/>
        <w:jc w:val="left"/>
      </w:pPr>
      <w:r>
        <w:rPr>
          <w:b/>
          <w:bCs/>
          <w:i w:val="false"/>
          <w:iCs w:val="false"/>
          <w:color w:val="0F6E6E"/>
          <w:sz w:val="20"/>
          <w:szCs w:val="20"/>
        </w:rPr>
        <w:t xml:space="preserve">1.  </w:t>
      </w:r>
      <w:r>
        <w:rPr>
          <w:b w:val="false"/>
          <w:bCs w:val="false"/>
          <w:i w:val="false"/>
          <w:iCs w:val="false"/>
          <w:color w:val="222629"/>
          <w:sz w:val="20"/>
          <w:szCs w:val="20"/>
        </w:rPr>
        <w:t xml:space="preserve">What Compliance is being asked to approve</w:t>
      </w:r>
    </w:p>
    <w:p>
      <w:pPr>
        <w:spacing w:after="70" w:before="0" w:line="276"/>
        <w:jc w:val="left"/>
      </w:pPr>
      <w:r>
        <w:rPr>
          <w:b/>
          <w:bCs/>
          <w:i w:val="false"/>
          <w:iCs w:val="false"/>
          <w:color w:val="0F6E6E"/>
          <w:sz w:val="20"/>
          <w:szCs w:val="20"/>
        </w:rPr>
        <w:t xml:space="preserve">2.  </w:t>
      </w:r>
      <w:r>
        <w:rPr>
          <w:b w:val="false"/>
          <w:bCs w:val="false"/>
          <w:i w:val="false"/>
          <w:iCs w:val="false"/>
          <w:color w:val="222629"/>
          <w:sz w:val="20"/>
          <w:szCs w:val="20"/>
        </w:rPr>
        <w:t xml:space="preserve">Executive summary</w:t>
      </w:r>
    </w:p>
    <w:p>
      <w:pPr>
        <w:spacing w:after="70" w:before="0" w:line="276"/>
        <w:jc w:val="left"/>
      </w:pPr>
      <w:r>
        <w:rPr>
          <w:b/>
          <w:bCs/>
          <w:i w:val="false"/>
          <w:iCs w:val="false"/>
          <w:color w:val="0F6E6E"/>
          <w:sz w:val="20"/>
          <w:szCs w:val="20"/>
        </w:rPr>
        <w:t xml:space="preserve">3.  </w:t>
      </w:r>
      <w:r>
        <w:rPr>
          <w:b w:val="false"/>
          <w:bCs w:val="false"/>
          <w:i w:val="false"/>
          <w:iCs w:val="false"/>
          <w:color w:val="222629"/>
          <w:sz w:val="20"/>
          <w:szCs w:val="20"/>
        </w:rPr>
        <w:t xml:space="preserve">What is submitted</w:t>
      </w:r>
    </w:p>
    <w:p>
      <w:pPr>
        <w:spacing w:after="70" w:before="0" w:line="276"/>
        <w:jc w:val="left"/>
      </w:pPr>
      <w:r>
        <w:rPr>
          <w:b/>
          <w:bCs/>
          <w:i w:val="false"/>
          <w:iCs w:val="false"/>
          <w:color w:val="0F6E6E"/>
          <w:sz w:val="20"/>
          <w:szCs w:val="20"/>
        </w:rPr>
        <w:t xml:space="preserve">4.  </w:t>
      </w:r>
      <w:r>
        <w:rPr>
          <w:b w:val="false"/>
          <w:bCs w:val="false"/>
          <w:i w:val="false"/>
          <w:iCs w:val="false"/>
          <w:color w:val="222629"/>
          <w:sz w:val="20"/>
          <w:szCs w:val="20"/>
        </w:rPr>
        <w:t xml:space="preserve">Why a signature, and what it certifies</w:t>
      </w:r>
    </w:p>
    <w:p>
      <w:pPr>
        <w:spacing w:after="70" w:before="0" w:line="276"/>
        <w:jc w:val="left"/>
      </w:pPr>
      <w:r>
        <w:rPr>
          <w:b/>
          <w:bCs/>
          <w:i w:val="false"/>
          <w:iCs w:val="false"/>
          <w:color w:val="0F6E6E"/>
          <w:sz w:val="20"/>
          <w:szCs w:val="20"/>
        </w:rPr>
        <w:t xml:space="preserve">5.  </w:t>
      </w:r>
      <w:r>
        <w:rPr>
          <w:b w:val="false"/>
          <w:bCs w:val="false"/>
          <w:i w:val="false"/>
          <w:iCs w:val="false"/>
          <w:color w:val="222629"/>
          <w:sz w:val="20"/>
          <w:szCs w:val="20"/>
        </w:rPr>
        <w:t xml:space="preserve">How to read this document</w:t>
      </w:r>
    </w:p>
    <w:p>
      <w:pPr>
        <w:spacing w:after="70" w:before="0" w:line="276"/>
        <w:jc w:val="left"/>
      </w:pPr>
      <w:r>
        <w:rPr>
          <w:b/>
          <w:bCs/>
          <w:i w:val="false"/>
          <w:iCs w:val="false"/>
          <w:color w:val="0F6E6E"/>
          <w:sz w:val="20"/>
          <w:szCs w:val="20"/>
        </w:rPr>
        <w:t xml:space="preserve">6.  </w:t>
      </w:r>
      <w:r>
        <w:rPr>
          <w:b w:val="false"/>
          <w:bCs w:val="false"/>
          <w:i w:val="false"/>
          <w:iCs w:val="false"/>
          <w:color w:val="222629"/>
          <w:sz w:val="20"/>
          <w:szCs w:val="20"/>
        </w:rPr>
        <w:t xml:space="preserve">Decision Schedule A — Consent Rule Pack</w:t>
      </w:r>
    </w:p>
    <w:p>
      <w:pPr>
        <w:spacing w:after="70" w:before="0" w:line="276"/>
        <w:jc w:val="left"/>
      </w:pPr>
      <w:r>
        <w:rPr>
          <w:b/>
          <w:bCs/>
          <w:i w:val="false"/>
          <w:iCs w:val="false"/>
          <w:color w:val="0F6E6E"/>
          <w:sz w:val="20"/>
          <w:szCs w:val="20"/>
        </w:rPr>
        <w:t xml:space="preserve">7.  </w:t>
      </w:r>
      <w:r>
        <w:rPr>
          <w:b w:val="false"/>
          <w:bCs w:val="false"/>
          <w:i w:val="false"/>
          <w:iCs w:val="false"/>
          <w:color w:val="222629"/>
          <w:sz w:val="20"/>
          <w:szCs w:val="20"/>
        </w:rPr>
        <w:t xml:space="preserve">Decision Schedule B — Suitability Rule Pack</w:t>
      </w:r>
    </w:p>
    <w:p>
      <w:pPr>
        <w:spacing w:after="70" w:before="0" w:line="276"/>
        <w:jc w:val="left"/>
      </w:pPr>
      <w:r>
        <w:rPr>
          <w:b/>
          <w:bCs/>
          <w:i w:val="false"/>
          <w:iCs w:val="false"/>
          <w:color w:val="0F6E6E"/>
          <w:sz w:val="20"/>
          <w:szCs w:val="20"/>
        </w:rPr>
        <w:t xml:space="preserve">8.  </w:t>
      </w:r>
      <w:r>
        <w:rPr>
          <w:b w:val="false"/>
          <w:bCs w:val="false"/>
          <w:i w:val="false"/>
          <w:iCs w:val="false"/>
          <w:color w:val="222629"/>
          <w:sz w:val="20"/>
          <w:szCs w:val="20"/>
        </w:rPr>
        <w:t xml:space="preserve">Open items requiring a Compliance determination</w:t>
      </w:r>
    </w:p>
    <w:p>
      <w:pPr>
        <w:spacing w:after="70" w:before="0" w:line="276"/>
        <w:jc w:val="left"/>
      </w:pPr>
      <w:r>
        <w:rPr>
          <w:b/>
          <w:bCs/>
          <w:i w:val="false"/>
          <w:iCs w:val="false"/>
          <w:color w:val="0F6E6E"/>
          <w:sz w:val="20"/>
          <w:szCs w:val="20"/>
        </w:rPr>
        <w:t xml:space="preserve">9.  </w:t>
      </w:r>
      <w:r>
        <w:rPr>
          <w:b w:val="false"/>
          <w:bCs w:val="false"/>
          <w:i w:val="false"/>
          <w:iCs w:val="false"/>
          <w:color w:val="222629"/>
          <w:sz w:val="20"/>
          <w:szCs w:val="20"/>
        </w:rPr>
        <w:t xml:space="preserve">Product proposal — consolidating consent into a single up-front ceremony</w:t>
      </w:r>
    </w:p>
    <w:p>
      <w:pPr>
        <w:spacing w:after="70" w:before="0" w:line="276"/>
        <w:jc w:val="left"/>
      </w:pPr>
      <w:r>
        <w:rPr>
          <w:b/>
          <w:bCs/>
          <w:i w:val="false"/>
          <w:iCs w:val="false"/>
          <w:color w:val="0F6E6E"/>
          <w:sz w:val="20"/>
          <w:szCs w:val="20"/>
        </w:rPr>
        <w:t xml:space="preserve">10.  </w:t>
      </w:r>
      <w:r>
        <w:rPr>
          <w:b w:val="false"/>
          <w:bCs w:val="false"/>
          <w:i w:val="false"/>
          <w:iCs w:val="false"/>
          <w:color w:val="222629"/>
          <w:sz w:val="20"/>
          <w:szCs w:val="20"/>
        </w:rPr>
        <w:t xml:space="preserve">Conditions that carry forward into build and run</w:t>
      </w:r>
    </w:p>
    <w:p>
      <w:pPr>
        <w:spacing w:after="70" w:before="0" w:line="276"/>
        <w:jc w:val="left"/>
      </w:pPr>
      <w:r>
        <w:rPr>
          <w:b/>
          <w:bCs/>
          <w:i w:val="false"/>
          <w:iCs w:val="false"/>
          <w:color w:val="0F6E6E"/>
          <w:sz w:val="20"/>
          <w:szCs w:val="20"/>
        </w:rPr>
        <w:t xml:space="preserve">11.  </w:t>
      </w:r>
      <w:r>
        <w:rPr>
          <w:b w:val="false"/>
          <w:bCs w:val="false"/>
          <w:i w:val="false"/>
          <w:iCs w:val="false"/>
          <w:color w:val="222629"/>
          <w:sz w:val="20"/>
          <w:szCs w:val="20"/>
        </w:rPr>
        <w:t xml:space="preserve">What happens after approval</w:t>
      </w:r>
    </w:p>
    <w:p>
      <w:pPr>
        <w:spacing w:after="70" w:before="0" w:line="276"/>
        <w:jc w:val="left"/>
      </w:pPr>
      <w:r>
        <w:rPr>
          <w:b/>
          <w:bCs/>
          <w:i w:val="false"/>
          <w:iCs w:val="false"/>
          <w:color w:val="0F6E6E"/>
          <w:sz w:val="20"/>
          <w:szCs w:val="20"/>
        </w:rPr>
        <w:t xml:space="preserve">12.  </w:t>
      </w:r>
      <w:r>
        <w:rPr>
          <w:b w:val="false"/>
          <w:bCs w:val="false"/>
          <w:i w:val="false"/>
          <w:iCs w:val="false"/>
          <w:color w:val="222629"/>
          <w:sz w:val="20"/>
          <w:szCs w:val="20"/>
        </w:rPr>
        <w:t xml:space="preserve">Sign-off sheet</w:t>
      </w:r>
    </w:p>
    <w:p>
      <w:pPr>
        <w:spacing w:after="70" w:before="0" w:line="276"/>
        <w:jc w:val="left"/>
      </w:pPr>
      <w:r>
        <w:rPr>
          <w:b/>
          <w:bCs/>
          <w:i w:val="false"/>
          <w:iCs w:val="false"/>
          <w:color w:val="0F6E6E"/>
          <w:sz w:val="20"/>
          <w:szCs w:val="20"/>
        </w:rPr>
        <w:t xml:space="preserve">A.  </w:t>
      </w:r>
      <w:r>
        <w:rPr>
          <w:b w:val="false"/>
          <w:bCs w:val="false"/>
          <w:i w:val="false"/>
          <w:iCs w:val="false"/>
          <w:color w:val="222629"/>
          <w:sz w:val="20"/>
          <w:szCs w:val="20"/>
        </w:rPr>
        <w:t xml:space="preserve">Appendix A — Consent Rule Pack v1.0, in full</w:t>
      </w:r>
    </w:p>
    <w:p>
      <w:pPr>
        <w:spacing w:after="70" w:before="0" w:line="276"/>
        <w:jc w:val="left"/>
      </w:pPr>
      <w:r>
        <w:rPr>
          <w:b/>
          <w:bCs/>
          <w:i w:val="false"/>
          <w:iCs w:val="false"/>
          <w:color w:val="0F6E6E"/>
          <w:sz w:val="20"/>
          <w:szCs w:val="20"/>
        </w:rPr>
        <w:t xml:space="preserve">B.  </w:t>
      </w:r>
      <w:r>
        <w:rPr>
          <w:b w:val="false"/>
          <w:bCs w:val="false"/>
          <w:i w:val="false"/>
          <w:iCs w:val="false"/>
          <w:color w:val="222629"/>
          <w:sz w:val="20"/>
          <w:szCs w:val="20"/>
        </w:rPr>
        <w:t xml:space="preserve">Appendix B — Suitability Rule Pack v1.0, in full</w:t>
      </w:r>
    </w:p>
    <w:p>
      <w:pPr>
        <w:spacing w:after="70" w:before="0" w:line="276"/>
        <w:jc w:val="left"/>
      </w:pPr>
      <w:r>
        <w:rPr>
          <w:b/>
          <w:bCs/>
          <w:i w:val="false"/>
          <w:iCs w:val="false"/>
          <w:color w:val="0F6E6E"/>
          <w:sz w:val="20"/>
          <w:szCs w:val="20"/>
        </w:rPr>
        <w:t xml:space="preserve">C.  </w:t>
      </w:r>
      <w:r>
        <w:rPr>
          <w:b w:val="false"/>
          <w:bCs w:val="false"/>
          <w:i w:val="false"/>
          <w:iCs w:val="false"/>
          <w:color w:val="222629"/>
          <w:sz w:val="20"/>
          <w:szCs w:val="20"/>
        </w:rPr>
        <w:t xml:space="preserve">Appendix C — Terms and internal references</w:t>
      </w:r>
    </w:p>
    <w:p>
      <w:pPr>
        <w:spacing w:after="30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This document stands alone</w:t>
            </w:r>
          </w:p>
          <w:p>
            <w:pPr>
              <w:spacing w:after="0" w:before="0" w:line="276"/>
              <w:jc w:val="left"/>
            </w:pPr>
            <w:r>
              <w:rPr>
                <w:b w:val="false"/>
                <w:bCs w:val="false"/>
                <w:i w:val="false"/>
                <w:iCs w:val="false"/>
                <w:color w:val="222629"/>
                <w:sz w:val="20"/>
                <w:szCs w:val="20"/>
              </w:rPr>
              <w:t xml:space="preserve">Appendices A and B reproduce every rule submitted for approval, together with the question set, the computation, the record structures and the failure behaviour they govern. Sections 1 to 12 are the decision; the appendices are the substance being decided on. Nothing else needs to be requested, and no system access is required to complete this approval.</w:t>
            </w:r>
          </w:p>
        </w:tc>
      </w:tr>
    </w:tbl>
    <w:p>
      <w:pPr>
        <w:pStyle w:val="Heading1"/>
        <w:pageBreakBefore/>
        <w:pBdr>
          <w:bottom w:val="single" w:color="0F6E6E" w:sz="8" w:space="6"/>
        </w:pBdr>
        <w:spacing w:after="160" w:before="0"/>
      </w:pPr>
      <w:r>
        <w:rPr>
          <w:b/>
          <w:bCs/>
          <w:color w:val="11304E"/>
          <w:sz w:val="30"/>
          <w:szCs w:val="30"/>
        </w:rPr>
        <w:t xml:space="preserve">1.  What Compliance is being asked to approve</w:t>
      </w:r>
    </w:p>
    <w:p>
      <w:pPr>
        <w:spacing w:after="120" w:before="0" w:line="276"/>
        <w:jc w:val="left"/>
      </w:pPr>
      <w:r>
        <w:rPr>
          <w:b w:val="false"/>
          <w:bCs w:val="false"/>
          <w:i w:val="false"/>
          <w:iCs w:val="false"/>
          <w:color w:val="222629"/>
          <w:sz w:val="20"/>
          <w:szCs w:val="20"/>
        </w:rPr>
        <w:t xml:space="preserve">This is an approval sought before development, not a review of something already built. The two rule packs submitted here define how consent and suitability will work in the first release of the insurance distribution journey. Both are held behind a build freeze. Construction starts when this approval is given, and not before.</w:t>
      </w:r>
    </w:p>
    <w:p>
      <w:pPr>
        <w:spacing w:after="120" w:before="0" w:line="276"/>
        <w:jc w:val="left"/>
      </w:pPr>
      <w:r>
        <w:rPr>
          <w:b w:val="false"/>
          <w:bCs w:val="false"/>
          <w:i w:val="false"/>
          <w:iCs w:val="false"/>
          <w:color w:val="222629"/>
          <w:sz w:val="20"/>
          <w:szCs w:val="20"/>
        </w:rPr>
        <w:t xml:space="preserve">Both packs are written so that Compliance can accept, amend or reject each section individually rather than accept or reject the whole. Three decisions are requested, and they are separable.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3277"/>
        <w:gridCol w:w="2891"/>
        <w:gridCol w:w="2795"/>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 requested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approval</w:t>
            </w:r>
          </w:p>
        </w:tc>
        <w:tc>
          <w:tcPr>
            <w:tcW w:type="dxa" w:w="279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no 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w:t>
            </w:r>
          </w:p>
        </w:tc>
        <w:tc>
          <w:tcPr>
            <w:tcW w:type="dxa" w:w="327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Approve the Consent Rule Pack v1.0</w:t>
            </w:r>
            <w:r>
              <w:rPr>
                <w:b w:val="false"/>
                <w:bCs w:val="false"/>
                <w:i w:val="false"/>
                <w:iCs w:val="false"/>
                <w:color w:val="222629"/>
                <w:sz w:val="18"/>
                <w:szCs w:val="18"/>
              </w:rPr>
              <w:t xml:space="preserve"> (38 rules), with any amendments recorded in Schedule A</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 for this stage is met, the blocking issue closes, and the Consent Service enters construction.</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Service stays behind the build freeze.</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D2</w:t>
            </w:r>
          </w:p>
        </w:tc>
        <w:tc>
          <w:tcPr>
            <w:tcW w:type="dxa" w:w="327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Approve the Suitability Rule Pack v1.0</w:t>
            </w:r>
            <w:r>
              <w:rPr>
                <w:b w:val="false"/>
                <w:bCs w:val="false"/>
                <w:i w:val="false"/>
                <w:iCs w:val="false"/>
                <w:color w:val="222629"/>
                <w:sz w:val="18"/>
                <w:szCs w:val="18"/>
              </w:rPr>
              <w:t xml:space="preserve"> (48 rules, algorithm SUIT-ALGO-LIFE-v1.0), with any amendments recorded in Schedule B</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 is met, the blocking issue closes, and the Suitability Service and the quote path enter construction.</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and quote path stays frozen.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D3</w:t>
            </w:r>
          </w:p>
        </w:tc>
        <w:tc>
          <w:tcPr>
            <w:tcW w:type="dxa" w:w="327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Determine the ten open regulatory items</w:t>
            </w:r>
            <w:r>
              <w:rPr>
                <w:b w:val="false"/>
                <w:bCs w:val="false"/>
                <w:i w:val="false"/>
                <w:iCs w:val="false"/>
                <w:color w:val="222629"/>
                <w:sz w:val="18"/>
                <w:szCs w:val="18"/>
              </w:rPr>
              <w:t xml:space="preserve"> in §8, and rule on the consent-consolidation proposal in §9</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journey sequence locks and the customer-facing wording can be drafted.</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 and D2 can still be approved; the journey is then built to the sequence described in §9.1.</w:t>
            </w:r>
          </w:p>
        </w:tc>
      </w:tr>
    </w:tbl>
    <w:p>
      <w:pPr>
        <w:spacing w:after="14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The honest position</w:t>
            </w:r>
          </w:p>
          <w:p>
            <w:pPr>
              <w:spacing w:after="0" w:before="0" w:line="276"/>
              <w:jc w:val="left"/>
            </w:pPr>
            <w:r>
              <w:rPr>
                <w:b w:val="false"/>
                <w:bCs w:val="false"/>
                <w:i w:val="false"/>
                <w:iCs w:val="false"/>
                <w:color w:val="222629"/>
                <w:sz w:val="20"/>
                <w:szCs w:val="20"/>
              </w:rPr>
              <w:t xml:space="preserve">Nothing here claims that Product has settled a regulatory question. Where the answer is Compliance’s, the question is written down, the position Product would take is stated, and the consequence of deciding otherwise is named. Ten such items are listed in §8 and §9. None of them blocks approval of D1 and D2, because all ten are wording, window or sequencing questions over a rule set and a record structure that do not change with the answer. That is the reason for specifying structure before text.</w:t>
            </w:r>
          </w:p>
        </w:tc>
      </w:tr>
    </w:tbl>
    <w:p>
      <w:pPr>
        <w:pStyle w:val="Heading1"/>
        <w:pBdr>
          <w:bottom w:val="single" w:color="0F6E6E" w:sz="8" w:space="6"/>
        </w:pBdr>
        <w:spacing w:after="160" w:before="400"/>
      </w:pPr>
      <w:r>
        <w:rPr>
          <w:b/>
          <w:bCs/>
          <w:color w:val="11304E"/>
          <w:sz w:val="30"/>
          <w:szCs w:val="30"/>
        </w:rPr>
        <w:t xml:space="preserve">2.  Executive summary</w:t>
      </w:r>
    </w:p>
    <w:p>
      <w:pPr>
        <w:spacing w:after="120" w:before="0" w:line="276"/>
        <w:jc w:val="left"/>
      </w:pPr>
      <w:r>
        <w:rPr>
          <w:b w:val="false"/>
          <w:bCs w:val="false"/>
          <w:i w:val="false"/>
          <w:iCs w:val="false"/>
          <w:color w:val="222629"/>
          <w:sz w:val="20"/>
          <w:szCs w:val="20"/>
        </w:rPr>
        <w:t xml:space="preserve">Two unresolved issues have kept this platform out of construction. The first is that the consent rules were written as intentions rather than as rules anyone could test. The second is that the suitability content — the questions, the arithmetic and the override policy — had never been decided. Both are recorded at the programme’s highest severity, which means development cannot start while either is open. Both are now answered in content. Neither is closed, because closure needs a Compliance signature, and silence does not approve a pack.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19"/>
        <w:gridCol w:w="4819"/>
      </w:tblGrid>
      <w:tr>
        <w:trPr>
          <w:cantSplit/>
          <w:tblHeader/>
        </w:trPr>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ready for approval</w:t>
            </w:r>
          </w:p>
        </w:tc>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outstanding</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86 individually testable rules across the two packs. Every rule has an identifier, a normative statement, a pass/fail test and a named enforcement point. A rule with no executable test was not admitted to either pack.</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signed Compliance conclusion on both packs. This is the only thing standing between the programme and the two approval checkpoints that release the build.</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fully specified suitability model: 12 inputs, 8 income bands, 5 age factors, a stated formula and a worked reference case, producing an outcome per product class rather than one overall verdict.</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determination that this model discharges the suitability obligation, or a direction that a prescribed model applies instead (OPEN-SUIT-01).</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precise gate: quote endpoints refuse the request unless a valid, in-date, customer-bound, outcome-permitting suitability evaluation is presented. Seven refusal cases are enumerated.</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Ratification of the override policy for the first release — that a NOT_SUITABLE outcome cannot be overridden by any actor, at any level, through any route.</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24-field consent evidence record and an 18-field suitability evaluation record, both append-only, both retained for seven years under write-once storage in an India region.</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legal wording for the consent statements and the two disclosure texts. The packs define structure, fields and versioning; the text is Compliance-authored (OPEN-CNS-02, OPEN-SUIT-03).</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Failure behaviour specified for every rule — what is refused, what the relationship manager is told, and what happens to the journey. A control that produces an unexplained error trains staff to work around it.</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ruling on the consent-consolidation proposal in §9, which would reduce the customer from as many as four consent interruptions to at most two.</w:t>
            </w:r>
          </w:p>
        </w:tc>
      </w:tr>
    </w:tbl>
    <w:p>
      <w:pPr>
        <w:spacing w:after="140"/>
      </w:pPr>
      <w:r>
        <w:t xml:space="preserve"/>
      </w:r>
    </w:p>
    <w:p>
      <w:pPr>
        <w:pStyle w:val="Heading3"/>
        <w:spacing w:after="100" w:before="220"/>
      </w:pPr>
      <w:r>
        <w:rPr>
          <w:b/>
          <w:bCs/>
          <w:color w:val="0F6E6E"/>
          <w:sz w:val="21"/>
          <w:szCs w:val="21"/>
        </w:rPr>
        <w:t xml:space="preserve">Why the timing matters</w:t>
      </w:r>
    </w:p>
    <w:p>
      <w:pPr>
        <w:pStyle w:val="ListParagraph"/>
        <w:numPr>
          <w:ilvl w:val="0"/>
          <w:numId w:val="2"/>
        </w:numPr>
        <w:spacing w:after="80" w:line="276"/>
      </w:pPr>
      <w:r>
        <w:rPr>
          <w:sz w:val="20"/>
          <w:szCs w:val="20"/>
        </w:rPr>
        <w:t xml:space="preserve">The Consent Service and the Suitability Service sit on the critical path for the first release. Neither can leave design while its rule pack is unapproved, and most of the journey depends on one or both.</w:t>
      </w:r>
    </w:p>
    <w:p>
      <w:pPr>
        <w:pStyle w:val="ListParagraph"/>
        <w:numPr>
          <w:ilvl w:val="0"/>
          <w:numId w:val="2"/>
        </w:numPr>
        <w:spacing w:after="80" w:line="276"/>
      </w:pPr>
      <w:r>
        <w:rPr>
          <w:sz w:val="20"/>
          <w:szCs w:val="20"/>
        </w:rPr>
        <w:t xml:space="preserve">The approved statement and disclosure wording is an input to screen design, not an output of it. Every week of delay moves the customer-facing design work to the right by the same week.</w:t>
      </w:r>
    </w:p>
    <w:p>
      <w:pPr>
        <w:pStyle w:val="ListParagraph"/>
        <w:numPr>
          <w:ilvl w:val="0"/>
          <w:numId w:val="2"/>
        </w:numPr>
        <w:spacing w:after="80" w:line="276"/>
      </w:pPr>
      <w:r>
        <w:rPr>
          <w:sz w:val="20"/>
          <w:szCs w:val="20"/>
        </w:rPr>
        <w:t xml:space="preserve">Approving before development is the cheap moment. The same amendment costs a paragraph now and a rebuild later; that is precisely why this is being brought to Compliance now rather than at the end.</w:t>
      </w:r>
    </w:p>
    <w:p>
      <w:pPr>
        <w:pStyle w:val="Heading1"/>
        <w:pageBreakBefore/>
        <w:pBdr>
          <w:bottom w:val="single" w:color="0F6E6E" w:sz="8" w:space="6"/>
        </w:pBdr>
        <w:spacing w:after="160" w:before="0"/>
      </w:pPr>
      <w:r>
        <w:rPr>
          <w:b/>
          <w:bCs/>
          <w:color w:val="11304E"/>
          <w:sz w:val="30"/>
          <w:szCs w:val="30"/>
        </w:rPr>
        <w:t xml:space="preserve">3.  What is submitted</w:t>
      </w:r>
    </w:p>
    <w:p>
      <w:pPr>
        <w:spacing w:after="120" w:before="0" w:line="276"/>
        <w:jc w:val="left"/>
      </w:pPr>
      <w:r>
        <w:rPr>
          <w:b w:val="false"/>
          <w:bCs w:val="false"/>
          <w:i w:val="false"/>
          <w:iCs w:val="false"/>
          <w:color w:val="222629"/>
          <w:sz w:val="20"/>
          <w:szCs w:val="20"/>
        </w:rPr>
        <w:t xml:space="preserve">Two rule packs, reproduced in full in the appendices to this document.</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3855"/>
        <w:gridCol w:w="4241"/>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Consent Rule Pack v1.0</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Suitability Rule Pack v1.0</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Rules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38 — CNS-R01 to CNS-R38</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48 — SUIT-R01 to SUIT-R48, including SUIT-R19a</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Algorithm</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applicable</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SUIT-ALGO-LIFE-v1.0</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Blocking issue it resolves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rules not executable — highest severity; development cannot start while it is open</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content and override policy unknown — highest severity; same effect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Approval checkpoint</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 for this stage, which requires a rule pack reviewed and signed by Compliance</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 on identical terms</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Covers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events and their blocking points; statement identity and versioning; capture mechanism and OTP handling; the evidence record; validity, expiry and reuse; withdrawal; retention and retrieval; failure behaviour</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need-analysis question set; the deterministic computation; product-class outcomes; the evaluation record; the hard gate before quote; invalidation and reuse; the override and exception path</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Reproduced at</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Appendix A</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Appendix B</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position</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as drafted for everything within Product’s authority</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as drafted for everything within Product’s authority</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Compliance position</w:t>
            </w:r>
          </w:p>
        </w:tc>
        <w:tc>
          <w:tcPr>
            <w:tcW w:type="dxa" w:w="3855"/>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document</w:t>
            </w:r>
          </w:p>
        </w:tc>
        <w:tc>
          <w:tcPr>
            <w:tcW w:type="dxa" w:w="4241"/>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document</w:t>
            </w:r>
          </w:p>
        </w:tc>
      </w:tr>
    </w:tbl>
    <w:p>
      <w:pPr>
        <w:spacing w:after="140"/>
      </w:pPr>
      <w:r>
        <w:t xml:space="preserve"/>
      </w:r>
    </w:p>
    <w:p>
      <w:pPr>
        <w:pStyle w:val="Heading3"/>
        <w:spacing w:after="100" w:before="220"/>
      </w:pPr>
      <w:r>
        <w:rPr>
          <w:b/>
          <w:bCs/>
          <w:color w:val="0F6E6E"/>
          <w:sz w:val="21"/>
          <w:szCs w:val="21"/>
        </w:rPr>
        <w:t xml:space="preserve">The two commitments the packs exist to make enforceable</w:t>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Consent — fail closed, and never rewritten</w:t>
            </w:r>
          </w:p>
          <w:p>
            <w:pPr>
              <w:spacing w:after="0" w:before="0" w:line="276"/>
              <w:jc w:val="left"/>
            </w:pPr>
            <w:r>
              <w:rPr>
                <w:b w:val="false"/>
                <w:bCs w:val="false"/>
                <w:i w:val="false"/>
                <w:iCs w:val="false"/>
                <w:color w:val="222629"/>
                <w:sz w:val="20"/>
                <w:szCs w:val="20"/>
              </w:rPr>
              <w:t xml:space="preserve">If the consent evidence cannot be written, the business action does not succeed. And the consent store is append-only by database privilege rather than by application code, because an append-only rule that lives in a service is an append-only rule that one urgent fix removes.</w:t>
            </w:r>
          </w:p>
        </w:tc>
      </w:tr>
    </w:tbl>
    <w:p>
      <w:pPr>
        <w:spacing w:after="10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Suitability — no quote without a valid assessment</w:t>
            </w:r>
          </w:p>
          <w:p>
            <w:pPr>
              <w:spacing w:after="0" w:before="0" w:line="276"/>
              <w:jc w:val="left"/>
            </w:pPr>
            <w:r>
              <w:rPr>
                <w:b w:val="false"/>
                <w:bCs w:val="false"/>
                <w:i w:val="false"/>
                <w:iCs w:val="false"/>
                <w:color w:val="222629"/>
                <w:sz w:val="20"/>
                <w:szCs w:val="20"/>
              </w:rPr>
              <w:t xml:space="preserve">Quote endpoints refuse the request unless it carries a suitability evaluation that is active, issued within 30 days, bound to the same customer, and whose outcome permits the product class being quoted. Four conditions; all four must hold; each is separately tested.</w:t>
            </w:r>
          </w:p>
        </w:tc>
      </w:tr>
    </w:tbl>
    <w:p>
      <w:pPr>
        <w:pStyle w:val="Heading1"/>
        <w:pBdr>
          <w:bottom w:val="single" w:color="0F6E6E" w:sz="8" w:space="6"/>
        </w:pBdr>
        <w:spacing w:after="160" w:before="400"/>
      </w:pPr>
      <w:r>
        <w:rPr>
          <w:b/>
          <w:bCs/>
          <w:color w:val="11304E"/>
          <w:sz w:val="30"/>
          <w:szCs w:val="30"/>
        </w:rPr>
        <w:t xml:space="preserve">4.  Why a signature, and what it certifies</w:t>
      </w:r>
    </w:p>
    <w:p>
      <w:pPr>
        <w:spacing w:after="120" w:before="0" w:line="276"/>
        <w:jc w:val="left"/>
      </w:pPr>
      <w:r>
        <w:rPr>
          <w:b w:val="false"/>
          <w:bCs w:val="false"/>
          <w:i w:val="false"/>
          <w:iCs w:val="false"/>
          <w:color w:val="222629"/>
          <w:sz w:val="20"/>
          <w:szCs w:val="20"/>
        </w:rPr>
        <w:t xml:space="preserve">The programme distinguishes between a rule being written down and a rule being proven to work, and it requires different evidence for each. A definition can be closed by a document that a named person has read and signed. A behaviour can only be closed by something that has actually been run and observed. This approval is the first kind, and it is what allows the second to be attempted at all.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2506"/>
        <w:gridCol w:w="5108"/>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Strength of evidence</w:t>
            </w:r>
          </w:p>
        </w:tc>
        <w:tc>
          <w:tcPr>
            <w:tcW w:type="dxa" w:w="250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consists of</w:t>
            </w:r>
          </w:p>
        </w:tc>
        <w:tc>
          <w:tcPr>
            <w:tcW w:type="dxa" w:w="510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it applies here</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Someone says so</w:t>
            </w:r>
          </w:p>
        </w:tc>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assurance, given verbally or in a status report</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acceptable for anything. "Compliance is comfortable" closes nothing.</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document exists</w:t>
            </w:r>
          </w:p>
        </w:tc>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written artefact, unreviewed</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two packs stand today. They are complete, and that on its own is not enough to release the build.</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Reviewed and signed</w:t>
            </w:r>
          </w:p>
        </w:tc>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named approver has read it and recorded a conclusion</w:t>
            </w:r>
          </w:p>
        </w:tc>
        <w:tc>
          <w:tcPr>
            <w:tcW w:type="dxa" w:w="510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What this document asks for.</w:t>
            </w:r>
            <w:r>
              <w:rPr>
                <w:b w:val="false"/>
                <w:bCs w:val="false"/>
                <w:i w:val="false"/>
                <w:iCs w:val="false"/>
                <w:color w:val="222629"/>
                <w:sz w:val="18"/>
                <w:szCs w:val="18"/>
              </w:rPr>
              <w:t xml:space="preserve"> A named Compliance approver reads the rules and records accept, amend or reject against each section of each pack.</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Run and observed</w:t>
            </w:r>
          </w:p>
        </w:tc>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control has been executed and the result captured, repeatably</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Comes later, once the services are built and the controls are tested. Approval here is what allows that work to begin; it does not stand in for it.</w:t>
            </w:r>
          </w:p>
        </w:tc>
      </w:tr>
    </w:tbl>
    <w:p>
      <w:pPr>
        <w:spacing w:after="140"/>
      </w:pPr>
      <w:r>
        <w:t xml:space="preserve"/>
      </w:r>
    </w:p>
    <w:p>
      <w:pPr>
        <w:spacing w:after="120" w:before="0" w:line="276"/>
        <w:jc w:val="left"/>
      </w:pPr>
      <w:r>
        <w:rPr>
          <w:b w:val="false"/>
          <w:bCs w:val="false"/>
          <w:i w:val="false"/>
          <w:iCs w:val="false"/>
          <w:color w:val="222629"/>
          <w:sz w:val="20"/>
          <w:szCs w:val="20"/>
        </w:rPr>
        <w:t xml:space="preserve">What the signature certifies is bounded, and deliberately so. Product owns the business behaviour of these controls — which events require consent, what the journey does when it is absent, what the relationship manager sees, what the record must carry for the business to be defensible. Compliance owns whether the sequencing, the wording basis, the retention basis and the suitability model are regulatorily permissible. No aggregate of other approvers substitutes for that. This document does not blur the line, and every rule is written so that one can be amended without disturbing the rest.</w:t>
      </w:r>
    </w:p>
    <w:p>
      <w:pPr>
        <w:pStyle w:val="Heading1"/>
        <w:pageBreakBefore/>
        <w:pBdr>
          <w:bottom w:val="single" w:color="0F6E6E" w:sz="8" w:space="6"/>
        </w:pBdr>
        <w:spacing w:after="160" w:before="0"/>
      </w:pPr>
      <w:r>
        <w:rPr>
          <w:b/>
          <w:bCs/>
          <w:color w:val="11304E"/>
          <w:sz w:val="30"/>
          <w:szCs w:val="30"/>
        </w:rPr>
        <w:t xml:space="preserve">5.  How to read this document</w:t>
      </w:r>
    </w:p>
    <w:p>
      <w:pPr>
        <w:spacing w:after="120" w:before="0" w:line="276"/>
        <w:jc w:val="left"/>
      </w:pPr>
      <w:r>
        <w:rPr>
          <w:b w:val="false"/>
          <w:bCs w:val="false"/>
          <w:i w:val="false"/>
          <w:iCs w:val="false"/>
          <w:color w:val="222629"/>
          <w:sz w:val="20"/>
          <w:szCs w:val="20"/>
        </w:rPr>
        <w:t xml:space="preserve">Sections 6 and 7 are the decision schedules — one row per section of each pack, with a box to accept, amend or reject. Each row names the rules it covers. The rules themselves are in Appendices A and B, in full, in the same order.</w:t>
      </w:r>
    </w:p>
    <w:p>
      <w:pPr>
        <w:pStyle w:val="Heading3"/>
        <w:spacing w:after="100" w:before="220"/>
      </w:pPr>
      <w:r>
        <w:rPr>
          <w:b/>
          <w:bCs/>
          <w:color w:val="0F6E6E"/>
          <w:sz w:val="21"/>
          <w:szCs w:val="21"/>
        </w:rPr>
        <w:t xml:space="preserve">Conventions used in the rules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Element</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MUST / MUST NOT / MAY</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in the RFC 2119 sense. MUST is an obligation, MUST NOT is a prohibition, MAY is a permission that creates no obligation.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Rule identifier</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CNS-Rnn for consent rules, SUIT-Rnn for suitability rules. Identifiers are permanent: a rule that is withdrawn keeps its number and is marked withdrawn, so that a reference in a later document never silently changes 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Conformance demonstration</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observable condition that separates pass from fail. Every rule has one. A rule that could not be stated with a test was not admitted to either pack, because a control nobody can test is a control nobody can evidence.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Enforced at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control will live: the API, the data store, the user interface, the notification service, the infrastructure, or a documented process. This matters because a control enforced only in a screen can be bypassed by anything that does not use the screen.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Error codes</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Written in capitals, for example CONSENT_EXPIRED. These are the machine-readable reasons a request is refused; the plain-language message shown to staff is given separately in Appendix A.11.</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Internal codes</w:t>
            </w:r>
          </w:p>
          <w:p>
            <w:pPr>
              <w:spacing w:after="0" w:before="0" w:line="276"/>
              <w:jc w:val="left"/>
            </w:pPr>
            <w:r>
              <w:rPr>
                <w:b w:val="false"/>
                <w:bCs w:val="false"/>
                <w:i w:val="false"/>
                <w:iCs w:val="false"/>
                <w:color w:val="222629"/>
                <w:sz w:val="20"/>
                <w:szCs w:val="20"/>
              </w:rPr>
              <w:t xml:space="preserve">This document avoids the delivery organisation’s internal shorthand. Where a programme code could not sensibly be removed — the rule identifiers, and the identifier of the suitability algorithm — it is explained at the point it appears. Appendix C.2 lists every such code, what it means, and how this document refers to it instead. Nothing in this approval requires any of them to be known.</w:t>
            </w:r>
          </w:p>
        </w:tc>
      </w:tr>
    </w:tbl>
    <w:p>
      <w:pPr>
        <w:spacing w:after="140"/>
      </w:pPr>
      <w:r>
        <w:t xml:space="preserve"/>
      </w:r>
    </w:p>
    <w:p>
      <w:pPr>
        <w:pStyle w:val="Heading3"/>
        <w:spacing w:after="100" w:before="220"/>
      </w:pPr>
      <w:r>
        <w:rPr>
          <w:b/>
          <w:bCs/>
          <w:color w:val="0F6E6E"/>
          <w:sz w:val="21"/>
          <w:szCs w:val="21"/>
        </w:rPr>
        <w:t xml:space="preserve">Design commitments Compliance can hold the build to</w:t>
      </w:r>
    </w:p>
    <w:p>
      <w:pPr>
        <w:spacing w:after="120" w:before="0" w:line="276"/>
        <w:jc w:val="left"/>
      </w:pPr>
      <w:r>
        <w:rPr>
          <w:b w:val="false"/>
          <w:bCs w:val="false"/>
          <w:i w:val="false"/>
          <w:iCs w:val="false"/>
          <w:color w:val="222629"/>
          <w:sz w:val="20"/>
          <w:szCs w:val="20"/>
        </w:rPr>
        <w:t xml:space="preserve">Four commitments about how these controls will be constructed. They are recorded here because they are the difference between a rule that is enforced and a rule that is merely intended, and because Compliance should be able to hold the build to them later.</w:t>
      </w:r>
    </w:p>
    <w:p>
      <w:pPr>
        <w:pStyle w:val="ListParagraph"/>
        <w:numPr>
          <w:ilvl w:val="0"/>
          <w:numId w:val="2"/>
        </w:numPr>
        <w:spacing w:after="80" w:line="276"/>
      </w:pPr>
      <w:r>
        <w:rPr>
          <w:b/>
          <w:bCs/>
          <w:i w:val="false"/>
          <w:iCs w:val="false"/>
          <w:color w:val="222629"/>
          <w:sz w:val="20"/>
          <w:szCs w:val="20"/>
        </w:rPr>
        <w:t xml:space="preserve">Consent will be a structural precondition, not a runtime check. </w:t>
      </w:r>
      <w:r>
        <w:rPr>
          <w:b w:val="false"/>
          <w:bCs w:val="false"/>
          <w:i w:val="false"/>
          <w:iCs w:val="false"/>
          <w:color w:val="222629"/>
          <w:sz w:val="20"/>
          <w:szCs w:val="20"/>
        </w:rPr>
        <w:t xml:space="preserve">Operations that require consent will be built so that they cannot be invoked without proof of a valid, unexpired grant. The intent is that "submit a proposal without consent" fails at build time rather than relying on a developer remembering to check.</w:t>
      </w:r>
    </w:p>
    <w:p>
      <w:pPr>
        <w:pStyle w:val="ListParagraph"/>
        <w:numPr>
          <w:ilvl w:val="0"/>
          <w:numId w:val="2"/>
        </w:numPr>
        <w:spacing w:after="80" w:line="276"/>
      </w:pPr>
      <w:r>
        <w:rPr>
          <w:b/>
          <w:bCs/>
          <w:i w:val="false"/>
          <w:iCs w:val="false"/>
          <w:color w:val="222629"/>
          <w:sz w:val="20"/>
          <w:szCs w:val="20"/>
        </w:rPr>
        <w:t xml:space="preserve">The relationship manager’s device will have no field for the customer’s one-time password. </w:t>
      </w:r>
      <w:r>
        <w:rPr>
          <w:b w:val="false"/>
          <w:bCs w:val="false"/>
          <w:i w:val="false"/>
          <w:iCs w:val="false"/>
          <w:color w:val="222629"/>
          <w:sz w:val="20"/>
          <w:szCs w:val="20"/>
        </w:rPr>
        <w:t xml:space="preserve">Where the code is sent to the customer’s own phone, the staff-facing screen will show pending or verified status and a resend control, and nothing that can be typed into. This is the consent equivalent of the payment-device separation principle.</w:t>
      </w:r>
    </w:p>
    <w:p>
      <w:pPr>
        <w:pStyle w:val="ListParagraph"/>
        <w:numPr>
          <w:ilvl w:val="0"/>
          <w:numId w:val="2"/>
        </w:numPr>
        <w:spacing w:after="80" w:line="276"/>
      </w:pPr>
      <w:r>
        <w:rPr>
          <w:b/>
          <w:bCs/>
          <w:i w:val="false"/>
          <w:iCs w:val="false"/>
          <w:color w:val="222629"/>
          <w:sz w:val="20"/>
          <w:szCs w:val="20"/>
        </w:rPr>
        <w:t xml:space="preserve">The suitability gate will sit at the server-side quote interface. </w:t>
      </w:r>
      <w:r>
        <w:rPr>
          <w:b w:val="false"/>
          <w:bCs w:val="false"/>
          <w:i w:val="false"/>
          <w:iCs w:val="false"/>
          <w:color w:val="222629"/>
          <w:sz w:val="20"/>
          <w:szCs w:val="20"/>
        </w:rPr>
        <w:t xml:space="preserve">Not in the screen, not in the layer that serves the screen, and not at the insurer aggregator. A gate in front of one door is not a gate.</w:t>
      </w:r>
    </w:p>
    <w:p>
      <w:pPr>
        <w:pStyle w:val="ListParagraph"/>
        <w:numPr>
          <w:ilvl w:val="0"/>
          <w:numId w:val="2"/>
        </w:numPr>
        <w:spacing w:after="80" w:line="276"/>
      </w:pPr>
      <w:r>
        <w:rPr>
          <w:b/>
          <w:bCs/>
          <w:i w:val="false"/>
          <w:iCs w:val="false"/>
          <w:color w:val="222629"/>
          <w:sz w:val="20"/>
          <w:szCs w:val="20"/>
        </w:rPr>
        <w:t xml:space="preserve">Immutability will be enforced by database privilege. </w:t>
      </w:r>
      <w:r>
        <w:rPr>
          <w:b w:val="false"/>
          <w:bCs w:val="false"/>
          <w:i w:val="false"/>
          <w:iCs w:val="false"/>
          <w:color w:val="222629"/>
          <w:sz w:val="20"/>
          <w:szCs w:val="20"/>
        </w:rPr>
        <w:t xml:space="preserve">The application’s database account will hold no update or delete right on the consent or evaluation records, so append-only survives a code change made under pressure.</w:t>
      </w:r>
    </w:p>
    <w:p>
      <w:pPr>
        <w:pStyle w:val="Heading1"/>
        <w:pageBreakBefore/>
        <w:pBdr>
          <w:bottom w:val="single" w:color="0F6E6E" w:sz="8" w:space="6"/>
        </w:pBdr>
        <w:spacing w:after="160" w:before="0"/>
      </w:pPr>
      <w:r>
        <w:rPr>
          <w:b/>
          <w:bCs/>
          <w:color w:val="11304E"/>
          <w:sz w:val="30"/>
          <w:szCs w:val="30"/>
        </w:rPr>
        <w:t xml:space="preserve">6.  Decision Schedule A — Consent Rule Pack</w:t>
      </w:r>
    </w:p>
    <w:p>
      <w:pPr>
        <w:spacing w:after="120" w:before="0" w:line="276"/>
        <w:jc w:val="left"/>
      </w:pPr>
      <w:r>
        <w:rPr>
          <w:b w:val="false"/>
          <w:bCs w:val="false"/>
          <w:i w:val="false"/>
          <w:iCs w:val="false"/>
          <w:color w:val="222629"/>
          <w:sz w:val="20"/>
          <w:szCs w:val="20"/>
        </w:rPr>
        <w:t xml:space="preserve">Mark one box per row. An amendment does not reject the pack: write the amendment in the sign-off sheet at §12 and the pack will be reissued at v1.1 carrying your text and naming you as the amending authority. A row left blank is treated as not approved. The rules referenced in each row are set out in full in Appendix A.</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approval certifies</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events</w:t>
            </w:r>
            <w:r>
              <w:rPr>
                <w:b/>
                <w:bCs/>
                <w:i w:val="false"/>
                <w:iCs w:val="false"/>
                <w:color w:val="222629"/>
                <w:sz w:val="18"/>
                <w:szCs w:val="18"/>
              </w:rPr>
              <w:br/>
              <w:t xml:space="preserve"/>
            </w:r>
            <w:r>
              <w:rPr>
                <w:b w:val="false"/>
                <w:bCs w:val="false"/>
                <w:i w:val="false"/>
                <w:iCs w:val="false"/>
                <w:color w:val="222629"/>
                <w:sz w:val="18"/>
                <w:szCs w:val="18"/>
              </w:rPr>
              <w:t xml:space="preserve">4 events, Appendix A.1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data processing, solicitation, insurer sharing and servicing communications are the right set of consent events for the first release, and that each blocks the journey at the point named.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identity and versioning</w:t>
            </w:r>
            <w:r>
              <w:rPr>
                <w:b/>
                <w:bCs/>
                <w:i w:val="false"/>
                <w:iCs w:val="false"/>
                <w:color w:val="222629"/>
                <w:sz w:val="18"/>
                <w:szCs w:val="18"/>
              </w:rPr>
              <w:br/>
              <w:t xml:space="preserve"/>
            </w:r>
            <w:r>
              <w:rPr>
                <w:b w:val="false"/>
                <w:bCs w:val="false"/>
                <w:i w:val="false"/>
                <w:iCs w:val="false"/>
                <w:color w:val="222629"/>
                <w:sz w:val="18"/>
                <w:szCs w:val="18"/>
              </w:rPr>
              <w:t xml:space="preserve">CNS-R01 – CNS-R04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capture stores the statement identifier, its version, the exact text shown to the customer and a cryptographic hash of that text; that published text can never be edited; and that only Compliance may classify a wording change as material or non-material.</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A.3</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Version change and journeys in flight</w:t>
            </w:r>
            <w:r>
              <w:rPr>
                <w:b/>
                <w:bCs/>
                <w:i w:val="false"/>
                <w:iCs w:val="false"/>
                <w:color w:val="222629"/>
                <w:sz w:val="18"/>
                <w:szCs w:val="18"/>
              </w:rPr>
              <w:br/>
              <w:t xml:space="preserve"/>
            </w:r>
            <w:r>
              <w:rPr>
                <w:b w:val="false"/>
                <w:bCs w:val="false"/>
                <w:i w:val="false"/>
                <w:iCs w:val="false"/>
                <w:color w:val="222629"/>
                <w:sz w:val="18"/>
                <w:szCs w:val="18"/>
              </w:rPr>
              <w:t xml:space="preserve">CNS-R05 – CNS-R07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material change re-prompts only journeys that have not yet passed the point the consent gates, and that journeys past that point continue under the version they captured.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Language</w:t>
            </w:r>
            <w:r>
              <w:rPr>
                <w:b/>
                <w:bCs/>
                <w:i w:val="false"/>
                <w:iCs w:val="false"/>
                <w:color w:val="222629"/>
                <w:sz w:val="18"/>
                <w:szCs w:val="18"/>
              </w:rPr>
              <w:br/>
              <w:t xml:space="preserve"/>
            </w:r>
            <w:r>
              <w:rPr>
                <w:b w:val="false"/>
                <w:bCs w:val="false"/>
                <w:i w:val="false"/>
                <w:iCs w:val="false"/>
                <w:color w:val="222629"/>
                <w:sz w:val="18"/>
                <w:szCs w:val="18"/>
              </w:rPr>
              <w:t xml:space="preserve">CNS-R08 – CNS-R09</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language shown is recorded on the record, and that a translated statement is separately Compliance-approved rather than inheriting approval from its source language.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Capture mechanism</w:t>
            </w:r>
            <w:r>
              <w:rPr>
                <w:b/>
                <w:bCs/>
                <w:i w:val="false"/>
                <w:iCs w:val="false"/>
                <w:color w:val="222629"/>
                <w:sz w:val="18"/>
                <w:szCs w:val="18"/>
              </w:rPr>
              <w:br/>
              <w:t xml:space="preserve"/>
            </w:r>
            <w:r>
              <w:rPr>
                <w:b w:val="false"/>
                <w:bCs w:val="false"/>
                <w:i w:val="false"/>
                <w:iCs w:val="false"/>
                <w:color w:val="222629"/>
                <w:sz w:val="18"/>
                <w:szCs w:val="18"/>
              </w:rPr>
              <w:t xml:space="preserve">CNS-R10 – CNS-R15</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requires a verified one-time password sent to the customer’s bank-registered mobile number; that no acknowledgement control is pre-selected; that staff cannot complete a customer-device confirmation; and the 10-minute validity, 3-attempt and 5-issue limits.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A.6</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evidence record</w:t>
            </w:r>
            <w:r>
              <w:rPr>
                <w:b/>
                <w:bCs/>
                <w:i w:val="false"/>
                <w:iCs w:val="false"/>
                <w:color w:val="222629"/>
                <w:sz w:val="18"/>
                <w:szCs w:val="18"/>
              </w:rPr>
              <w:br/>
              <w:t xml:space="preserve"/>
            </w:r>
            <w:r>
              <w:rPr>
                <w:b w:val="false"/>
                <w:bCs w:val="false"/>
                <w:i w:val="false"/>
                <w:iCs w:val="false"/>
                <w:color w:val="222629"/>
                <w:sz w:val="18"/>
                <w:szCs w:val="18"/>
              </w:rPr>
              <w:t xml:space="preserve">24 fields, Appendix A.6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these 24 fields are sufficient to defend a single consent at audit three years after it was given, and that the classification of each field is correct.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A.7</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Immutability</w:t>
            </w:r>
            <w:r>
              <w:rPr>
                <w:b/>
                <w:bCs/>
                <w:i w:val="false"/>
                <w:iCs w:val="false"/>
                <w:color w:val="222629"/>
                <w:sz w:val="18"/>
                <w:szCs w:val="18"/>
              </w:rPr>
              <w:br/>
              <w:t xml:space="preserve"/>
            </w:r>
            <w:r>
              <w:rPr>
                <w:b w:val="false"/>
                <w:bCs w:val="false"/>
                <w:i w:val="false"/>
                <w:iCs w:val="false"/>
                <w:color w:val="222629"/>
                <w:sz w:val="18"/>
                <w:szCs w:val="18"/>
              </w:rPr>
              <w:t xml:space="preserve">CNS-R16 – CNS-R20</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store is append-only by database privilege; that expiry, withdrawal and supersession are recorded as new records rather than edits; and that no restricted or confidential field appears in system logs.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A.8</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Validity, expiry and reuse</w:t>
            </w:r>
            <w:r>
              <w:rPr>
                <w:b/>
                <w:bCs/>
                <w:i w:val="false"/>
                <w:iCs w:val="false"/>
                <w:color w:val="222629"/>
                <w:sz w:val="18"/>
                <w:szCs w:val="18"/>
              </w:rPr>
              <w:br/>
              <w:t xml:space="preserve"/>
            </w:r>
            <w:r>
              <w:rPr>
                <w:b w:val="false"/>
                <w:bCs w:val="false"/>
                <w:i w:val="false"/>
                <w:iCs w:val="false"/>
                <w:color w:val="222629"/>
                <w:sz w:val="18"/>
                <w:szCs w:val="18"/>
              </w:rPr>
              <w:t xml:space="preserve">CNS-R21 – CNS-R26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90-day window for data processing and solicitation, the 30-day insurer-scoped window for sharing, no expiry for servicing communications, and reuse across journeys bounded by customer, event, scope and window.</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A.9</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Withdrawal</w:t>
            </w:r>
            <w:r>
              <w:rPr>
                <w:b/>
                <w:bCs/>
                <w:i w:val="false"/>
                <w:iCs w:val="false"/>
                <w:color w:val="222629"/>
                <w:sz w:val="18"/>
                <w:szCs w:val="18"/>
              </w:rPr>
              <w:br/>
              <w:t xml:space="preserve"/>
            </w:r>
            <w:r>
              <w:rPr>
                <w:b w:val="false"/>
                <w:bCs w:val="false"/>
                <w:i w:val="false"/>
                <w:iCs w:val="false"/>
                <w:color w:val="222629"/>
                <w:sz w:val="18"/>
                <w:szCs w:val="18"/>
              </w:rPr>
              <w:t xml:space="preserve">CNS-R27 – CNS-R32</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withdrawal is available at any time on the same verification terms as capture; that withdrawing data-processing or solicitation consent halts the journey; and that withdrawal after a proposal has been sent to an insurer is never presented to the customer as cancelling that submission.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A.10</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Retention and retrieval</w:t>
            </w:r>
            <w:r>
              <w:rPr>
                <w:b/>
                <w:bCs/>
                <w:i w:val="false"/>
                <w:iCs w:val="false"/>
                <w:color w:val="222629"/>
                <w:sz w:val="18"/>
                <w:szCs w:val="18"/>
              </w:rPr>
              <w:br/>
              <w:t xml:space="preserve"/>
            </w:r>
            <w:r>
              <w:rPr>
                <w:b w:val="false"/>
                <w:bCs w:val="false"/>
                <w:i w:val="false"/>
                <w:iCs w:val="false"/>
                <w:color w:val="222629"/>
                <w:sz w:val="18"/>
                <w:szCs w:val="18"/>
              </w:rPr>
              <w:t xml:space="preserve">CNS-R33 – CNS-R36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 years from the journey’s terminal state, write-once storage in an India region, one record retrievable within 4 business hours and a full journey bundle within 1 business day, and retention that cannot be shortened by a configuration change.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Failure behaviour</w:t>
            </w:r>
            <w:r>
              <w:rPr>
                <w:b/>
                <w:bCs/>
                <w:i w:val="false"/>
                <w:iCs w:val="false"/>
                <w:color w:val="222629"/>
                <w:sz w:val="18"/>
                <w:szCs w:val="18"/>
              </w:rPr>
              <w:br/>
              <w:t xml:space="preserve"/>
            </w:r>
            <w:r>
              <w:rPr>
                <w:b w:val="false"/>
                <w:bCs w:val="false"/>
                <w:i w:val="false"/>
                <w:iCs w:val="false"/>
                <w:color w:val="222629"/>
                <w:sz w:val="18"/>
                <w:szCs w:val="18"/>
              </w:rPr>
              <w:t xml:space="preserve">CNS-R37 – CNS-R38, Appendix A.11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capture fails closed, that a customer-identity mismatch is treated as a security event rather than a business error, and that the plain-language messages shown to staff are appropriate.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One rule in Schedule A that Product asks you to test hardest</w:t>
            </w:r>
          </w:p>
          <w:p>
            <w:pPr>
              <w:spacing w:after="0" w:before="0" w:line="276"/>
              <w:jc w:val="left"/>
            </w:pPr>
            <w:r>
              <w:rPr>
                <w:b w:val="false"/>
                <w:bCs w:val="false"/>
                <w:i w:val="false"/>
                <w:iCs w:val="false"/>
                <w:color w:val="222629"/>
                <w:sz w:val="20"/>
                <w:szCs w:val="20"/>
              </w:rPr>
              <w:t xml:space="preserve">CNS-R37 settles, for consent specifically, a question the business requirements left open — whether a failure to write an audit record should stop the business action or let it through. The Product position is that consent evidence is the artefact that makes the sale lawful, so a sale that proceeds without it is worse than a sale that fails. If Compliance takes a different view, please say so explicitly. This is not a rule that should be carried by silence.</w:t>
            </w:r>
          </w:p>
        </w:tc>
      </w:tr>
    </w:tbl>
    <w:p>
      <w:pPr>
        <w:pStyle w:val="Heading1"/>
        <w:pageBreakBefore/>
        <w:pBdr>
          <w:bottom w:val="single" w:color="0F6E6E" w:sz="8" w:space="6"/>
        </w:pBdr>
        <w:spacing w:after="160" w:before="0"/>
      </w:pPr>
      <w:r>
        <w:rPr>
          <w:b/>
          <w:bCs/>
          <w:color w:val="11304E"/>
          <w:sz w:val="30"/>
          <w:szCs w:val="30"/>
        </w:rPr>
        <w:t xml:space="preserve">7.  Decision Schedule B — Suitability Rule Pack</w:t>
      </w:r>
    </w:p>
    <w:p>
      <w:pPr>
        <w:spacing w:after="120" w:before="0" w:line="276"/>
        <w:jc w:val="left"/>
      </w:pPr>
      <w:r>
        <w:rPr>
          <w:b w:val="false"/>
          <w:bCs w:val="false"/>
          <w:i w:val="false"/>
          <w:iCs w:val="false"/>
          <w:color w:val="222629"/>
          <w:sz w:val="20"/>
          <w:szCs w:val="20"/>
        </w:rPr>
        <w:t xml:space="preserve">The rules referenced in each row are set out in full in Appendix B.</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approval certifies</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question set</w:t>
            </w:r>
            <w:r>
              <w:rPr>
                <w:b/>
                <w:bCs/>
                <w:i w:val="false"/>
                <w:iCs w:val="false"/>
                <w:color w:val="222629"/>
                <w:sz w:val="18"/>
                <w:szCs w:val="18"/>
              </w:rPr>
              <w:br/>
              <w:t xml:space="preserve"/>
            </w:r>
            <w:r>
              <w:rPr>
                <w:b w:val="false"/>
                <w:bCs w:val="false"/>
                <w:i w:val="false"/>
                <w:iCs w:val="false"/>
                <w:color w:val="222629"/>
                <w:sz w:val="18"/>
                <w:szCs w:val="18"/>
              </w:rPr>
              <w:t xml:space="preserve">12 inputs, SUIT-R01 – SUIT-R04</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four inputs taken from bank records and eight asked of the customer constitute a documented need analysis; that a partial questionnaire produces no assessment at all; and that where a customer’s self-declared figure is lower than the figure the bank already holds, the higher figure is used and the discrepancy recorded.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computation</w:t>
            </w:r>
            <w:r>
              <w:rPr>
                <w:b/>
                <w:bCs/>
                <w:i w:val="false"/>
                <w:iCs w:val="false"/>
                <w:color w:val="222629"/>
                <w:sz w:val="18"/>
                <w:szCs w:val="18"/>
              </w:rPr>
              <w:br/>
              <w:t xml:space="preserve"/>
            </w:r>
            <w:r>
              <w:rPr>
                <w:b w:val="false"/>
                <w:bCs w:val="false"/>
                <w:i w:val="false"/>
                <w:iCs w:val="false"/>
                <w:color w:val="222629"/>
                <w:sz w:val="18"/>
                <w:szCs w:val="18"/>
              </w:rPr>
              <w:t xml:space="preserve">SUIT-R05 – SUIT-R08, Appendix B.3</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model is arithmetic rather than judgement — 8 income bands, 5 age factors, a stated formula — reproducible by hand by two people to the same answer, with the algorithm version recorded on every assessment and frozen once published.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B.3</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Product-class outcomes</w:t>
            </w:r>
            <w:r>
              <w:rPr>
                <w:b/>
                <w:bCs/>
                <w:i w:val="false"/>
                <w:iCs w:val="false"/>
                <w:color w:val="222629"/>
                <w:sz w:val="18"/>
                <w:szCs w:val="18"/>
              </w:rPr>
              <w:br/>
              <w:t xml:space="preserve"/>
            </w:r>
            <w:r>
              <w:rPr>
                <w:b w:val="false"/>
                <w:bCs w:val="false"/>
                <w:i w:val="false"/>
                <w:iCs w:val="false"/>
                <w:color w:val="222629"/>
                <w:sz w:val="18"/>
                <w:szCs w:val="18"/>
              </w:rPr>
              <w:t xml:space="preserve">SUIT-R09 – SUIT-R19a</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four-value outcome vocabulary; that an assessment produces one outcome per product class rather than one overall verdict; that where several rules fire the most restrictive outcome wins; and that every reason that fired is recorded, not only the one that decided.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assessment record</w:t>
            </w:r>
            <w:r>
              <w:rPr>
                <w:b/>
                <w:bCs/>
                <w:i w:val="false"/>
                <w:iCs w:val="false"/>
                <w:color w:val="222629"/>
                <w:sz w:val="18"/>
                <w:szCs w:val="18"/>
              </w:rPr>
              <w:br/>
              <w:t xml:space="preserve"/>
            </w:r>
            <w:r>
              <w:rPr>
                <w:b w:val="false"/>
                <w:bCs w:val="false"/>
                <w:i w:val="false"/>
                <w:iCs w:val="false"/>
                <w:color w:val="222629"/>
                <w:sz w:val="18"/>
                <w:szCs w:val="18"/>
              </w:rPr>
              <w:t xml:space="preserve">18 fields, SUIT-R21 – SUIT-R24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no assessment may exist without a valid solicitation consent; that a human-readable suitability statement is produced and stored unalterably at the time of assessment; and append-only storage and seven-year retention on the same terms as consent.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gate before quote</w:t>
            </w:r>
            <w:r>
              <w:rPr>
                <w:b/>
                <w:bCs/>
                <w:i w:val="false"/>
                <w:iCs w:val="false"/>
                <w:color w:val="222629"/>
                <w:sz w:val="18"/>
                <w:szCs w:val="18"/>
              </w:rPr>
              <w:br/>
              <w:t xml:space="preserve"/>
            </w:r>
            <w:r>
              <w:rPr>
                <w:b w:val="false"/>
                <w:bCs w:val="false"/>
                <w:i w:val="false"/>
                <w:iCs w:val="false"/>
                <w:color w:val="222629"/>
                <w:sz w:val="18"/>
                <w:szCs w:val="18"/>
              </w:rPr>
              <w:t xml:space="preserve">SUIT-R20, SUIT-R25 – SUIT-R28</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gate is enforced at the server-side quote interface and not in the screen; that it refuses rather than permits when the assessment service is unavailable; that its code carries complete branch coverage with no waiver; and that all seven refusal cases are correct.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B.6</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Invalidation and re-assessment</w:t>
            </w:r>
            <w:r>
              <w:rPr>
                <w:b/>
                <w:bCs/>
                <w:i w:val="false"/>
                <w:iCs w:val="false"/>
                <w:color w:val="222629"/>
                <w:sz w:val="18"/>
                <w:szCs w:val="18"/>
              </w:rPr>
              <w:br/>
              <w:t xml:space="preserve"/>
            </w:r>
            <w:r>
              <w:rPr>
                <w:b w:val="false"/>
                <w:bCs w:val="false"/>
                <w:i w:val="false"/>
                <w:iCs w:val="false"/>
                <w:color w:val="222629"/>
                <w:sz w:val="18"/>
                <w:szCs w:val="18"/>
              </w:rPr>
              <w:t xml:space="preserve">SUIT-R29 – SUIT-R34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30-day expiry, invalidation on consent withdrawal or a change of model version, supersession by a newer assessment, and the exception that a proposal already submitted is never retrospectively invalidated.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B.7</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Reuse</w:t>
            </w:r>
            <w:r>
              <w:rPr>
                <w:b/>
                <w:bCs/>
                <w:i w:val="false"/>
                <w:iCs w:val="false"/>
                <w:color w:val="222629"/>
                <w:sz w:val="18"/>
                <w:szCs w:val="18"/>
              </w:rPr>
              <w:br/>
              <w:t xml:space="preserve"/>
            </w:r>
            <w:r>
              <w:rPr>
                <w:b w:val="false"/>
                <w:bCs w:val="false"/>
                <w:i w:val="false"/>
                <w:iCs w:val="false"/>
                <w:color w:val="222629"/>
                <w:sz w:val="18"/>
                <w:szCs w:val="18"/>
              </w:rPr>
              <w:t xml:space="preserve">SUIT-R35 – SUIT-R37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an active assessment may be reused across journeys for the same customer inside its window, never across customers, and that each reuse is itself recorded.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B.8</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 override</w:t>
            </w:r>
            <w:r>
              <w:rPr>
                <w:b/>
                <w:bCs/>
                <w:i w:val="false"/>
                <w:iCs w:val="false"/>
                <w:color w:val="222629"/>
                <w:sz w:val="18"/>
                <w:szCs w:val="18"/>
              </w:rPr>
              <w:br/>
              <w:t xml:space="preserve"/>
            </w:r>
            <w:r>
              <w:rPr>
                <w:b w:val="false"/>
                <w:bCs w:val="false"/>
                <w:i w:val="false"/>
                <w:iCs w:val="false"/>
                <w:color w:val="222629"/>
                <w:sz w:val="18"/>
                <w:szCs w:val="18"/>
              </w:rPr>
              <w:t xml:space="preserve">SUIT-R38 – SUIT-R40</w:t>
            </w:r>
          </w:p>
        </w:tc>
        <w:tc>
          <w:tcPr>
            <w:tcW w:type="dxa" w:w="443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That a NOT_SUITABLE outcome cannot be overridden by any actor at any level in the first release — no override route, no approval workflow, no configuration switch — and that the gate itself cannot be disabled by flag, configuration, environment setting or request header in any environment holding customer data.</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B.9</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Caution disclosure</w:t>
            </w:r>
            <w:r>
              <w:rPr>
                <w:b/>
                <w:bCs/>
                <w:i w:val="false"/>
                <w:iCs w:val="false"/>
                <w:color w:val="222629"/>
                <w:sz w:val="18"/>
                <w:szCs w:val="18"/>
              </w:rPr>
              <w:br/>
              <w:t xml:space="preserve"/>
            </w:r>
            <w:r>
              <w:rPr>
                <w:b w:val="false"/>
                <w:bCs w:val="false"/>
                <w:i w:val="false"/>
                <w:iCs w:val="false"/>
                <w:color w:val="222629"/>
                <w:sz w:val="18"/>
                <w:szCs w:val="18"/>
              </w:rPr>
              <w:t xml:space="preserve">SUIT-R41 – SUIT-R43</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caution outcome permits the quote but obliges a specific, named, plain-language disclosure, acknowledged by the customer on their own device with the same verification as consent.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B.10</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Customer-initiated deviation</w:t>
            </w:r>
            <w:r>
              <w:rPr>
                <w:b/>
                <w:bCs/>
                <w:i w:val="false"/>
                <w:iCs w:val="false"/>
                <w:color w:val="222629"/>
                <w:sz w:val="18"/>
                <w:szCs w:val="18"/>
              </w:rPr>
              <w:br/>
              <w:t xml:space="preserve"/>
            </w:r>
            <w:r>
              <w:rPr>
                <w:b w:val="false"/>
                <w:bCs w:val="false"/>
                <w:i w:val="false"/>
                <w:iCs w:val="false"/>
                <w:color w:val="222629"/>
                <w:sz w:val="18"/>
                <w:szCs w:val="18"/>
              </w:rPr>
              <w:t xml:space="preserve">SUIT-R44 – SUIT-R45</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customer may choose any product whose class outcome permits it, including one the model did not rank first, recorded as a divergence with a stated reason — and that this is a customer choice, not an override of the assessment.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Replacement of an existing policy</w:t>
            </w:r>
            <w:r>
              <w:rPr>
                <w:b/>
                <w:bCs/>
                <w:i w:val="false"/>
                <w:iCs w:val="false"/>
                <w:color w:val="222629"/>
                <w:sz w:val="18"/>
                <w:szCs w:val="18"/>
              </w:rPr>
              <w:br/>
              <w:t xml:space="preserve"/>
            </w:r>
            <w:r>
              <w:rPr>
                <w:b w:val="false"/>
                <w:bCs w:val="false"/>
                <w:i w:val="false"/>
                <w:iCs w:val="false"/>
                <w:color w:val="222629"/>
                <w:sz w:val="18"/>
                <w:szCs w:val="18"/>
              </w:rPr>
              <w:t xml:space="preserve">SUIT-R46 – SUIT-R47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replacement case requires a disclosure covering lost accrued benefit, fresh waiting and contestability periods and the risk of re-underwriting, acknowledged before any quote, and is flagged for post-sale review.</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one exception that exists</w:t>
            </w:r>
            <w:r>
              <w:rPr>
                <w:b/>
                <w:bCs/>
                <w:i w:val="false"/>
                <w:iCs w:val="false"/>
                <w:color w:val="222629"/>
                <w:sz w:val="18"/>
                <w:szCs w:val="18"/>
              </w:rPr>
              <w:br/>
              <w:t xml:space="preserve"/>
            </w:r>
            <w:r>
              <w:rPr>
                <w:b w:val="false"/>
                <w:bCs w:val="false"/>
                <w:i w:val="false"/>
                <w:iCs w:val="false"/>
                <w:color w:val="222629"/>
                <w:sz w:val="18"/>
                <w:szCs w:val="18"/>
              </w:rPr>
              <w:t xml:space="preserve">SUIT-R48</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an assessment believed to be wrong is remedied by a defect report against the algorithm version, resolved by publishing a corrected version under change control, and never resolved for one customer in flight.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The rule Product will defend most strongly</w:t>
            </w:r>
          </w:p>
          <w:p>
            <w:pPr>
              <w:spacing w:after="0" w:before="0" w:line="276"/>
              <w:jc w:val="left"/>
            </w:pPr>
            <w:r>
              <w:rPr>
                <w:b w:val="false"/>
                <w:bCs w:val="false"/>
                <w:i w:val="false"/>
                <w:iCs w:val="false"/>
                <w:color w:val="222629"/>
                <w:sz w:val="20"/>
                <w:szCs w:val="20"/>
              </w:rPr>
              <w:t xml:space="preserve">SUIT-R38 — no override of a NOT_SUITABLE outcome in the first release. A bank that makes overriding easy has an advisory process with a bypass button, and per-case exceptions to a suitability model are indistinguishable, at audit, from mis-selling: a model that is wrong for one customer is wrong for a population, and the remedy has to operate on the population. If Compliance and the executive sponsor want a senior-authorisation path, the Product position is that it belongs in a later release with its own control design and its own evidence obligation, not as an amendment to this pack. The question is logged as OPEN-SUIT-02.</w:t>
            </w:r>
          </w:p>
        </w:tc>
      </w:tr>
    </w:tbl>
    <w:p>
      <w:pPr>
        <w:pStyle w:val="Heading1"/>
        <w:pageBreakBefore/>
        <w:pBdr>
          <w:bottom w:val="single" w:color="0F6E6E" w:sz="8" w:space="6"/>
        </w:pBdr>
        <w:spacing w:after="160" w:before="0"/>
      </w:pPr>
      <w:r>
        <w:rPr>
          <w:b/>
          <w:bCs/>
          <w:color w:val="11304E"/>
          <w:sz w:val="30"/>
          <w:szCs w:val="30"/>
        </w:rPr>
        <w:t xml:space="preserve">8.  Open items requiring a Compliance determination</w:t>
      </w:r>
    </w:p>
    <w:p>
      <w:pPr>
        <w:spacing w:after="120" w:before="0" w:line="276"/>
        <w:jc w:val="left"/>
      </w:pPr>
      <w:r>
        <w:rPr>
          <w:b w:val="false"/>
          <w:bCs w:val="false"/>
          <w:i w:val="false"/>
          <w:iCs w:val="false"/>
          <w:color w:val="222629"/>
          <w:sz w:val="20"/>
          <w:szCs w:val="20"/>
        </w:rPr>
        <w:t xml:space="preserve">Ten items where the answer belongs to Compliance and not to Product. For each, the position Product would take is stated, so that Compliance is amending a proposal rather than starting from a blank page. None of these blocks D1 or D2.</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2795"/>
        <w:gridCol w:w="4144"/>
        <w:gridCol w:w="1542"/>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79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414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Product’s recommended position</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Needed by</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OPEN-CNS-01</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data-processing consent and solicitation consent share a single acknowledgement action, or must each have its own affirmative act?</w:t>
            </w:r>
          </w:p>
        </w:tc>
        <w:tc>
          <w:tcPr>
            <w:tcW w:type="dxa" w:w="414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action, three separately-recorded consents with three statement identifiers. If separation is required, the change is confined to the screen — the record structure already keeps them apart.</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build of the consent journey</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OPEN-CNS-02</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legal wording for each consent statement.</w:t>
            </w:r>
          </w:p>
        </w:tc>
        <w:tc>
          <w:tcPr>
            <w:tcW w:type="dxa" w:w="414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Compliance-authored. The pack defines structure, fields, identity and versioning; Product does not draft the legal text and has not attempted to.</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Screen design</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OPEN-CNS-03</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Are the 90-day and 30-day validity windows acceptable, or must they be shorter?</w:t>
            </w:r>
          </w:p>
        </w:tc>
        <w:tc>
          <w:tcPr>
            <w:tcW w:type="dxa" w:w="414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90 and 30 days. Shorter windows increase how often a customer is re-prompted for identical permission, which teaches customers that consent is noise — the outcome the obligation exists to prevent.</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build</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OPEN-CNS-04</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a withdrawal after the policy is issued create an obligation on the bank towards the insurer?</w:t>
            </w:r>
          </w:p>
        </w:tc>
        <w:tc>
          <w:tcPr>
            <w:tcW w:type="dxa" w:w="414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Treat it as an operational obligation until determined: record the withdrawal, stop further sharing, raise a task, and contact the insurer through a person.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pilot</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OPEN-CNS-05</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Interoperability with a statutory consent manager, if one is notified before go-live.</w:t>
            </w:r>
          </w:p>
        </w:tc>
        <w:tc>
          <w:tcPr>
            <w:tcW w:type="dxa" w:w="414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Design the evidence record so that it can be exported in full; do not build an integration against a specification that has not been notified.</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go-live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OPEN-CNS-06</w:t>
            </w:r>
          </w:p>
        </w:tc>
        <w:tc>
          <w:tcPr>
            <w:tcW w:type="dxa" w:w="2795"/>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Raised in this document.</w:t>
            </w:r>
            <w:r>
              <w:rPr>
                <w:b w:val="false"/>
                <w:bCs w:val="false"/>
                <w:i w:val="false"/>
                <w:iCs w:val="false"/>
                <w:color w:val="222629"/>
                <w:sz w:val="18"/>
                <w:szCs w:val="18"/>
              </w:rPr>
              <w:t xml:space="preserve"> May insurer-sharing consent be captured up front as a panel-scoped consent naming every insurer on the approved panel, with the customer’s later product selection binding it to one of them? See §9.</w:t>
            </w:r>
          </w:p>
        </w:tc>
        <w:tc>
          <w:tcPr>
            <w:tcW w:type="dxa" w:w="414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Yes, subject to the four controls proposed in §9.5.</w:t>
            </w:r>
            <w:r>
              <w:rPr>
                <w:b w:val="false"/>
                <w:bCs w:val="false"/>
                <w:i w:val="false"/>
                <w:iCs w:val="false"/>
                <w:color w:val="222629"/>
                <w:sz w:val="18"/>
                <w:szCs w:val="18"/>
              </w:rPr>
              <w:t xml:space="preserve"> This is the single change that would let the customer give consent once rather than twice.</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Screen design</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OPEN-CNS-07</w:t>
            </w:r>
          </w:p>
        </w:tc>
        <w:tc>
          <w:tcPr>
            <w:tcW w:type="dxa" w:w="2795"/>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Raised in this document.</w:t>
            </w:r>
            <w:r>
              <w:rPr>
                <w:b w:val="false"/>
                <w:bCs w:val="false"/>
                <w:i w:val="false"/>
                <w:iCs w:val="false"/>
                <w:color w:val="222629"/>
                <w:sz w:val="18"/>
                <w:szCs w:val="18"/>
              </w:rPr>
              <w:t xml:space="preserve"> Where several statements are presented in one interaction, must each be separately declinable?</w:t>
            </w:r>
          </w:p>
        </w:tc>
        <w:tc>
          <w:tcPr>
            <w:tcW w:type="dxa" w:w="414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and Product proposes to make it a rule, CNS-R12a in §9.5. It is the control that distinguishes a consolidated interaction from a bundled consent.</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Screen design</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OPEN-SUIT-01</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the income-multiple and age-factor model discharge the suitability obligation, or does a prescribed model apply?</w:t>
            </w:r>
          </w:p>
        </w:tc>
        <w:tc>
          <w:tcPr>
            <w:tcW w:type="dxa" w:w="414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Adopt the model as drafted. If a prescribed model applies, the structure, storage, gate and failure behaviour are unaffected — only the arithmetic table changes, under a new algorithm version.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build</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OPEN-SUIT-02</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a NOT_SUITABLE outcome ever be overridden with senior authorisation in a later release?</w:t>
            </w:r>
          </w:p>
        </w:tc>
        <w:tc>
          <w:tcPr>
            <w:tcW w:type="dxa" w:w="414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in the first release. Revisit later only with a designed control, a named authority, and its own evidence obligation.</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Later release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OPEN-SUIT-04</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 the 30-day assessment validity window acceptable?</w:t>
            </w:r>
          </w:p>
        </w:tc>
        <w:tc>
          <w:tcPr>
            <w:tcW w:type="dxa" w:w="414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30 days. It is deliberately shorter than the consent window, because advice ages faster than permission.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build</w:t>
            </w:r>
          </w:p>
        </w:tc>
      </w:tr>
    </w:tbl>
    <w:p>
      <w:pPr>
        <w:spacing w:after="120"/>
      </w:pPr>
      <w:r>
        <w:t xml:space="preserve"/>
      </w:r>
    </w:p>
    <w:p>
      <w:pPr>
        <w:spacing w:after="120" w:before="0" w:line="276"/>
        <w:jc w:val="left"/>
      </w:pPr>
      <w:r>
        <w:rPr>
          <w:b w:val="false"/>
          <w:bCs w:val="false"/>
          <w:i/>
          <w:iCs/>
          <w:color w:val="5A6570"/>
          <w:sz w:val="19"/>
          <w:szCs w:val="19"/>
        </w:rPr>
        <w:t xml:space="preserve">Two further items are open and do not require a determination in this sitting: the approved wording of the caution and replacement disclosures (OPEN-SUIT-03, with Legal), and whether any insurer on the panel imposes suitability requirements exceeding this model (OPEN-SUIT-05, with Bancassurance).</w:t>
      </w:r>
    </w:p>
    <w:p>
      <w:pPr>
        <w:pStyle w:val="Heading1"/>
        <w:pageBreakBefore/>
        <w:pBdr>
          <w:bottom w:val="single" w:color="0F6E6E" w:sz="8" w:space="6"/>
        </w:pBdr>
        <w:spacing w:after="160" w:before="0"/>
      </w:pPr>
      <w:r>
        <w:rPr>
          <w:b/>
          <w:bCs/>
          <w:color w:val="11304E"/>
          <w:sz w:val="30"/>
          <w:szCs w:val="30"/>
        </w:rPr>
        <w:t xml:space="preserve">9.  Product proposal — consolidating consent into a single up-front ceremony</w:t>
      </w:r>
    </w:p>
    <w:p>
      <w:pPr>
        <w:spacing w:after="120" w:before="0" w:line="276"/>
        <w:jc w:val="left"/>
      </w:pPr>
      <w:r>
        <w:rPr>
          <w:b w:val="false"/>
          <w:bCs w:val="false"/>
          <w:i w:val="false"/>
          <w:iCs w:val="false"/>
          <w:color w:val="222629"/>
          <w:sz w:val="20"/>
          <w:szCs w:val="20"/>
        </w:rPr>
        <w:t xml:space="preserve">This section is a proposal, not a settled decision. It is included because it changes what Compliance is approving, and it would be wrong to ask for approval of the sequence in the packs without saying that Product intends to change it.</w:t>
      </w:r>
    </w:p>
    <w:p>
      <w:pPr>
        <w:pStyle w:val="Heading2"/>
        <w:spacing w:after="120" w:before="300"/>
      </w:pPr>
      <w:r>
        <w:rPr>
          <w:b/>
          <w:bCs/>
          <w:color w:val="11304E"/>
          <w:sz w:val="24"/>
          <w:szCs w:val="24"/>
        </w:rPr>
        <w:t xml:space="preserve">9.1  The problem, stated plainly</w:t>
      </w:r>
    </w:p>
    <w:p>
      <w:pPr>
        <w:spacing w:after="120" w:before="0" w:line="276"/>
        <w:jc w:val="left"/>
      </w:pPr>
      <w:r>
        <w:rPr>
          <w:b w:val="false"/>
          <w:bCs w:val="false"/>
          <w:i w:val="false"/>
          <w:iCs w:val="false"/>
          <w:color w:val="222629"/>
          <w:sz w:val="20"/>
          <w:szCs w:val="20"/>
        </w:rPr>
        <w:t xml:space="preserve">Consent as currently specified is correct and scattered. Each individual placement is defensible; the sum of them is not a conversation a relationship manager can hold in a branch. In the worst case the customer is interrupted four separate times for a consent or a disclosure, each one stopping the meeting while a code travels to their phone and back.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2"/>
        <w:gridCol w:w="2313"/>
        <w:gridCol w:w="3470"/>
        <w:gridCol w:w="1542"/>
        <w:gridCol w:w="1831"/>
      </w:tblGrid>
      <w:tr>
        <w:trPr>
          <w:cantSplit/>
          <w:tblHeader/>
        </w:trPr>
        <w:tc>
          <w:tcPr>
            <w:tcW w:type="dxa" w:w="48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w:t>
            </w:r>
          </w:p>
        </w:tc>
        <w:tc>
          <w:tcPr>
            <w:tcW w:type="dxa" w:w="347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it falls in the specified journey</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Always?</w:t>
            </w:r>
          </w:p>
        </w:tc>
        <w:tc>
          <w:tcPr>
            <w:tcW w:type="dxa" w:w="183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Customer-device code</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solicitation and servicing communications</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any bank record is read and before the questionnaire is presented</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Caution disclosure</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the assessment and before quote, whenever any product class returns a caution outcome</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disclosure</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quote, whenever the customer is replacing an existing policy</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 sharing consent</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proposal, once the insurer is known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Payment authorisation</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payment, on the customer’s device</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Outside these packs</w:t>
            </w:r>
          </w:p>
        </w:tc>
      </w:tr>
    </w:tbl>
    <w:p>
      <w:pPr>
        <w:spacing w:after="120"/>
      </w:pPr>
      <w:r>
        <w:t xml:space="preserve"/>
      </w:r>
    </w:p>
    <w:p>
      <w:pPr>
        <w:spacing w:after="120" w:before="0" w:line="276"/>
        <w:jc w:val="left"/>
      </w:pPr>
      <w:r>
        <w:rPr>
          <w:b/>
          <w:bCs/>
          <w:i w:val="false"/>
          <w:iCs w:val="false"/>
          <w:color w:val="222629"/>
          <w:sz w:val="20"/>
          <w:szCs w:val="20"/>
        </w:rPr>
        <w:t xml:space="preserve">A typical journey therefore stops the customer twice. The worst case stops them four times. </w:t>
      </w:r>
      <w:r>
        <w:rPr>
          <w:b w:val="false"/>
          <w:bCs w:val="false"/>
          <w:i w:val="false"/>
          <w:iCs w:val="false"/>
          <w:color w:val="222629"/>
          <w:sz w:val="20"/>
          <w:szCs w:val="20"/>
        </w:rPr>
        <w:t xml:space="preserve">The typical case is already one interruption more than the design needs, and the worst case is a branch conversation that stalls four times before a policy is bought.</w:t>
      </w:r>
    </w:p>
    <w:p>
      <w:pPr>
        <w:pStyle w:val="Heading2"/>
        <w:spacing w:after="120" w:before="300"/>
      </w:pPr>
      <w:r>
        <w:rPr>
          <w:b/>
          <w:bCs/>
          <w:color w:val="11304E"/>
          <w:sz w:val="24"/>
          <w:szCs w:val="24"/>
        </w:rPr>
        <w:t xml:space="preserve">9.2  What was asked for, and what is actually available</w:t>
      </w:r>
    </w:p>
    <w:p>
      <w:pPr>
        <w:spacing w:after="120" w:before="0" w:line="276"/>
        <w:jc w:val="left"/>
      </w:pPr>
      <w:r>
        <w:rPr>
          <w:b w:val="false"/>
          <w:bCs w:val="false"/>
          <w:i w:val="false"/>
          <w:iCs w:val="false"/>
          <w:color w:val="222629"/>
          <w:sz w:val="20"/>
          <w:szCs w:val="20"/>
        </w:rPr>
        <w:t xml:space="preserve">The instinct is right: put the consent where the customer is already stopped, rather than wherever the journey happens to need it. But the two obvious ways of doing that are not equally available, and one of them is not available at all.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2699"/>
        <w:gridCol w:w="4915"/>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w:t>
            </w:r>
          </w:p>
        </w:tc>
        <w:tc>
          <w:tcPr>
            <w:tcW w:type="dxa" w:w="269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Description</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Assessment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 — everything at the very start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interaction at the beginning of the journey covering all four consents, before any customer data is read.</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Partly available.</w:t>
            </w:r>
            <w:r>
              <w:rPr>
                <w:b w:val="false"/>
                <w:bCs w:val="false"/>
                <w:i w:val="false"/>
                <w:iCs w:val="false"/>
                <w:color w:val="222629"/>
                <w:sz w:val="18"/>
                <w:szCs w:val="18"/>
              </w:rPr>
              <w:t xml:space="preserve"> Data processing, solicitation and servicing communications belong here and are already placed here. Insurer sharing is the difficulty: at the start of the journey no insurer has been selected, and the sharing consent is scoped to a named insurer so that the customer can see who receives their data. A consent to share with whoever the customer later chooses is a blanket consent, and blanket is the thing the scoping requirement exists to prevent — unless the panel is enumerated. That is the question raised as OPEN-CNS-06.</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 — everything at the proposal stage</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interaction once the customer has chosen a product and the insurer is therefore known.</w:t>
            </w:r>
          </w:p>
        </w:tc>
        <w:tc>
          <w:tcPr>
            <w:tcW w:type="dxa" w:w="4915"/>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Not available, and Product has to say so plainly.</w:t>
            </w:r>
            <w:r>
              <w:rPr>
                <w:b w:val="false"/>
                <w:bCs w:val="false"/>
                <w:i w:val="false"/>
                <w:iCs w:val="false"/>
                <w:color w:val="222629"/>
                <w:sz w:val="18"/>
                <w:szCs w:val="18"/>
              </w:rPr>
              <w:t xml:space="preserve"> Data-processing consent authorises reading the customer’s bank record to pre-fill the journey, and solicitation consent authorises the need analysis. By the proposal stage both of those things have already happened. Moving those consents to proposal means asking permission for processing that is already complete. That is retrospective consent; it is one of the first things an examiner looks for; and no improvement in the customer experience justifies it.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 — two interactions, front-loaded </w:t>
            </w:r>
            <w:r>
              <w:rPr>
                <w:b/>
                <w:bCs/>
                <w:i w:val="false"/>
                <w:iCs w:val="false"/>
                <w:color w:val="0F6E6E"/>
                <w:sz w:val="18"/>
                <w:szCs w:val="18"/>
              </w:rPr>
              <w:t xml:space="preserve">(recommended)</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full consent interaction at the start of the journey, including a panel-scoped sharing consent; and one conditional acknowledgement at the moment the customer selects an offer, carrying whichever disclosures actually apply plus the binding of the sharing consent to the chosen insurer.</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0F6E6E"/>
                <w:sz w:val="18"/>
                <w:szCs w:val="18"/>
              </w:rPr>
              <w:t xml:space="preserve">Recommended.</w:t>
            </w:r>
            <w:r>
              <w:rPr>
                <w:b w:val="false"/>
                <w:bCs w:val="false"/>
                <w:i w:val="false"/>
                <w:iCs w:val="false"/>
                <w:color w:val="222629"/>
                <w:sz w:val="18"/>
                <w:szCs w:val="18"/>
              </w:rPr>
              <w:t xml:space="preserve"> Delivers what Option A was reaching for — the customer consents once, at the start, before anything happens to their data — while keeping every consent specific at the moment it is relied upon. A typical journey drops to one interaction; the worst case drops to two.</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 — leave the sequence as specified</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Build the journey exactly as the packs describe it.</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Compliant, and the fallback if OPEN-CNS-06 is declined. It costs the customer one avoidable interruption on every journey, and up to three on a replacement case that also carries a caution.</w:t>
            </w:r>
          </w:p>
        </w:tc>
      </w:tr>
    </w:tbl>
    <w:p>
      <w:pPr>
        <w:pStyle w:val="Heading2"/>
        <w:spacing w:after="120" w:before="300"/>
      </w:pPr>
      <w:r>
        <w:rPr>
          <w:b/>
          <w:bCs/>
          <w:color w:val="11304E"/>
          <w:sz w:val="24"/>
          <w:szCs w:val="24"/>
        </w:rPr>
        <w:t xml:space="preserve">9.3  The recommended design</w:t>
      </w:r>
    </w:p>
    <w:p>
      <w:pPr>
        <w:spacing w:after="120" w:before="0" w:line="276"/>
        <w:jc w:val="left"/>
      </w:pPr>
      <w:r>
        <w:rPr>
          <w:b w:val="false"/>
          <w:bCs w:val="false"/>
          <w:i w:val="false"/>
          <w:iCs w:val="false"/>
          <w:color w:val="222629"/>
          <w:sz w:val="20"/>
          <w:szCs w:val="20"/>
        </w:rPr>
        <w:t xml:space="preserve">Two named interactions, and nothing else in the journey asks the customer for anything.</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4048"/>
        <w:gridCol w:w="4048"/>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 1 — Advice and Data Consent</w:t>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 2 — Recommendation Acknowledgement</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the start of the journey, before any bank record is read and before the questionnaire is presented.</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the point the customer selects an offer, after the assessment and before the proposal is drafted.</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Carries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solicitation, servicing communications, and insurer sharing scoped to the named panel.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caution disclosure if any product class produced one; the replacement disclosure if the customer is replacing a policy; and the binding of the sharing consent to the selected insurer.</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Record written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Four separate consent records, four statement identifiers, four independent withdrawal handles — sharing one verification event.</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record for each disclosure, plus one binding record referencing the sharing consent given at the start.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When it fires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 — unless a valid consent already exists for this customer within its window, in which case it does not fire at all.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Only when a disclosure actually applies. For a straightforward term purchase on a clean profile, it never fires.</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Customer-device code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or none.</w:t>
            </w:r>
          </w:p>
        </w:tc>
      </w:tr>
    </w:tbl>
    <w:p>
      <w:pPr>
        <w:spacing w:after="140"/>
      </w:pPr>
      <w:r>
        <w:t xml:space="preserve"/>
      </w:r>
    </w:p>
    <w:p>
      <w:pPr>
        <w:pStyle w:val="Heading3"/>
        <w:spacing w:after="100" w:before="220"/>
      </w:pPr>
      <w:r>
        <w:rPr>
          <w:b/>
          <w:bCs/>
          <w:color w:val="0F6E6E"/>
          <w:sz w:val="21"/>
          <w:szCs w:val="21"/>
        </w:rPr>
        <w:t xml:space="preserve">What this changes for the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19"/>
        <w:gridCol w:w="2410"/>
        <w:gridCol w:w="2409"/>
      </w:tblGrid>
      <w:tr>
        <w:trPr>
          <w:cantSplit/>
          <w:tblHeader/>
        </w:trPr>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Scenario</w:t>
            </w:r>
          </w:p>
        </w:tc>
        <w:tc>
          <w:tcPr>
            <w:tcW w:type="dxa" w:w="241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As specified</w:t>
            </w:r>
          </w:p>
        </w:tc>
        <w:tc>
          <w:tcPr>
            <w:tcW w:type="dxa" w:w="2409"/>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Proposed</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customer, clean profile, straightforward term purchase</w:t>
            </w:r>
          </w:p>
        </w:tc>
        <w:tc>
          <w:tcPr>
            <w:tcW w:type="dxa" w:w="241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c>
          <w:tcPr>
            <w:tcW w:type="dxa" w:w="2409"/>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 interaction</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whose premium is high relative to income</w:t>
            </w:r>
          </w:p>
        </w:tc>
        <w:tc>
          <w:tcPr>
            <w:tcW w:type="dxa" w:w="2410"/>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3 interactions</w:t>
            </w:r>
          </w:p>
        </w:tc>
        <w:tc>
          <w:tcPr>
            <w:tcW w:type="dxa" w:w="2409"/>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replacing an existing policy, also carrying a caution</w:t>
            </w:r>
          </w:p>
        </w:tc>
        <w:tc>
          <w:tcPr>
            <w:tcW w:type="dxa" w:w="241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4 interactions</w:t>
            </w:r>
          </w:p>
        </w:tc>
        <w:tc>
          <w:tcPr>
            <w:tcW w:type="dxa" w:w="2409"/>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Returning customer inside the 90-day window, clean profile</w:t>
            </w:r>
          </w:p>
        </w:tc>
        <w:tc>
          <w:tcPr>
            <w:tcW w:type="dxa" w:w="2410"/>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 interactions</w:t>
            </w:r>
          </w:p>
        </w:tc>
        <w:tc>
          <w:tcPr>
            <w:tcW w:type="dxa" w:w="2409"/>
            <w:shd w:fill="F1F5F8" w:color="auto" w:val="clear"/>
            <w:tcMar>
              <w:top w:type="dxa" w:w="90"/>
              <w:left w:type="dxa" w:w="130"/>
              <w:bottom w:type="dxa" w:w="90"/>
              <w:right w:type="dxa" w:w="130"/>
            </w:tcMar>
            <w:vAlign w:val="top"/>
          </w:tcPr>
          <w:p>
            <w:pPr>
              <w:spacing w:after="40" w:before="40" w:line="252"/>
              <w:jc w:val="center"/>
            </w:pPr>
            <w:r>
              <w:rPr>
                <w:b/>
                <w:bCs/>
                <w:i w:val="false"/>
                <w:iCs w:val="false"/>
                <w:color w:val="0F6E6E"/>
                <w:sz w:val="18"/>
                <w:szCs w:val="18"/>
              </w:rPr>
              <w:t xml:space="preserve">none</w:t>
            </w:r>
          </w:p>
        </w:tc>
      </w:tr>
    </w:tbl>
    <w:p>
      <w:pPr>
        <w:spacing w:after="120"/>
      </w:pPr>
      <w:r>
        <w:t xml:space="preserve"/>
      </w:r>
    </w:p>
    <w:p>
      <w:pPr>
        <w:spacing w:after="120" w:before="0" w:line="276"/>
        <w:jc w:val="left"/>
      </w:pPr>
      <w:r>
        <w:rPr>
          <w:b w:val="false"/>
          <w:bCs w:val="false"/>
          <w:i w:val="false"/>
          <w:iCs w:val="false"/>
          <w:color w:val="222629"/>
          <w:sz w:val="20"/>
          <w:szCs w:val="20"/>
        </w:rPr>
        <w:t xml:space="preserve">The last row matters most, and the rule that produces it is already in the pack: consent may be reused across journeys for the same customer inside its validity window, bounded by customer, event, scope and window together. Consolidation makes that reuse visible to the customer as one interaction skipped rather than a partial one.</w:t>
      </w:r>
    </w:p>
    <w:p>
      <w:pPr>
        <w:pStyle w:val="Heading2"/>
        <w:pageBreakBefore/>
        <w:spacing w:after="120" w:before="0"/>
      </w:pPr>
      <w:r>
        <w:rPr>
          <w:b/>
          <w:bCs/>
          <w:color w:val="11304E"/>
          <w:sz w:val="24"/>
          <w:szCs w:val="24"/>
        </w:rPr>
        <w:t xml:space="preserve">9.4  Why this is a compliance improvement and not only an experience improvement</w:t>
      </w:r>
    </w:p>
    <w:p>
      <w:pPr>
        <w:pStyle w:val="ListParagraph"/>
        <w:numPr>
          <w:ilvl w:val="0"/>
          <w:numId w:val="2"/>
        </w:numPr>
        <w:spacing w:after="80" w:line="276"/>
      </w:pPr>
      <w:r>
        <w:rPr>
          <w:b/>
          <w:bCs/>
          <w:i w:val="false"/>
          <w:iCs w:val="false"/>
          <w:color w:val="222629"/>
          <w:sz w:val="20"/>
          <w:szCs w:val="20"/>
        </w:rPr>
        <w:t xml:space="preserve">Consent precedes processing, visibly. </w:t>
      </w:r>
      <w:r>
        <w:rPr>
          <w:b w:val="false"/>
          <w:bCs w:val="false"/>
          <w:i w:val="false"/>
          <w:iCs w:val="false"/>
          <w:color w:val="222629"/>
          <w:sz w:val="20"/>
          <w:szCs w:val="20"/>
        </w:rPr>
        <w:t xml:space="preserve">Every consent in the first interaction is captured before the act it authorises. An examiner walking the journey sees permission first and processing second, with no ordering argument needed.</w:t>
      </w:r>
    </w:p>
    <w:p>
      <w:pPr>
        <w:pStyle w:val="ListParagraph"/>
        <w:numPr>
          <w:ilvl w:val="0"/>
          <w:numId w:val="2"/>
        </w:numPr>
        <w:spacing w:after="80" w:line="276"/>
      </w:pPr>
      <w:r>
        <w:rPr>
          <w:b/>
          <w:bCs/>
          <w:i w:val="false"/>
          <w:iCs w:val="false"/>
          <w:color w:val="222629"/>
          <w:sz w:val="20"/>
          <w:szCs w:val="20"/>
        </w:rPr>
        <w:t xml:space="preserve">One verification event, four separate records. </w:t>
      </w:r>
      <w:r>
        <w:rPr>
          <w:b w:val="false"/>
          <w:bCs w:val="false"/>
          <w:i w:val="false"/>
          <w:iCs w:val="false"/>
          <w:color w:val="222629"/>
          <w:sz w:val="20"/>
          <w:szCs w:val="20"/>
        </w:rPr>
        <w:t xml:space="preserve">The evidence does not degrade. Each consent keeps its own statement identifier, version, exact text, hash, validity window and withdrawal handle. What is shared between them is the verification, not the grant.</w:t>
      </w:r>
    </w:p>
    <w:p>
      <w:pPr>
        <w:pStyle w:val="ListParagraph"/>
        <w:numPr>
          <w:ilvl w:val="0"/>
          <w:numId w:val="2"/>
        </w:numPr>
        <w:spacing w:after="80" w:line="276"/>
      </w:pPr>
      <w:r>
        <w:rPr>
          <w:b/>
          <w:bCs/>
          <w:i w:val="false"/>
          <w:iCs w:val="false"/>
          <w:color w:val="222629"/>
          <w:sz w:val="20"/>
          <w:szCs w:val="20"/>
        </w:rPr>
        <w:t xml:space="preserve">Fewer interruptions means fewer workarounds. </w:t>
      </w:r>
      <w:r>
        <w:rPr>
          <w:b w:val="false"/>
          <w:bCs w:val="false"/>
          <w:i w:val="false"/>
          <w:iCs w:val="false"/>
          <w:color w:val="222629"/>
          <w:sz w:val="20"/>
          <w:szCs w:val="20"/>
        </w:rPr>
        <w:t xml:space="preserve">A control that stops a branch conversation four times teaches staff to find ways around it — to warm up the code in advance, to hold the customer’s phone, to run the interaction before the customer has arrived. Control integrity and interaction cost are not separate problems.</w:t>
      </w:r>
    </w:p>
    <w:p>
      <w:pPr>
        <w:pStyle w:val="ListParagraph"/>
        <w:numPr>
          <w:ilvl w:val="0"/>
          <w:numId w:val="2"/>
        </w:numPr>
        <w:spacing w:after="80" w:line="276"/>
      </w:pPr>
      <w:r>
        <w:rPr>
          <w:b/>
          <w:bCs/>
          <w:i w:val="false"/>
          <w:iCs w:val="false"/>
          <w:color w:val="222629"/>
          <w:sz w:val="20"/>
          <w:szCs w:val="20"/>
        </w:rPr>
        <w:t xml:space="preserve">Disclosures land where the decision is made. </w:t>
      </w:r>
      <w:r>
        <w:rPr>
          <w:b w:val="false"/>
          <w:bCs w:val="false"/>
          <w:i w:val="false"/>
          <w:iCs w:val="false"/>
          <w:color w:val="222629"/>
          <w:sz w:val="20"/>
          <w:szCs w:val="20"/>
        </w:rPr>
        <w:t xml:space="preserve">A caution about affordability means more at the moment the customer is choosing a premium than it does earlier, in the abstract.</w:t>
      </w:r>
    </w:p>
    <w:p>
      <w:pPr>
        <w:spacing w:after="10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The risk this creates, named</w:t>
            </w:r>
          </w:p>
          <w:p>
            <w:pPr>
              <w:spacing w:after="0" w:before="0" w:line="276"/>
              <w:jc w:val="left"/>
            </w:pPr>
            <w:r>
              <w:rPr>
                <w:b w:val="false"/>
                <w:bCs w:val="false"/>
                <w:i w:val="false"/>
                <w:iCs w:val="false"/>
                <w:color w:val="222629"/>
                <w:sz w:val="20"/>
                <w:szCs w:val="20"/>
              </w:rPr>
              <w:t xml:space="preserve">Consolidation moves the design closer to a bundled consent, which is precisely what separate capture was protecting against. Product’s answer is not that it will be fine — it is CNS-R12a below, which makes each statement independently declinable. If that rule is not approved, the consolidation should not proceed and Option D stands.</w:t>
            </w:r>
          </w:p>
        </w:tc>
      </w:tr>
    </w:tbl>
    <w:p>
      <w:pPr>
        <w:pStyle w:val="Heading2"/>
        <w:spacing w:after="120" w:before="300"/>
      </w:pPr>
      <w:r>
        <w:rPr>
          <w:b/>
          <w:bCs/>
          <w:color w:val="11304E"/>
          <w:sz w:val="24"/>
          <w:szCs w:val="24"/>
        </w:rPr>
        <w:t xml:space="preserve">9.5  Rule changes required, if approved</w:t>
      </w:r>
    </w:p>
    <w:p>
      <w:pPr>
        <w:spacing w:after="120" w:before="0" w:line="276"/>
        <w:jc w:val="left"/>
      </w:pPr>
      <w:r>
        <w:rPr>
          <w:b w:val="false"/>
          <w:bCs w:val="false"/>
          <w:i w:val="false"/>
          <w:iCs w:val="false"/>
          <w:color w:val="222629"/>
          <w:sz w:val="20"/>
          <w:szCs w:val="20"/>
        </w:rPr>
        <w:t xml:space="preserve">Five changes. Four are new rules; one amends a rule in the pack. Each is drafted so that Compliance can rule on it individually.</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3662"/>
        <w:gridCol w:w="2988"/>
        <w:gridCol w:w="1735"/>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298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CNS-R12a</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more than one consent statement is presented in a single interaction, each statement MUST be independently declinable. Declining servicing communications MUST NOT block the journey. Declining data processing or solicitation MUST stop it, with the reason named to the customer.</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Decline one statement and accept the rest. The accepted consents exist as separate valid records, the declined statement has no record, and the journey behaves as the decline matrix specifies.</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w:t>
            </w:r>
            <w:r>
              <w:rPr>
                <w:b/>
                <w:bCs/>
                <w:i w:val="false"/>
                <w:iCs w:val="false"/>
                <w:color w:val="222629"/>
                <w:sz w:val="18"/>
                <w:szCs w:val="18"/>
              </w:rPr>
              <w:br/>
              <w:t xml:space="preserve"/>
            </w:r>
            <w:r>
              <w:rPr>
                <w:b w:val="false"/>
                <w:bCs w:val="false"/>
                <w:i/>
                <w:iCs/>
                <w:color w:val="8A5A00"/>
                <w:sz w:val="18"/>
                <w:szCs w:val="18"/>
              </w:rPr>
              <w:t xml:space="preserve">amended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Insurer-sharing consent MAY be captured as a panel-scoped consent that names every insurer on the approved panel by legal entity name within the statement text, provided the scope is subsequently bound to exactly one of them by an explicit customer selection.</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text shown to the customer contains each panel entity’s legal name verbatim. Adding an insurer to the panel requires a new material statement version and does not extend the scope of any consent already captured.</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CNS-R22b</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data MUST NOT be transmitted to any insurer on the panel other than the one bound by the selection, notwithstanding that the consent enumerates several.</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 the scope to one insurer, then attempt a submission to another. The attempt is refused with a scope-mismatch error and no outbound transmission occurs.</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CNS-R22c</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binding MUST be recorded as a new record referencing the panel consent, carrying the selected insurer, the offer, the time, the acting staff identity and a reference to the customer’s selection. No further one-time password is required for the binding itself.</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Perform a binding; one new record exists carrying all six items, chained to the original consent, and the original record is unaltered.</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CNS-R22d</w:t>
            </w:r>
            <w:r>
              <w:rPr>
                <w:b/>
                <w:bCs/>
                <w:i w:val="false"/>
                <w:iCs w:val="false"/>
                <w:color w:val="222629"/>
                <w:sz w:val="18"/>
                <w:szCs w:val="18"/>
              </w:rPr>
              <w:br/>
              <w:t xml:space="preserve"/>
            </w:r>
            <w:r>
              <w:rPr>
                <w:b w:val="false"/>
                <w:bCs w:val="false"/>
                <w:i/>
                <w:iCs/>
                <w:color w:val="0F6E6E"/>
                <w:sz w:val="18"/>
                <w:szCs w:val="18"/>
              </w:rPr>
              <w:t xml:space="preserve">new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any data reaches the insurer, the customer MUST be shown on their own device the legal entity name of the insurer their data will be sent to, together with an instruction on how to stop the submission.</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Perform a binding; a message naming the insurer is dispatched to the customer’s registered number, and the submission is held for the stated interval before proceeding.</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2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CNS-R22d is where this design is thinnest, and Product says so</w:t>
            </w:r>
          </w:p>
          <w:p>
            <w:pPr>
              <w:spacing w:after="0" w:before="0" w:line="276"/>
              <w:jc w:val="left"/>
            </w:pPr>
            <w:r>
              <w:rPr>
                <w:b w:val="false"/>
                <w:bCs w:val="false"/>
                <w:i w:val="false"/>
                <w:iCs w:val="false"/>
                <w:color w:val="222629"/>
                <w:sz w:val="20"/>
                <w:szCs w:val="20"/>
              </w:rPr>
              <w:t xml:space="preserve">A notice naming the insurer, with an instruction on how to stop, is not the same thing as a fresh affirmative act. Reasonable people will differ on whether an enumerated-panel consent plus the customer’s own product selection together carry the specificity that a separate sharing consent carries today. Product’s view is that they do: the customer chose the insurer themselves, and the panel was named to them in writing at the point of capture. If Compliance’s view is that they do not, the fallback in §9.6 costs the customer very little.</w:t>
            </w:r>
          </w:p>
        </w:tc>
      </w:tr>
    </w:tbl>
    <w:p>
      <w:pPr>
        <w:pStyle w:val="Heading2"/>
        <w:spacing w:after="120" w:before="300"/>
      </w:pPr>
      <w:r>
        <w:rPr>
          <w:b/>
          <w:bCs/>
          <w:color w:val="11304E"/>
          <w:sz w:val="24"/>
          <w:szCs w:val="24"/>
        </w:rPr>
        <w:t xml:space="preserve">9.6  If Compliance declines the panel-scoped consent</w:t>
      </w:r>
    </w:p>
    <w:p>
      <w:pPr>
        <w:spacing w:after="120" w:before="0" w:line="276"/>
        <w:jc w:val="left"/>
      </w:pPr>
      <w:r>
        <w:rPr>
          <w:b w:val="false"/>
          <w:bCs w:val="false"/>
          <w:i w:val="false"/>
          <w:iCs w:val="false"/>
          <w:color w:val="222629"/>
          <w:sz w:val="20"/>
          <w:szCs w:val="20"/>
        </w:rPr>
        <w:t xml:space="preserve">The proposal degrades gracefully, and Product will implement the fallback without further argument.</w:t>
      </w:r>
    </w:p>
    <w:p>
      <w:pPr>
        <w:pStyle w:val="ListParagraph"/>
        <w:numPr>
          <w:ilvl w:val="0"/>
          <w:numId w:val="3"/>
        </w:numPr>
        <w:spacing w:after="80" w:line="276"/>
      </w:pPr>
      <w:r>
        <w:rPr>
          <w:sz w:val="20"/>
          <w:szCs w:val="20"/>
        </w:rPr>
        <w:t xml:space="preserve">Insurer-sharing consent reverts to capture at the point the insurer is known, with its own verification, exactly as the pack specifies today.</w:t>
      </w:r>
    </w:p>
    <w:p>
      <w:pPr>
        <w:pStyle w:val="ListParagraph"/>
        <w:numPr>
          <w:ilvl w:val="0"/>
          <w:numId w:val="3"/>
        </w:numPr>
        <w:spacing w:after="80" w:line="276"/>
      </w:pPr>
      <w:r>
        <w:rPr>
          <w:sz w:val="20"/>
          <w:szCs w:val="20"/>
        </w:rPr>
        <w:t xml:space="preserve">That capture is merged into the second interaction rather than held as a separate step at proposal — the same screen, the same verification event, alongside whichever disclosures apply.</w:t>
      </w:r>
    </w:p>
    <w:p>
      <w:pPr>
        <w:pStyle w:val="ListParagraph"/>
        <w:numPr>
          <w:ilvl w:val="0"/>
          <w:numId w:val="3"/>
        </w:numPr>
        <w:spacing w:after="80" w:line="276"/>
      </w:pPr>
      <w:r>
        <w:rPr>
          <w:sz w:val="20"/>
          <w:szCs w:val="20"/>
        </w:rPr>
        <w:t xml:space="preserve">The first interaction keeps data processing, solicitation and servicing communications as one interaction with three separately-recorded, independently-declinable consents.</w:t>
      </w:r>
    </w:p>
    <w:p>
      <w:pPr>
        <w:spacing w:after="100"/>
      </w:pPr>
      <w:r>
        <w:t xml:space="preserve"/>
      </w:r>
    </w:p>
    <w:p>
      <w:pPr>
        <w:spacing w:after="120" w:before="0" w:line="276"/>
        <w:jc w:val="left"/>
      </w:pPr>
      <w:r>
        <w:rPr>
          <w:b/>
          <w:bCs/>
          <w:i w:val="false"/>
          <w:iCs w:val="false"/>
          <w:color w:val="222629"/>
          <w:sz w:val="20"/>
          <w:szCs w:val="20"/>
        </w:rPr>
        <w:t xml:space="preserve">The fallback yields exactly two interactions in every case, instead of two to four. </w:t>
      </w:r>
      <w:r>
        <w:rPr>
          <w:b w:val="false"/>
          <w:bCs w:val="false"/>
          <w:i w:val="false"/>
          <w:iCs w:val="false"/>
          <w:color w:val="222629"/>
          <w:sz w:val="20"/>
          <w:szCs w:val="20"/>
        </w:rPr>
        <w:t xml:space="preserve">That is still an improvement, and it needs only CNS-R12a and none of the panel-scoping rules. If Compliance is minded to decline OPEN-CNS-06, please still rule on CNS-R12a, because the fallback depends on it.</w:t>
      </w:r>
    </w:p>
    <w:p>
      <w:pPr>
        <w:pStyle w:val="Heading2"/>
        <w:spacing w:after="120" w:before="300"/>
      </w:pPr>
      <w:r>
        <w:rPr>
          <w:b/>
          <w:bCs/>
          <w:color w:val="11304E"/>
          <w:sz w:val="24"/>
          <w:szCs w:val="24"/>
        </w:rPr>
        <w:t xml:space="preserve">9.7  What this changes in the work ahead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771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Area</w:t>
            </w:r>
          </w:p>
        </w:tc>
        <w:tc>
          <w:tcPr>
            <w:tcW w:type="dxa" w:w="771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Impact if §9 is approved</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Record structure</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None. The consent record already carries statement-level identity, and reuse and supersession chains are already specified. The binding record is a new record type, not a redesign.</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Service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Small. One additional operation to bind a scope, and one additional validation that the bound insurer matches the submission target.</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Journey sequencing</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Moderate. The second interaction becomes conditional, so the journey has to determine whether any disclosure applies before deciding whether to present it at all.</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Screen design</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Two screens change shape: the opening consent screen gains the sharing statement, and the proposal step loses its consent step.</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Customer-facing wording</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Direct dependency. The panel statement cannot be drafted until OPEN-CNS-06 is answered, because the statement either enumerates the panel or names a single insurer.</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Schedule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Absorbed within the current design window if the determination arrives by 29 August. After that it becomes rework on design already signed off.</w:t>
            </w:r>
          </w:p>
        </w:tc>
      </w:tr>
    </w:tbl>
    <w:p>
      <w:pPr>
        <w:pStyle w:val="Heading1"/>
        <w:pageBreakBefore/>
        <w:pBdr>
          <w:bottom w:val="single" w:color="0F6E6E" w:sz="8" w:space="6"/>
        </w:pBdr>
        <w:spacing w:after="160" w:before="0"/>
      </w:pPr>
      <w:r>
        <w:rPr>
          <w:b/>
          <w:bCs/>
          <w:color w:val="11304E"/>
          <w:sz w:val="30"/>
          <w:szCs w:val="30"/>
        </w:rPr>
        <w:t xml:space="preserve">10.  Conditions that carry forward into build and run</w:t>
      </w:r>
    </w:p>
    <w:p>
      <w:pPr>
        <w:spacing w:after="120" w:before="0" w:line="276"/>
        <w:jc w:val="left"/>
      </w:pPr>
      <w:r>
        <w:rPr>
          <w:b w:val="false"/>
          <w:bCs w:val="false"/>
          <w:i w:val="false"/>
          <w:iCs w:val="false"/>
          <w:color w:val="222629"/>
          <w:sz w:val="20"/>
          <w:szCs w:val="20"/>
        </w:rPr>
        <w:t xml:space="preserve">Approval of D1 and D2 does not discharge every obligation in the two packs. Three are conditions on later stages, and they are recorded here so that they are not lost when the two blocking issues close.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241"/>
        <w:gridCol w:w="1542"/>
        <w:gridCol w:w="1638"/>
        <w:gridCol w:w="2217"/>
      </w:tblGrid>
      <w:tr>
        <w:trPr>
          <w:cantSplit/>
          <w:tblHeader/>
        </w:trPr>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must be met</w:t>
            </w:r>
          </w:p>
        </w:tc>
      </w:tr>
      <w:tr>
        <w:trPr>
          <w:cantSplit/>
        </w:trPr>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enforced by database privilege rather than by application code. The application’s database account must hold no update or delete right on either the consent records or the assessment records.</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 SUIT-R23</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Aarti (Database)</w:t>
            </w:r>
          </w:p>
        </w:tc>
        <w:tc>
          <w:tcPr>
            <w:tcW w:type="dxa" w:w="221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Infrastructure stage, before the first customer record exists</w:t>
            </w:r>
          </w:p>
        </w:tc>
      </w:tr>
      <w:tr>
        <w:trPr>
          <w:cantSplit/>
        </w:trPr>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Write-once retention for seven years in an India region, not shortenable by any application configuration change. Data residency is on the agreed non-waivable list.</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 SUIT-R24</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with Infrastructure</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Infrastructure stage — cannot be deferred to the build stage</w:t>
            </w:r>
          </w:p>
        </w:tc>
      </w:tr>
      <w:tr>
        <w:trPr>
          <w:cantSplit/>
        </w:trPr>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Complete branch coverage on the code implementing the suitability gate, with no waiver available to any authority.</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SUIT-R27</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 (QA)</w:t>
            </w:r>
          </w:p>
        </w:tc>
        <w:tc>
          <w:tcPr>
            <w:tcW w:type="dxa" w:w="221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the gate code is accepted, and again when the first end-to-end journey is tested</w:t>
            </w:r>
          </w:p>
        </w:tc>
      </w:tr>
    </w:tbl>
    <w:p>
      <w:pPr>
        <w:spacing w:after="140"/>
      </w:pPr>
      <w:r>
        <w:t xml:space="preserve"/>
      </w:r>
    </w:p>
    <w:p>
      <w:pPr>
        <w:pStyle w:val="Heading3"/>
        <w:spacing w:after="100" w:before="220"/>
      </w:pPr>
      <w:r>
        <w:rPr>
          <w:b/>
          <w:bCs/>
          <w:color w:val="0F6E6E"/>
          <w:sz w:val="21"/>
          <w:szCs w:val="21"/>
        </w:rPr>
        <w:t xml:space="preserve">Other approvals still required</w:t>
      </w:r>
    </w:p>
    <w:p>
      <w:pPr>
        <w:spacing w:after="120" w:before="0" w:line="276"/>
        <w:jc w:val="left"/>
      </w:pPr>
      <w:r>
        <w:rPr>
          <w:b w:val="false"/>
          <w:bCs w:val="false"/>
          <w:i w:val="false"/>
          <w:iCs w:val="false"/>
          <w:color w:val="222629"/>
          <w:sz w:val="20"/>
          <w:szCs w:val="20"/>
        </w:rPr>
        <w:t xml:space="preserve">Compliance approval is necessary but not sufficient. The following are being pursued in parallel and none of them blocks the Compliance signature.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5590"/>
        <w:gridCol w:w="1735"/>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Approver</w:t>
            </w:r>
          </w:p>
        </w:tc>
        <w:tc>
          <w:tcPr>
            <w:tcW w:type="dxa" w:w="559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their conclusion covers</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Status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Deepali — Information Security</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One-time password handling; confidentiality of network address and staff licence identifiers; routing of the security event on a customer-identity mismatch; server-side enforcement and refuse-on-unavailable behaviour for the suitability gate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Aarti — Database</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enforced by privilege on both record stores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 — Quality Assurance</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rule’s conformance test is executable as written, and that all seven gate refusal cases can be automated</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Mahesh — Solution Architecture</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Placement of the gate at the quote interface, and the availability coupling that refusing-on-unavailable implies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bl>
    <w:p>
      <w:pPr>
        <w:pStyle w:val="Heading1"/>
        <w:pBdr>
          <w:bottom w:val="single" w:color="0F6E6E" w:sz="8" w:space="6"/>
        </w:pBdr>
        <w:spacing w:after="160" w:before="400"/>
      </w:pPr>
      <w:r>
        <w:rPr>
          <w:b/>
          <w:bCs/>
          <w:color w:val="11304E"/>
          <w:sz w:val="30"/>
          <w:szCs w:val="30"/>
        </w:rPr>
        <w:t xml:space="preserve">11.  What happens after approval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867"/>
        <w:gridCol w:w="5108"/>
        <w:gridCol w:w="2120"/>
        <w:gridCol w:w="1543"/>
      </w:tblGrid>
      <w:tr>
        <w:trPr>
          <w:cantSplit/>
          <w:tblHeader/>
        </w:trPr>
        <w:tc>
          <w:tcPr>
            <w:tcW w:type="dxa" w:w="86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Step</w:t>
            </w:r>
          </w:p>
        </w:tc>
        <w:tc>
          <w:tcPr>
            <w:tcW w:type="dxa" w:w="510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Action</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154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Timing</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1</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Schedules A and B returned with a decision recorded against every row, and the sign-off sheet at §12 completed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Shailja</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By 29 August 2026</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2</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Any amendments incorporated and the packs reissued at v1.1 with a change log naming the amending authority</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Rajal</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Within 2 working days of return</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3</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two blocking issues recorded as closed in the programme’s issue register</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Rajal</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day as v1.1</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4</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approval checkpoints recorded as met, citing the signed packs as the evidence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Kalpana (Delivery)</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week</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5</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Service and the Suitability Service released from the build freeze into construction</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Mahesh, with Delivery</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 the stage transition</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6</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statement and disclosure wording drafted against the approved structure and folded into the customer-facing design</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Shailja and Legal, with Product</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Experience design stage</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7</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rule re-proven as executed evidence once the services are built and tested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Swapnali</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the first end-to-end journey runs</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One procedural point</w:t>
            </w:r>
          </w:p>
          <w:p>
            <w:pPr>
              <w:spacing w:after="0" w:before="0" w:line="276"/>
              <w:jc w:val="left"/>
            </w:pPr>
            <w:r>
              <w:rPr>
                <w:b w:val="false"/>
                <w:bCs w:val="false"/>
                <w:i w:val="false"/>
                <w:iCs w:val="false"/>
                <w:color w:val="222629"/>
                <w:sz w:val="20"/>
                <w:szCs w:val="20"/>
              </w:rPr>
              <w:t xml:space="preserve">Under the governance model, a stage may be marked ready for decision by the delivery lead, but only the Architect and the Product Owner jointly, as named humans, may mark it passed. Steps 4 and 5 above are subject to that. This approval does not shortcut it.</w:t>
            </w:r>
          </w:p>
        </w:tc>
      </w:tr>
    </w:tbl>
    <w:p>
      <w:pPr>
        <w:pStyle w:val="Heading1"/>
        <w:pageBreakBefore/>
        <w:pBdr>
          <w:bottom w:val="single" w:color="0F6E6E" w:sz="8" w:space="6"/>
        </w:pBdr>
        <w:spacing w:after="160" w:before="0"/>
      </w:pPr>
      <w:r>
        <w:rPr>
          <w:b/>
          <w:bCs/>
          <w:color w:val="11304E"/>
          <w:sz w:val="30"/>
          <w:szCs w:val="30"/>
        </w:rPr>
        <w:t xml:space="preserve">12.  Sign-off sheet</w:t>
      </w:r>
    </w:p>
    <w:p>
      <w:pPr>
        <w:spacing w:after="120" w:before="0" w:line="276"/>
        <w:jc w:val="left"/>
      </w:pPr>
      <w:r>
        <w:rPr>
          <w:b w:val="false"/>
          <w:bCs w:val="false"/>
          <w:i w:val="false"/>
          <w:iCs w:val="false"/>
          <w:color w:val="222629"/>
          <w:sz w:val="20"/>
          <w:szCs w:val="20"/>
        </w:rPr>
        <w:t xml:space="preserve">A signature here records a conclusion on the pack as a whole. Section-level conclusions belong in Schedules A and B, which form part of this signature.</w:t>
      </w:r>
    </w:p>
    <w:p>
      <w:pPr>
        <w:spacing w:after="100"/>
      </w:pPr>
      <w:r>
        <w:t xml:space="preserve"/>
      </w:r>
    </w:p>
    <w:p>
      <w:pPr>
        <w:pStyle w:val="Heading3"/>
        <w:spacing w:after="100" w:before="220"/>
      </w:pPr>
      <w:r>
        <w:rPr>
          <w:b/>
          <w:bCs/>
          <w:color w:val="0F6E6E"/>
          <w:sz w:val="21"/>
          <w:szCs w:val="21"/>
        </w:rPr>
        <w:t xml:space="preserve">Primary approval — human signature mandatory</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Compliance &amp; Risk</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Shailja S — Compliance &amp; Risk Head</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Regulatory permissibility of both rule packs; the basis for statement and disclosure wording; the sequencing of consent within the journey; the retention basis; the ten open determinations in §8; and the consent-consolidation proposal in §9, including OPEN-CNS-06 and OPEN-CNS-07.</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r>
        <w:br w:type="page"/>
      </w:r>
    </w:p>
    <w:p>
      <w:pPr>
        <w:pStyle w:val="Heading3"/>
        <w:spacing w:after="100" w:before="220"/>
      </w:pPr>
      <w:r>
        <w:rPr>
          <w:b/>
          <w:bCs/>
          <w:color w:val="0F6E6E"/>
          <w:sz w:val="21"/>
          <w:szCs w:val="21"/>
        </w:rPr>
        <w:t xml:space="preserve">Supporting conclusions</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Information Security</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Deepali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Consent capture and one-time password handling (CNS-R10 – R15); confidentiality of restricted fields in logs (CNS-R20); security-event routing on identity mismatch (CNS-R38); server-side enforcement, refuse-on-unavailable and no-disable-route for the suitability gate (SUIT-R25, R26, R40).</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Data and Database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Aarti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Append-only enforced by database privilege on the consent and assessment record stores (CNS-R16 – R18, SUIT-R23), and the retrieval paths required by CNS-R19.</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Quality Assurance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Swapnali</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That every rule in both packs states a conformance test that is executable as written; complete branch coverage on the gate (SUIT-R27); and that all seven gate refusal cases can be automated.</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Solution Architecture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Mahesh</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Placement of the suitability gate at the server-side quote interface, and the service-availability coupling implied by refusing quotes when the assessment service is unavailable (SUIT-R26).</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200"/>
      </w:pPr>
      <w:r>
        <w:t xml:space="preserve"/>
      </w:r>
    </w:p>
    <w:tbl>
      <w:tblPr>
        <w:tblW w:type="dxa" w:w="9638"/>
        <w:tblBorders>
          <w:top w:val="none" w:color="FFFFFF" w:sz="0"/>
          <w:left w:val="single" w:color="11304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11304E"/>
                <w:sz w:val="20"/>
                <w:szCs w:val="20"/>
              </w:rPr>
              <w:t xml:space="preserve">Recorded position of the author</w:t>
            </w:r>
          </w:p>
          <w:p>
            <w:pPr>
              <w:spacing w:after="0" w:before="0" w:line="276"/>
              <w:jc w:val="left"/>
            </w:pPr>
            <w:r>
              <w:rPr>
                <w:b w:val="false"/>
                <w:bCs w:val="false"/>
                <w:i w:val="false"/>
                <w:iCs w:val="false"/>
                <w:color w:val="222629"/>
                <w:sz w:val="20"/>
                <w:szCs w:val="20"/>
              </w:rPr>
              <w:t xml:space="preserve">Product has approved both packs as drafted for everything within Product’s authority — the business behaviour of each control, the points at which the journey is blocked, the experience when a control refuses, the reuse policy, the question set, the outcome semantics, and the handling of customer deviation and policy replacement. Rajal, Principal Insurance Platform Product Owner, 17 August 2026. Silence from Compliance does not approve either pack.</w:t>
            </w:r>
          </w:p>
        </w:tc>
      </w:tr>
    </w:tbl>
    <w:p>
      <w:pPr>
        <w:pStyle w:val="Heading1"/>
        <w:pageBreakBefore/>
        <w:pBdr>
          <w:bottom w:val="single" w:color="0F6E6E" w:sz="8" w:space="6"/>
        </w:pBdr>
        <w:spacing w:after="160" w:before="0"/>
      </w:pPr>
      <w:r>
        <w:rPr>
          <w:b/>
          <w:bCs/>
          <w:color w:val="11304E"/>
          <w:sz w:val="30"/>
          <w:szCs w:val="30"/>
        </w:rPr>
        <w:t xml:space="preserve">Appendix A — Consent Rule Pack v1.0, in full</w:t>
      </w:r>
    </w:p>
    <w:p>
      <w:pPr>
        <w:spacing w:after="160" w:before="0" w:line="276"/>
        <w:jc w:val="left"/>
      </w:pPr>
      <w:r>
        <w:rPr>
          <w:b/>
          <w:bCs/>
          <w:i w:val="false"/>
          <w:iCs w:val="false"/>
          <w:color w:val="222629"/>
          <w:sz w:val="20"/>
          <w:szCs w:val="20"/>
        </w:rPr>
        <w:t xml:space="preserve">Pack identifier CONSENT-PACK-v1.0.  38 rules.  </w:t>
      </w:r>
      <w:r>
        <w:rPr>
          <w:b w:val="false"/>
          <w:bCs w:val="false"/>
          <w:i w:val="false"/>
          <w:iCs w:val="false"/>
          <w:color w:val="222629"/>
          <w:sz w:val="20"/>
          <w:szCs w:val="20"/>
        </w:rPr>
        <w:t xml:space="preserve">Scope: the first release — Life distribution assisted by a relationship manager, to existing bank customers, through the approved insurer panel. This appendix is the complete text of what Decision Schedule A approves.</w:t>
      </w:r>
    </w:p>
    <w:p>
      <w:pPr>
        <w:pStyle w:val="Heading2"/>
        <w:spacing w:after="120" w:before="300"/>
      </w:pPr>
      <w:r>
        <w:rPr>
          <w:b/>
          <w:bCs/>
          <w:color w:val="11304E"/>
          <w:sz w:val="24"/>
          <w:szCs w:val="24"/>
        </w:rPr>
        <w:t xml:space="preserve">A.1  Consent events in the first release</w:t>
      </w:r>
    </w:p>
    <w:p>
      <w:pPr>
        <w:spacing w:after="120" w:before="0" w:line="276"/>
        <w:jc w:val="left"/>
      </w:pPr>
      <w:r>
        <w:rPr>
          <w:b w:val="false"/>
          <w:bCs w:val="false"/>
          <w:i w:val="false"/>
          <w:iCs w:val="false"/>
          <w:color w:val="222629"/>
          <w:sz w:val="20"/>
          <w:szCs w:val="20"/>
        </w:rPr>
        <w:t xml:space="preserve">Five consent events are defined; four are in scope for the first release. Each has a code, a position in the journey, and an effect if it is absent. The position given is the earliest point at which the consent must exist — it may always be captured earlier, which is the subject of the proposal in §9.</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964"/>
        <w:gridCol w:w="2313"/>
        <w:gridCol w:w="2313"/>
        <w:gridCol w:w="2602"/>
        <w:gridCol w:w="1446"/>
      </w:tblGrid>
      <w:tr>
        <w:trPr>
          <w:cantSplit/>
          <w:tblHeader/>
        </w:trPr>
        <w:tc>
          <w:tcPr>
            <w:tcW w:type="dxa" w:w="96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Consent event</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Must exist before</w:t>
            </w:r>
          </w:p>
        </w:tc>
        <w:tc>
          <w:tcPr>
            <w:tcW w:type="dxa" w:w="260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if absent</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 scope now</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CNS-DP</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and pre-fill from bank records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Any customer data is read from the bank record into the journey</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search returns identity only; no pre-fill and no progression</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CNS-SOL</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Insurance solicitation, need analysis and suitability</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questionnaire is presented</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suitability assessment can be created</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CNS-SHR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Sharing data with the selected insurer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proposal is submitted to the insurer</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Proposal submission is refused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CNS-COM</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Servicing communications by message, email or push</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outbound customer communication</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Communication suppressed; the journey continues</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CNS-RDR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Controlled redirect to an off-panel insurer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redirect link is generated</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Redirect refused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later release</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Product’s position on presentation</w:t>
            </w:r>
          </w:p>
          <w:p>
            <w:pPr>
              <w:spacing w:after="0" w:before="0" w:line="276"/>
              <w:jc w:val="left"/>
            </w:pPr>
            <w:r>
              <w:rPr>
                <w:b w:val="false"/>
                <w:bCs w:val="false"/>
                <w:i w:val="false"/>
                <w:iCs w:val="false"/>
                <w:color w:val="222629"/>
                <w:sz w:val="20"/>
                <w:szCs w:val="20"/>
              </w:rPr>
              <w:t xml:space="preserve">Data processing, solicitation and servicing communications are presented to the customer as one acknowledgement with three separately-recorded consents. The customer experiences one interaction; the record holds three rows with three statement identifiers. This gives the experience benefit without the exposure of a bundled consent. Sharing consent is captured separately in the pack as drafted, because the counterparty is named in the statement and the customer must see which insurer receives their data — this is the point §9 proposes to change. Whether data processing and solicitation may share a single affirmative act at all is OPEN-CNS-01.</w:t>
            </w:r>
          </w:p>
        </w:tc>
      </w:tr>
    </w:tbl>
    <w:p>
      <w:pPr>
        <w:pStyle w:val="Heading2"/>
        <w:spacing w:after="120" w:before="300"/>
      </w:pPr>
      <w:r>
        <w:rPr>
          <w:b/>
          <w:bCs/>
          <w:color w:val="11304E"/>
          <w:sz w:val="24"/>
          <w:szCs w:val="24"/>
        </w:rPr>
        <w:t xml:space="preserve">A.2  Statement identity and versioning</w:t>
      </w:r>
    </w:p>
    <w:p>
      <w:pPr>
        <w:spacing w:after="120" w:before="0" w:line="276"/>
        <w:jc w:val="left"/>
      </w:pPr>
      <w:r>
        <w:rPr>
          <w:b w:val="false"/>
          <w:bCs w:val="false"/>
          <w:i w:val="false"/>
          <w:iCs w:val="false"/>
          <w:color w:val="222629"/>
          <w:sz w:val="20"/>
          <w:szCs w:val="20"/>
        </w:rPr>
        <w:t xml:space="preserve">Every consent statement carries an identifier whose meaning never changes:</w:t>
      </w:r>
    </w:p>
    <w:p>
      <w:pPr>
        <w:spacing w:after="100" w:before="0" w:line="276"/>
        <w:jc w:val="left"/>
      </w:pPr>
      <w:r>
        <w:rPr>
          <w:rFonts w:ascii="Consolas" w:cs="Consolas" w:eastAsia="Consolas" w:hAnsi="Consolas"/>
          <w:b w:val="false"/>
          <w:bCs w:val="false"/>
          <w:i w:val="false"/>
          <w:iCs w:val="false"/>
          <w:color w:val="11304E"/>
          <w:sz w:val="18"/>
          <w:szCs w:val="18"/>
        </w:rPr>
        <w:t xml:space="preserve">&lt;CONSENT_CODE&gt;-&lt;LANGUAGE&gt;-v&lt;MAJOR&gt;.&lt;MINOR&gt;          for example:  CNS-DP-en-IN-v1.0</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captured consent MUST record the statement identifier, the statement version, and a SHA-256 hash of the exact statement text rendered to the customer.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any consent record: all three fields present and non-null, and recomputing the hash over the stored text reproduces the stored hash.</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text MUST be immutable once a version is published. A change of wording MUST create a new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alter the text of a published version. The attempt is refused.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major version increment signals a material change of meaning; a minor increment signals a non-material change such as a typographical or formatting correction. Only Compliance may classify which it is.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published version carries a change classification and the name of the Compliance approver who set it. Without both, publication is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statement text stored with the evidence record MUST be the text actually shown to the customer, not a reference resolved when the record is later read.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new version, then retrieve a consent captured under the previous version. The previous text is returned word for word.</w:t>
            </w:r>
          </w:p>
        </w:tc>
      </w:tr>
    </w:tbl>
    <w:p>
      <w:pPr>
        <w:spacing w:after="12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CNS-R04 is the rule that makes the evidence defensible</w:t>
            </w:r>
          </w:p>
          <w:p>
            <w:pPr>
              <w:spacing w:after="0" w:before="0" w:line="276"/>
              <w:jc w:val="left"/>
            </w:pPr>
            <w:r>
              <w:rPr>
                <w:b w:val="false"/>
                <w:bCs w:val="false"/>
                <w:i w:val="false"/>
                <w:iCs w:val="false"/>
                <w:color w:val="222629"/>
                <w:sz w:val="20"/>
                <w:szCs w:val="20"/>
              </w:rPr>
              <w:t xml:space="preserve">A record saying "the customer accepted statement version 1.0", which then resolves version 1.0 from a table that can change, proves nothing three years later. The text has to travel with the record.</w:t>
            </w:r>
          </w:p>
        </w:tc>
      </w:tr>
    </w:tbl>
    <w:p>
      <w:pPr>
        <w:pStyle w:val="Heading2"/>
        <w:spacing w:after="120" w:before="300"/>
      </w:pPr>
      <w:r>
        <w:rPr>
          <w:b/>
          <w:bCs/>
          <w:color w:val="11304E"/>
          <w:sz w:val="24"/>
          <w:szCs w:val="24"/>
        </w:rPr>
        <w:t xml:space="preserve">A.3  Version change and journeys already in flight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material version change MUST invalidate consents captured under earlier versions for journeys that have not yet passed the point the consent gates. Journeys past that point continue under the version they captured.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material new version. A journey still at lead stage is blocked and re-prompted; a journey already at proposal stage is undisturbed and retains its original evidence.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non-material version change MUST NOT invalidate any existing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minor version. No journey is re-prompted and no consent record changes state.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MUST be told why a re-consent is required, in business language, naming the consent event.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a re-consent. The message identifies the consent event and the action required. No generic error is shown.</w:t>
            </w:r>
          </w:p>
        </w:tc>
      </w:tr>
    </w:tbl>
    <w:p>
      <w:pPr>
        <w:pStyle w:val="Heading2"/>
        <w:spacing w:after="120" w:before="300"/>
      </w:pPr>
      <w:r>
        <w:rPr>
          <w:b/>
          <w:bCs/>
          <w:color w:val="11304E"/>
          <w:sz w:val="24"/>
          <w:szCs w:val="24"/>
        </w:rPr>
        <w:t xml:space="preserve">A.4  Language</w:t>
      </w:r>
    </w:p>
    <w:p>
      <w:pPr>
        <w:spacing w:after="120" w:before="0" w:line="276"/>
        <w:jc w:val="left"/>
      </w:pPr>
      <w:r>
        <w:rPr>
          <w:b w:val="false"/>
          <w:bCs w:val="false"/>
          <w:i w:val="false"/>
          <w:iCs w:val="false"/>
          <w:color w:val="222629"/>
          <w:sz w:val="20"/>
          <w:szCs w:val="20"/>
        </w:rPr>
        <w:t xml:space="preserve">The first release ships in Indian English only. Additional languages follow later.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language of the statement shown MUST be recorded on the evidence record.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record carries a language code matching a published statement version.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CNS-R09</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translated statement MUST carry the same version number as its source-language statement and MUST be Compliance-approved in its own right.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translated variant exists only where the source-language version exists, and carries its own named Compliance approver.</w:t>
            </w:r>
          </w:p>
        </w:tc>
      </w:tr>
    </w:tbl>
    <w:p>
      <w:pPr>
        <w:pStyle w:val="Heading2"/>
        <w:pageBreakBefore/>
        <w:spacing w:after="120" w:before="0"/>
      </w:pPr>
      <w:r>
        <w:rPr>
          <w:b/>
          <w:bCs/>
          <w:color w:val="11304E"/>
          <w:sz w:val="24"/>
          <w:szCs w:val="24"/>
        </w:rPr>
        <w:t xml:space="preserve">A.5  Capture mechanism by channel</w:t>
      </w:r>
    </w:p>
    <w:p>
      <w:pPr>
        <w:spacing w:after="120" w:before="0" w:line="276"/>
        <w:jc w:val="left"/>
      </w:pPr>
      <w:r>
        <w:rPr>
          <w:b w:val="false"/>
          <w:bCs w:val="false"/>
          <w:i w:val="false"/>
          <w:iCs w:val="false"/>
          <w:color w:val="222629"/>
          <w:sz w:val="20"/>
          <w:szCs w:val="20"/>
        </w:rPr>
        <w:t xml:space="preserve">The evidence captured MUST be identical across channels. The interaction differs; the record does not.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5301"/>
        <w:gridCol w:w="2024"/>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Channel</w:t>
            </w:r>
          </w:p>
        </w:tc>
        <w:tc>
          <w:tcPr>
            <w:tcW w:type="dxa" w:w="530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w:t>
            </w:r>
          </w:p>
        </w:tc>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Recorded method</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Relationship-manager assisted</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statement is displayed on the staff device and sent to the customer’s registered mobile; the customer enters the code delivered to their own device.</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to customer device</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 self-service (later release)</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affirmative action in the app — never a pre-ticked box — plus a code to the registered mobile.</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In-app affirmative plus code</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Hybrid (later release)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Whichever device the customer is using at the moment of capture, recorded as such.</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 above</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CNS-R10</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MUST NOT be recorded without a verified one-time password transaction. A tick by a member of staff is never consent.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 a capture with no verification transaction: refused. Submit one with an unverified transaction: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CNS-R11</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MUST be delivered to the customer’s mobile number as held in the bank record, never to a number entered during the journey.</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Alter the mobile number in the journey data; the code is still dispatched to the number of record.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control MUST NOT be pre-selected or defaulted to accepted.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Render the consent screen. The affirmative control is in its un-actioned state when the screen is first drawn.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CNS-R13</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MUST NOT be able to enter, on the staff device, a code that was delivered to the customer’s device.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staff screen exposes no entry field for a customer-device code. It shows pending or verified status only.</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CNS-R14</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is valid for 10 minutes. Expiry requires a new code to be issued, not a retry of the old one.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Verify at 9 minutes 59 seconds: accepted. Verify at 10 minutes 1 second: refused as expired.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CNS-R15</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maximum of 3 verification attempts per transaction, after which the transaction locks and a new code must be issued. A maximum of 5 codes issued per consent event in 24 hours.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fourth attempt is refused. A sixth issue within 24 hours is refused.</w:t>
            </w:r>
          </w:p>
        </w:tc>
      </w:tr>
    </w:tbl>
    <w:p>
      <w:pPr>
        <w:spacing w:after="12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Why CNS-R13 exists</w:t>
            </w:r>
          </w:p>
          <w:p>
            <w:pPr>
              <w:spacing w:after="0" w:before="0" w:line="276"/>
              <w:jc w:val="left"/>
            </w:pPr>
            <w:r>
              <w:rPr>
                <w:b w:val="false"/>
                <w:bCs w:val="false"/>
                <w:i w:val="false"/>
                <w:iCs w:val="false"/>
                <w:color w:val="222629"/>
                <w:sz w:val="20"/>
                <w:szCs w:val="20"/>
              </w:rPr>
              <w:t xml:space="preserve">This is the consent equivalent of the payment-device separation principle. If a member of staff can complete the customer’s acknowledgement, the record evidences an act the customer did not perform, and every downstream compliance claim rests on it.</w:t>
            </w:r>
          </w:p>
        </w:tc>
      </w:tr>
    </w:tbl>
    <w:p>
      <w:pPr>
        <w:pStyle w:val="Heading2"/>
        <w:pageBreakBefore/>
        <w:spacing w:after="120" w:before="0"/>
      </w:pPr>
      <w:r>
        <w:rPr>
          <w:b/>
          <w:bCs/>
          <w:color w:val="11304E"/>
          <w:sz w:val="24"/>
          <w:szCs w:val="24"/>
        </w:rPr>
        <w:t xml:space="preserve">A.6  The consent evidence record</w:t>
      </w:r>
    </w:p>
    <w:p>
      <w:pPr>
        <w:spacing w:after="120" w:before="0" w:line="276"/>
        <w:jc w:val="left"/>
      </w:pPr>
      <w:r>
        <w:rPr>
          <w:b w:val="false"/>
          <w:bCs w:val="false"/>
          <w:i w:val="false"/>
          <w:iCs w:val="false"/>
          <w:color w:val="222629"/>
          <w:sz w:val="20"/>
          <w:szCs w:val="20"/>
        </w:rPr>
        <w:t xml:space="preserve">The 24 fields every consent record must carry. Field names are business names; their physical representation is a database design matter.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988"/>
        <w:gridCol w:w="2313"/>
        <w:gridCol w:w="2024"/>
        <w:gridCol w:w="1638"/>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98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Type</w:t>
            </w:r>
          </w:p>
        </w:tc>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Optionality</w:t>
            </w:r>
          </w:p>
        </w:tc>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Classification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identifier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Lead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identifier held by the bank</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Restricted — personal data</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event code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codes in A.1</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identifier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version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text as shown</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Long 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Hash of the statement text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SHA-256</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Language shown</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Language tag</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Channel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Assisted, self-service or hybrid</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Acknowledgement method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methods in A.5</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Verification transaction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the code was verified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UTC with offset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15</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the consent was captured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UTC with offset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16</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Originating network address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Identity of the member of staff</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18</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Licence number of the selling agent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19</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Distributor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 server-side only, never exposed to a client</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20</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from</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 equals field 14</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until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 per A.8</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Status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Active, expired, withdrawn or superseded</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Identifier of the consent this supersedes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Optional</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 sequence number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Integer, append-only</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bl>
    <w:p>
      <w:pPr>
        <w:pStyle w:val="Heading2"/>
        <w:pageBreakBefore/>
        <w:spacing w:after="120" w:before="0"/>
      </w:pPr>
      <w:r>
        <w:rPr>
          <w:b/>
          <w:bCs/>
          <w:color w:val="11304E"/>
          <w:sz w:val="24"/>
          <w:szCs w:val="24"/>
        </w:rPr>
        <w:t xml:space="preserve">A.7  Immutability</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CNS-R16</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store MUST be append-only. No update and no delete against a consent record, by any application identity.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Issue an update and a delete against a consent record using the application’s own database account. Both fail on privilege rather than on application logic.</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CNS-R17</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change of state — expiry, withdrawal, supersession — MUST be represented as a new record referencing the earlier one, never as an edit.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a consent. Two records exist: the original unchanged, and a new one recording the withdrawal.</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current status of a consent MUST be derivable from the record chain with no ambiguity about which record is current.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For any consent, exactly one record is the head of its chain.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CNS-R19</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evidence MUST be retrievable by journey, by customer and by consent identifier, returning the full chain each time.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Three retrievals, each returning every record in the chain in sequence order.</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CNS-R20</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consent field classified restricted or confidential MUST appear in application logs.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Run the full test suite and scan the emitted logs for customer identifiers, verification transaction identifiers, network addresses and agent licence numbers. No matches.</w:t>
            </w:r>
          </w:p>
        </w:tc>
      </w:tr>
    </w:tbl>
    <w:p>
      <w:pPr>
        <w:spacing w:after="120"/>
      </w:pPr>
      <w:r>
        <w:t xml:space="preserve"/>
      </w:r>
    </w:p>
    <w:tbl>
      <w:tblPr>
        <w:tblW w:type="dxa" w:w="9638"/>
        <w:tblBorders>
          <w:top w:val="none" w:color="FFFFFF" w:sz="0"/>
          <w:left w:val="single" w:color="8A5A00"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8A5A00"/>
                <w:sz w:val="20"/>
                <w:szCs w:val="20"/>
              </w:rPr>
              <w:t xml:space="preserve">CNS-R16 is enforced by database privilege, not by code</w:t>
            </w:r>
          </w:p>
          <w:p>
            <w:pPr>
              <w:spacing w:after="0" w:before="0" w:line="276"/>
              <w:jc w:val="left"/>
            </w:pPr>
            <w:r>
              <w:rPr>
                <w:b w:val="false"/>
                <w:bCs w:val="false"/>
                <w:i w:val="false"/>
                <w:iCs w:val="false"/>
                <w:color w:val="222629"/>
                <w:sz w:val="20"/>
                <w:szCs w:val="20"/>
              </w:rPr>
              <w:t xml:space="preserve">An append-only rule that lives inside a service is an append-only rule that one urgent fix removes. This is a hard requirement on the physical database design and a condition on the infrastructure stage, recorded in §10.</w:t>
            </w:r>
          </w:p>
        </w:tc>
      </w:tr>
    </w:tbl>
    <w:p>
      <w:pPr>
        <w:pStyle w:val="Heading2"/>
        <w:spacing w:after="120" w:before="300"/>
      </w:pPr>
      <w:r>
        <w:rPr>
          <w:b/>
          <w:bCs/>
          <w:color w:val="11304E"/>
          <w:sz w:val="24"/>
          <w:szCs w:val="24"/>
        </w:rPr>
        <w:t xml:space="preserve">A.8  Validity, expiry and reuse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Data-processing and solicitation consents are valid for 90 days from the time they take effect.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at 89 days permits the journey to proceed; at 91 days the journey is blocked as expired.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Insurer-sharing consent is valid for 30 days and is scoped to a named insurer. Sharing with a second insurer requires a second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Capture sharing consent for one insurer and submit a proposal to another: refused as a scope mismatch.</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Servicing-communications consent has no expiry; it persists until withdrawn.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given 400 days earlier still permits communication.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MUST NOT be reused across customers. A consent is bound to one customer for its lifetime.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Present a valid consent alongside a different customer identifier: refused as a subject mismatch.</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MAY be reused across journeys for the same customer within its validity window, for the same event and the same scope.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Abandon one journey, then start another 10 days later for the same customer. The existing consent is reused with no re-prompt, and the new journey references it.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re-consent MUST create a new record chained to the one it supersedes, and the superseded record MUST be retained.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Re-consent. The earlier record is present and marked superseded; the new record references it.</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Why reuse is deliberate</w:t>
            </w:r>
          </w:p>
          <w:p>
            <w:pPr>
              <w:spacing w:after="0" w:before="0" w:line="276"/>
              <w:jc w:val="left"/>
            </w:pPr>
            <w:r>
              <w:rPr>
                <w:b w:val="false"/>
                <w:bCs w:val="false"/>
                <w:i w:val="false"/>
                <w:iCs w:val="false"/>
                <w:color w:val="222629"/>
                <w:sz w:val="20"/>
                <w:szCs w:val="20"/>
              </w:rPr>
              <w:t xml:space="preserve">An existing customer re-prompted for identical data-processing consent ten days apart learns that consent is noise, which is the outcome the obligation exists to prevent. Reuse is bounded by customer, event, scope and window — all four, together.</w:t>
            </w:r>
          </w:p>
        </w:tc>
      </w:tr>
    </w:tbl>
    <w:p>
      <w:pPr>
        <w:pStyle w:val="Heading2"/>
        <w:pageBreakBefore/>
        <w:spacing w:after="120" w:before="0"/>
      </w:pPr>
      <w:r>
        <w:rPr>
          <w:b/>
          <w:bCs/>
          <w:color w:val="11304E"/>
          <w:sz w:val="24"/>
          <w:szCs w:val="24"/>
        </w:rPr>
        <w:t xml:space="preserve">A.9  Withdrawal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MUST be able to withdraw any consent at any time, through staff or in the app. Withdrawal requires the same verification as capture.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through each channel; a verified transaction is present on each withdrawal record.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withdrawal MUST record the time, the acting identity, the channel, an optional customer-stated reason, and the verification transaction.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 withdrawal record; all mandatory fields are present.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CNS-R29</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data-processing or solicitation consent MUST halt the journey immediately at its current step. Journey data is retained under the retention schedule; processing stops.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mid-journey. The next journey action is refused as halted, and no further insurer call occurs.</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CNS-R30</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sharing consent after a proposal has been submitted to the insurer MUST NOT be presented to the customer as retracting the submission. The platform records the withdrawal, stops further sharing, and raises an operations task to contact the insurer.</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after submission. The chain shows the withdrawal, an operations task exists, and the message to the customer states that the insurer will be contacted — not that the proposal is cancelled.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servicing-communications consent MUST suppress non-mandatory communications only. Regulatory and transactional messages continue.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it: marketing messages are suppressed and the issuance confirmation is still sent.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MUST NOT delete prior consent evidence.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withdrawal, the original capture record is retrievable in full.</w:t>
            </w:r>
          </w:p>
        </w:tc>
      </w:tr>
    </w:tbl>
    <w:p>
      <w:pPr>
        <w:spacing w:after="12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CNS-R30 is the honest rule</w:t>
            </w:r>
          </w:p>
          <w:p>
            <w:pPr>
              <w:spacing w:after="0" w:before="0" w:line="276"/>
              <w:jc w:val="left"/>
            </w:pPr>
            <w:r>
              <w:rPr>
                <w:b w:val="false"/>
                <w:bCs w:val="false"/>
                <w:i w:val="false"/>
                <w:iCs w:val="false"/>
                <w:color w:val="222629"/>
                <w:sz w:val="20"/>
                <w:szCs w:val="20"/>
              </w:rPr>
              <w:t xml:space="preserve">The platform cannot un-send data already transmitted to an insurer. Telling the customer otherwise would be a false statement about a regulated act. The behaviour is: stop, record, escalate to a person, and tell the customer exactly that.</w:t>
            </w:r>
          </w:p>
        </w:tc>
      </w:tr>
    </w:tbl>
    <w:p>
      <w:pPr>
        <w:pStyle w:val="Heading2"/>
        <w:spacing w:after="120" w:before="300"/>
      </w:pPr>
      <w:r>
        <w:rPr>
          <w:b/>
          <w:bCs/>
          <w:color w:val="11304E"/>
          <w:sz w:val="24"/>
          <w:szCs w:val="24"/>
        </w:rPr>
        <w:t xml:space="preserve">A.10  Retention and retrieval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evidence MUST be retained for 7 years from the terminal state of the journey it belongs to — policy issued, lapsed, or abandoned and closed.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Compute the retention expiry for records across all three terminal states; each equals the terminal date plus seven years.</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Retained evidence MUST be held in write-once storage in an India region.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Inspect the storage configuration: write-once locking enabled, retention set to seven years, region within India.</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consent record MUST be retrievable within 4 business hours of a regulator or internal audit request; a full journey bundle within 1 business day.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timed retrieval exercise, recorded.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Retention MUST NOT be shortenable by an application configuration change.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reduce the retention period through application configuration; the value is bound to the infrastructure and the change has no effect on stored records.</w:t>
            </w:r>
          </w:p>
        </w:tc>
      </w:tr>
    </w:tbl>
    <w:p>
      <w:pPr>
        <w:spacing w:after="100"/>
      </w:pPr>
      <w:r>
        <w:t xml:space="preserve"/>
      </w:r>
    </w:p>
    <w:p>
      <w:pPr>
        <w:spacing w:after="120" w:before="0" w:line="276"/>
        <w:jc w:val="left"/>
      </w:pPr>
      <w:r>
        <w:rPr>
          <w:b/>
          <w:bCs/>
          <w:i w:val="false"/>
          <w:iCs w:val="false"/>
          <w:color w:val="222629"/>
          <w:sz w:val="20"/>
          <w:szCs w:val="20"/>
        </w:rPr>
        <w:t xml:space="preserve">Data residency is on the agreed non-waivable list. </w:t>
      </w:r>
      <w:r>
        <w:rPr>
          <w:b w:val="false"/>
          <w:bCs w:val="false"/>
          <w:i w:val="false"/>
          <w:iCs w:val="false"/>
          <w:color w:val="222629"/>
          <w:sz w:val="20"/>
          <w:szCs w:val="20"/>
        </w:rPr>
        <w:t xml:space="preserve">CNS-R34 is therefore a hard dependency on the infrastructure stage and cannot be deferred to the build stage.</w:t>
      </w:r>
    </w:p>
    <w:p>
      <w:pPr>
        <w:pStyle w:val="Heading2"/>
        <w:pageBreakBefore/>
        <w:spacing w:after="120" w:before="0"/>
      </w:pPr>
      <w:r>
        <w:rPr>
          <w:b/>
          <w:bCs/>
          <w:color w:val="11304E"/>
          <w:sz w:val="24"/>
          <w:szCs w:val="24"/>
        </w:rPr>
        <w:t xml:space="preserve">A.11  Failure behaviour</w:t>
      </w:r>
    </w:p>
    <w:p>
      <w:pPr>
        <w:spacing w:after="120" w:before="0" w:line="276"/>
        <w:jc w:val="left"/>
      </w:pPr>
      <w:r>
        <w:rPr>
          <w:b w:val="false"/>
          <w:bCs w:val="false"/>
          <w:i w:val="false"/>
          <w:iCs w:val="false"/>
          <w:color w:val="222629"/>
          <w:sz w:val="20"/>
          <w:szCs w:val="20"/>
        </w:rPr>
        <w:t xml:space="preserve">Every rule above has a failure path. What the actor experiences is specified, because a control that produces an unexplained error trains staff to work around it.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2313"/>
        <w:gridCol w:w="3277"/>
        <w:gridCol w:w="212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Reason code</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staff are told</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on the journey</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Required consent absent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CONSENT_REQUIRED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consent for [named event] is needed before this step", with an action to obtain it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at that step</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expired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CONSENT_EXPIRED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given on [date] has expired. Re-confirm with the customer."</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a re-consent path is offered</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withdrawn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JOURNEY_HALTED_CONSENT_WITHDRAWN</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withdrew consent on [date]. This journey is closed."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Halted</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 mismatch on insurer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CONSENT_SCOPE_MISMATCH</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covers [insurer A]. Capture consent for [insurer B]."</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for that insurer only</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identity mismatch</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CONSENT_SUBJECT_MISMATCH</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generic failure; an incident is raised</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Blocked — treated as a security event</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not yet verified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CONSENT_OTP_NOT_VERIFIED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"Waiting for the customer to confirm the code sent to their mobile."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expired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OTP_EXPIRED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expired. Send a new one."</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 re-issue offered</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Too many attempts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OTP_ATTEMPTS_EXCEEDED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"Too many incorrect attempts. Send a new code."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 re-issue offered</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Evidence could not be written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CONSENT_EVIDENCE_WRITE_FAILED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"Could not record consent. Do not proceed."</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Fails closed — the business step does not succeed</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capture MUST fail closed. If the evidence cannot be written, the business action MUST NOT succeed.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Inject a failure in the consent store; the calling business action returns an error and no downstream call is made.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customer-identity mismatch MUST raise a security event, not merely a business error.</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the condition; a security event is emitted carrying the actor, the journey and both customer identifiers, masked as CNS-R20 requires.</w:t>
            </w:r>
          </w:p>
        </w:tc>
      </w:tr>
    </w:tbl>
    <w:p>
      <w:pPr>
        <w:pStyle w:val="Heading2"/>
        <w:spacing w:after="120" w:before="300"/>
      </w:pPr>
      <w:r>
        <w:rPr>
          <w:b/>
          <w:bCs/>
          <w:color w:val="11304E"/>
          <w:sz w:val="24"/>
          <w:szCs w:val="24"/>
        </w:rPr>
        <w:t xml:space="preserve">A.12  Traceability</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3277"/>
        <w:gridCol w:w="2891"/>
        <w:gridCol w:w="1928"/>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Obligation the rules serve</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the control lives</w:t>
            </w:r>
          </w:p>
        </w:tc>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will be proven</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CNS-R01 – R09</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and disclosure obligations; notice requirements under data-protection law</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Configuration store, record store, journey orchestration, screens</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CNS-R10 – R15</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Verifiability of digital consent; device-separation principle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notification service, screens</w:t>
            </w:r>
          </w:p>
        </w:tc>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Immutable audit trail; integrity of personal data</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Database privileges, logging framework</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 then hardening before pilot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CNS-R21 – R26</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Validity of consent over time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journey orchestration</w:t>
            </w:r>
          </w:p>
        </w:tc>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CNS-R27 – R32</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right to withdraw consent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screens, notification service, operations</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Seven-year record preservation; data residency</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Infrastructure, operations runbook</w:t>
            </w:r>
          </w:p>
        </w:tc>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Infrastructure build, before any customer record exists</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CNS-R37 – R38</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Integrity of the control itself</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security monitoring</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bl>
    <w:p>
      <w:pPr>
        <w:pStyle w:val="Heading2"/>
        <w:spacing w:after="120" w:before="300"/>
      </w:pPr>
      <w:r>
        <w:rPr>
          <w:b/>
          <w:bCs/>
          <w:color w:val="11304E"/>
          <w:sz w:val="24"/>
          <w:szCs w:val="24"/>
        </w:rPr>
        <w:t xml:space="preserve">A.13  What this pack does not decide</w:t>
      </w:r>
    </w:p>
    <w:p>
      <w:pPr>
        <w:spacing w:after="120" w:before="0" w:line="276"/>
        <w:jc w:val="left"/>
      </w:pPr>
      <w:r>
        <w:rPr>
          <w:b w:val="false"/>
          <w:bCs w:val="false"/>
          <w:i w:val="false"/>
          <w:iCs w:val="false"/>
          <w:color w:val="222629"/>
          <w:sz w:val="20"/>
          <w:szCs w:val="20"/>
        </w:rPr>
        <w:t xml:space="preserve">Named openly, because a rule pack that pretends to have settled an open regulatory question is worse than one that flags it. These are the consent items carried into §8 of this document.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6072"/>
        <w:gridCol w:w="2313"/>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607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Open item</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OPEN-CNS-01</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data-processing and solicitation consent may share one acknowledgement action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OPEN-CNS-02</w:t>
            </w:r>
          </w:p>
        </w:tc>
        <w:tc>
          <w:tcPr>
            <w:tcW w:type="dxa" w:w="607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wording of each statement — this pack defines structure and fields; the legal text is Compliance-authored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OPEN-CNS-03</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90-day and 30-day windows are acceptable or must be shorter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OPEN-CNS-04</w:t>
            </w:r>
          </w:p>
        </w:tc>
        <w:tc>
          <w:tcPr>
            <w:tcW w:type="dxa" w:w="607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withdrawal after issuance creates an insurer-side obligation on the bank</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Bancassurance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OPEN-CNS-05</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Interoperability with a statutory consent manager, if notified before go-live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bl>
    <w:p>
      <w:pPr>
        <w:spacing w:after="100"/>
      </w:pPr>
      <w:r>
        <w:t xml:space="preserve"/>
      </w:r>
    </w:p>
    <w:p>
      <w:pPr>
        <w:spacing w:after="120" w:before="0" w:line="276"/>
        <w:jc w:val="left"/>
      </w:pPr>
      <w:r>
        <w:rPr>
          <w:b w:val="false"/>
          <w:bCs w:val="false"/>
          <w:i/>
          <w:iCs/>
          <w:color w:val="222629"/>
          <w:sz w:val="20"/>
          <w:szCs w:val="20"/>
        </w:rPr>
        <w:t xml:space="preserve">None of these blocks building the Consent Service. All five are wording, window or interoperability questions over a record structure and a control set that do not change with the answer. That is the point of specifying structure before text.</w:t>
      </w:r>
    </w:p>
    <w:p>
      <w:pPr>
        <w:pStyle w:val="Heading1"/>
        <w:pageBreakBefore/>
        <w:pBdr>
          <w:bottom w:val="single" w:color="0F6E6E" w:sz="8" w:space="6"/>
        </w:pBdr>
        <w:spacing w:after="160" w:before="0"/>
      </w:pPr>
      <w:r>
        <w:rPr>
          <w:b/>
          <w:bCs/>
          <w:color w:val="11304E"/>
          <w:sz w:val="30"/>
          <w:szCs w:val="30"/>
        </w:rPr>
        <w:t xml:space="preserve">Appendix B — Suitability Rule Pack v1.0, in full</w:t>
      </w:r>
    </w:p>
    <w:p>
      <w:pPr>
        <w:spacing w:after="160" w:before="0" w:line="276"/>
        <w:jc w:val="left"/>
      </w:pPr>
      <w:r>
        <w:rPr>
          <w:b/>
          <w:bCs/>
          <w:i w:val="false"/>
          <w:iCs w:val="false"/>
          <w:color w:val="222629"/>
          <w:sz w:val="20"/>
          <w:szCs w:val="20"/>
        </w:rPr>
        <w:t xml:space="preserve">Pack identifier SUITABILITY-PACK-v1.0.  Algorithm SUIT-ALGO-LIFE-v1.0.  48 rules.  </w:t>
      </w:r>
      <w:r>
        <w:rPr>
          <w:b w:val="false"/>
          <w:bCs w:val="false"/>
          <w:i w:val="false"/>
          <w:iCs w:val="false"/>
          <w:color w:val="222629"/>
          <w:sz w:val="20"/>
          <w:szCs w:val="20"/>
        </w:rPr>
        <w:t xml:space="preserve">Scope: the first release — Life products (Term, Savings/Endowment and unit-linked), sold to existing bank customers, assisted by a relationship manager. This appendix is the complete text of what Decision Schedule B approves.</w:t>
      </w:r>
    </w:p>
    <w:p>
      <w:pPr>
        <w:pStyle w:val="Heading2"/>
        <w:spacing w:after="120" w:before="300"/>
      </w:pPr>
      <w:r>
        <w:rPr>
          <w:b/>
          <w:bCs/>
          <w:color w:val="11304E"/>
          <w:sz w:val="24"/>
          <w:szCs w:val="24"/>
        </w:rPr>
        <w:t xml:space="preserve">B.1  The gate, stated once and precisely</w:t>
      </w:r>
    </w:p>
    <w:tbl>
      <w:tblPr>
        <w:tblW w:type="dxa" w:w="9638"/>
        <w:tblBorders>
          <w:top w:val="none" w:color="FFFFFF" w:sz="0"/>
          <w:left w:val="single" w:color="11304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11304E"/>
                <w:sz w:val="20"/>
                <w:szCs w:val="20"/>
              </w:rPr>
              <w:t xml:space="preserve">SUIT-R20</w:t>
            </w:r>
          </w:p>
          <w:p>
            <w:pPr>
              <w:spacing w:after="0" w:before="0" w:line="276"/>
              <w:jc w:val="left"/>
            </w:pPr>
            <w:r>
              <w:rPr>
                <w:b w:val="false"/>
                <w:bCs w:val="false"/>
                <w:i w:val="false"/>
                <w:iCs w:val="false"/>
                <w:color w:val="222629"/>
                <w:sz w:val="20"/>
                <w:szCs w:val="20"/>
              </w:rPr>
              <w:t xml:space="preserve">Quote endpoints refuse the request unless it carries a suitability assessment that is active, was issued within the last 30 days, is bound to the same customer, and whose outcome permits the product class being requested. Four conditions. All four must hold. Each is separately tested in B.6.</w:t>
            </w:r>
          </w:p>
        </w:tc>
      </w:tr>
    </w:tbl>
    <w:p>
      <w:pPr>
        <w:spacing w:after="100"/>
      </w:pPr>
      <w:r>
        <w:t xml:space="preserve"/>
      </w:r>
    </w:p>
    <w:p>
      <w:pPr>
        <w:spacing w:after="120" w:before="0" w:line="276"/>
        <w:jc w:val="left"/>
      </w:pPr>
      <w:r>
        <w:rPr>
          <w:b w:val="false"/>
          <w:bCs w:val="false"/>
          <w:i w:val="false"/>
          <w:iCs w:val="false"/>
          <w:color w:val="222629"/>
          <w:sz w:val="20"/>
          <w:szCs w:val="20"/>
        </w:rPr>
        <w:t xml:space="preserve">That the gate exists at all is not in question — bypassing suitability before quote is described in the programme’s own baseline as unlawful. What was missing, and what this pack supplies, is the content: the questions, the arithmetic, the outcome bands, and what a valid assessment actually means.</w:t>
      </w:r>
    </w:p>
    <w:p>
      <w:pPr>
        <w:pStyle w:val="Heading2"/>
        <w:spacing w:after="120" w:before="300"/>
      </w:pPr>
      <w:r>
        <w:rPr>
          <w:b/>
          <w:bCs/>
          <w:color w:val="11304E"/>
          <w:sz w:val="24"/>
          <w:szCs w:val="24"/>
        </w:rPr>
        <w:t xml:space="preserve">B.2  The need-analysis question set</w:t>
      </w:r>
    </w:p>
    <w:p>
      <w:pPr>
        <w:spacing w:after="120" w:before="0" w:line="276"/>
        <w:jc w:val="left"/>
      </w:pPr>
      <w:r>
        <w:rPr>
          <w:b w:val="false"/>
          <w:bCs w:val="false"/>
          <w:i w:val="false"/>
          <w:iCs w:val="false"/>
          <w:color w:val="222629"/>
          <w:sz w:val="20"/>
          <w:szCs w:val="20"/>
        </w:rPr>
        <w:t xml:space="preserve">Twelve inputs. Four are taken from bank records and never asked; eight are asked. A questionnaire longer than this, in a branch conversation, is completed dishonestly — which defeats its purpose.</w:t>
      </w:r>
    </w:p>
    <w:p>
      <w:pPr>
        <w:pStyle w:val="Heading3"/>
        <w:spacing w:after="100" w:before="220"/>
      </w:pPr>
      <w:r>
        <w:rPr>
          <w:b/>
          <w:bCs/>
          <w:color w:val="0F6E6E"/>
          <w:sz w:val="21"/>
          <w:szCs w:val="21"/>
        </w:rPr>
        <w:t xml:space="preserve">Taken from bank records — no question asked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3084"/>
        <w:gridCol w:w="2891"/>
        <w:gridCol w:w="2892"/>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Input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Source</w:t>
            </w:r>
          </w:p>
        </w:tc>
        <w:tc>
          <w:tcPr>
            <w:tcW w:type="dxa" w:w="289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If unavailable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at next birthday</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of birth in the bank record</w:t>
            </w:r>
          </w:p>
        </w:tc>
        <w:tc>
          <w:tcPr>
            <w:tcW w:type="dxa" w:w="289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Insufficient data — the journey is blocked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Length of the customer relationship, in months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Bank record</w:t>
            </w:r>
          </w:p>
        </w:tc>
        <w:tc>
          <w:tcPr>
            <w:tcW w:type="dxa" w:w="289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no block</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D03</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Existing life cover distributed by the bank</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Policy records</w:t>
            </w:r>
          </w:p>
        </w:tc>
        <w:tc>
          <w:tcPr>
            <w:tcW w:type="dxa" w:w="289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and is recorded as assumed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D04</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Known outstanding loan liability to the bank</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Bank record</w:t>
            </w:r>
          </w:p>
        </w:tc>
        <w:tc>
          <w:tcPr>
            <w:tcW w:type="dxa" w:w="289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and is recorded as assumed</w:t>
            </w:r>
          </w:p>
        </w:tc>
      </w:tr>
    </w:tbl>
    <w:p>
      <w:pPr>
        <w:spacing w:after="120"/>
      </w:pPr>
      <w:r>
        <w:t xml:space="preserve"/>
      </w:r>
    </w:p>
    <w:p>
      <w:pPr>
        <w:pStyle w:val="Heading3"/>
        <w:spacing w:after="100" w:before="220"/>
      </w:pPr>
      <w:r>
        <w:rPr>
          <w:b/>
          <w:bCs/>
          <w:color w:val="0F6E6E"/>
          <w:sz w:val="21"/>
          <w:szCs w:val="21"/>
        </w:rPr>
        <w:t xml:space="preserve">Asked of the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3084"/>
        <w:gridCol w:w="3084"/>
        <w:gridCol w:w="2699"/>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Answer</w:t>
            </w:r>
          </w:p>
        </w:tc>
        <w:tc>
          <w:tcPr>
            <w:tcW w:type="dxa" w:w="269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Validation</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Annual income, self-declared</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eight bands</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Greater than zero</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Number of financially dependent persons</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Whole number</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Between 0 and 10</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Q03</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Total existing life cover across all insurers</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Zero or more; flagged if below the bank-known figure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Q04</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Total outstanding liabilities across all lenders</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Zero or more; flagged if below the bank-known figure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Q05</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Primary financial objective</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Protection, savings goal, retirement, wealth growth or tax planning</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Q06</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Investment horizon</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 5 years, 5–10, 10–20, or over 20 years</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Q07</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Attitude to investment risk</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Capital protection, low, moderate or high</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Q08</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Premium the customer is comfortable committing annually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Greater than zero</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Q09</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Tobacco use in the last 12 months</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or no</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Q10</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Occupation category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Salaried, self-employed professional, self-employed business, agriculture or other</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Has the customer been declined or rated by any life insurer?</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no, or does not know</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 this purchase replacing an existing policy?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or no</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If yes, the replacement disclosure in B.11 applies</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All twelve inputs MUST be present before an assessment is computed. A partial questionnaire produces no assessment.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 eleven of twelve: refused as incomplete, listing what is missing, and no assessment record is written.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Answers MUST be stored exactly as given alongside the outcome, together with the questionnaire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an assessment; all twelve raw answers and the questionnaire version are present.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self-declared figure is lower than the figure the bank already holds, the higher figure MUST be used and the discrepancy recorded.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Declare zero existing cover where the bank holds a policy. The computation uses the bank figure and an understatement flag is recorded.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previous decline or rating by an insurer, or a customer who does not know, MUST set an underwriting-risk flag on the assessment. It does not by itself change the outcome.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Answer yes to Q11; the flag is set and the outcome is computed unchanged.</w:t>
            </w:r>
          </w:p>
        </w:tc>
      </w:tr>
    </w:tbl>
    <w:p>
      <w:pPr>
        <w:pStyle w:val="Heading2"/>
        <w:pageBreakBefore/>
        <w:spacing w:after="120" w:before="0"/>
      </w:pPr>
      <w:r>
        <w:rPr>
          <w:b/>
          <w:bCs/>
          <w:color w:val="11304E"/>
          <w:sz w:val="24"/>
          <w:szCs w:val="24"/>
        </w:rPr>
        <w:t xml:space="preserve">B.3  The computation</w:t>
      </w:r>
    </w:p>
    <w:p>
      <w:pPr>
        <w:spacing w:after="120" w:before="0" w:line="276"/>
        <w:jc w:val="left"/>
      </w:pPr>
      <w:r>
        <w:rPr>
          <w:b w:val="false"/>
          <w:bCs w:val="false"/>
          <w:i w:val="false"/>
          <w:iCs w:val="false"/>
          <w:color w:val="222629"/>
          <w:sz w:val="20"/>
          <w:szCs w:val="20"/>
        </w:rPr>
        <w:t xml:space="preserve">The model is arithmetic, not judgement. Two people running it by hand on the same inputs reach the same answer, which is the property that makes advice defensible.</w:t>
      </w:r>
    </w:p>
    <w:p>
      <w:pPr>
        <w:pStyle w:val="Heading3"/>
        <w:spacing w:after="100" w:before="220"/>
      </w:pPr>
      <w:r>
        <w:rPr>
          <w:b/>
          <w:bCs/>
          <w:color w:val="0F6E6E"/>
          <w:sz w:val="21"/>
          <w:szCs w:val="21"/>
        </w:rPr>
        <w:t xml:space="preserve">Income bands and the cover multiple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5590"/>
        <w:gridCol w:w="2891"/>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Band</w:t>
            </w:r>
          </w:p>
        </w:tc>
        <w:tc>
          <w:tcPr>
            <w:tcW w:type="dxa" w:w="559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Annual income</w:t>
            </w:r>
          </w:p>
        </w:tc>
        <w:tc>
          <w:tcPr>
            <w:tcW w:type="dxa" w:w="2891"/>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Multiple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1</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Below ₹3,00,000</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10</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2</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₹3,00,000 to ₹4,99,999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3</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₹5,00,000 to ₹9,99,999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15</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4</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₹10,00,000 to ₹19,99,999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18</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5</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₹20,00,000 to ₹34,99,999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20</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6</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₹35,00,000 to ₹49,99,999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20</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7</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₹50,00,000 to ₹99,99,999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18</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8</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₹1,00,00,000 and above</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15</w:t>
            </w:r>
          </w:p>
        </w:tc>
      </w:tr>
    </w:tbl>
    <w:p>
      <w:pPr>
        <w:spacing w:after="100"/>
      </w:pPr>
      <w:r>
        <w:t xml:space="preserve"/>
      </w:r>
    </w:p>
    <w:p>
      <w:pPr>
        <w:spacing w:after="120" w:before="0" w:line="276"/>
        <w:jc w:val="left"/>
      </w:pPr>
      <w:r>
        <w:rPr>
          <w:b w:val="false"/>
          <w:bCs w:val="false"/>
          <w:i/>
          <w:iCs/>
          <w:color w:val="5A6570"/>
          <w:sz w:val="19"/>
          <w:szCs w:val="19"/>
        </w:rPr>
        <w:t xml:space="preserve">The multiple tapers at both ends: at low incomes because affordability binds before need does, and at high incomes because insurer underwriting limits bind. Band boundaries include the lower figure and exclude the upper.</w:t>
      </w:r>
    </w:p>
    <w:p>
      <w:pPr>
        <w:spacing w:after="80"/>
      </w:pPr>
      <w:r>
        <w:t xml:space="preserve"/>
      </w:r>
    </w:p>
    <w:p>
      <w:pPr>
        <w:pStyle w:val="Heading3"/>
        <w:spacing w:after="100" w:before="220"/>
      </w:pPr>
      <w:r>
        <w:rPr>
          <w:b/>
          <w:bCs/>
          <w:color w:val="0F6E6E"/>
          <w:sz w:val="21"/>
          <w:szCs w:val="21"/>
        </w:rPr>
        <w:t xml:space="preserve">Age adjustment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1060"/>
        <w:gridCol w:w="1060"/>
        <w:gridCol w:w="1060"/>
        <w:gridCol w:w="1060"/>
        <w:gridCol w:w="1060"/>
        <w:gridCol w:w="22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Age at next birthday</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18–30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31–40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41–50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51–60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61–65</w:t>
            </w:r>
          </w:p>
        </w:tc>
        <w:tc>
          <w:tcPr>
            <w:tcW w:type="dxa" w:w="2218"/>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Under 18 or over 65</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Factor</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1.10</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1.00</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0.85</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0.65</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0.45</w:t>
            </w:r>
          </w:p>
        </w:tc>
        <w:tc>
          <w:tcPr>
            <w:tcW w:type="dxa" w:w="2218"/>
            <w:tcMar>
              <w:top w:type="dxa" w:w="90"/>
              <w:left w:type="dxa" w:w="130"/>
              <w:bottom w:type="dxa" w:w="90"/>
              <w:right w:type="dxa" w:w="130"/>
            </w:tcMar>
            <w:vAlign w:val="top"/>
          </w:tcPr>
          <w:p>
            <w:pPr>
              <w:spacing w:after="40" w:before="40" w:line="252"/>
              <w:jc w:val="center"/>
            </w:pPr>
            <w:r>
              <w:rPr>
                <w:b/>
                <w:bCs/>
                <w:i w:val="false"/>
                <w:iCs w:val="false"/>
                <w:color w:val="9B2226"/>
                <w:sz w:val="18"/>
                <w:szCs w:val="18"/>
              </w:rPr>
              <w:t xml:space="preserve">Ineligible</w:t>
            </w:r>
          </w:p>
        </w:tc>
      </w:tr>
    </w:tbl>
    <w:p>
      <w:pPr>
        <w:spacing w:after="120"/>
      </w:pPr>
      <w:r>
        <w:t xml:space="preserve"/>
      </w:r>
    </w:p>
    <w:p>
      <w:pPr>
        <w:pStyle w:val="Heading3"/>
        <w:spacing w:after="100" w:before="220"/>
      </w:pPr>
      <w:r>
        <w:rPr>
          <w:b/>
          <w:bCs/>
          <w:color w:val="0F6E6E"/>
          <w:sz w:val="21"/>
          <w:szCs w:val="21"/>
        </w:rPr>
        <w:t xml:space="preserve">The formula</w:t>
      </w:r>
    </w:p>
    <w:p>
      <w:pPr>
        <w:spacing w:after="100" w:before="0" w:line="276"/>
        <w:jc w:val="left"/>
      </w:pPr>
      <w:r>
        <w:rPr>
          <w:rFonts w:ascii="Consolas" w:cs="Consolas" w:eastAsia="Consolas" w:hAnsi="Consolas"/>
          <w:b w:val="false"/>
          <w:bCs w:val="false"/>
          <w:i w:val="false"/>
          <w:iCs w:val="false"/>
          <w:color w:val="11304E"/>
          <w:sz w:val="18"/>
          <w:szCs w:val="18"/>
        </w:rPr>
        <w:t xml:space="preserve">recommended cover   =  round up to the next lakh of</w:t>
      </w:r>
    </w:p>
    <w:p>
      <w:pPr>
        <w:spacing w:after="100" w:before="0" w:line="276"/>
        <w:jc w:val="left"/>
      </w:pPr>
      <w:r>
        <w:rPr>
          <w:rFonts w:ascii="Consolas" w:cs="Consolas" w:eastAsia="Consolas" w:hAnsi="Consolas"/>
          <w:b w:val="false"/>
          <w:bCs w:val="false"/>
          <w:i w:val="false"/>
          <w:iCs w:val="false"/>
          <w:color w:val="11304E"/>
          <w:sz w:val="18"/>
          <w:szCs w:val="18"/>
        </w:rPr>
        <w:t xml:space="preserve">                       ( annual income × multiple × age factor )</w:t>
      </w:r>
    </w:p>
    <w:p>
      <w:pPr>
        <w:spacing w:after="100" w:before="0" w:line="276"/>
        <w:jc w:val="left"/>
      </w:pPr>
      <w:r>
        <w:rPr>
          <w:rFonts w:ascii="Consolas" w:cs="Consolas" w:eastAsia="Consolas" w:hAnsi="Consolas"/>
          <w:b w:val="false"/>
          <w:bCs w:val="false"/>
          <w:i w:val="false"/>
          <w:iCs w:val="false"/>
          <w:color w:val="11304E"/>
          <w:sz w:val="18"/>
          <w:szCs w:val="18"/>
        </w:rPr>
        <w:t xml:space="preserve">                       + liabilities</w:t>
      </w:r>
    </w:p>
    <w:p>
      <w:pPr>
        <w:spacing w:after="100" w:before="0" w:line="276"/>
        <w:jc w:val="left"/>
      </w:pPr>
      <w:r>
        <w:rPr>
          <w:rFonts w:ascii="Consolas" w:cs="Consolas" w:eastAsia="Consolas" w:hAnsi="Consolas"/>
          <w:b w:val="false"/>
          <w:bCs w:val="false"/>
          <w:i w:val="false"/>
          <w:iCs w:val="false"/>
          <w:color w:val="11304E"/>
          <w:sz w:val="18"/>
          <w:szCs w:val="18"/>
        </w:rPr>
        <w:t xml:space="preserve">                       + ( dependants × ₹5,00,000 )</w:t>
      </w:r>
    </w:p>
    <w:p>
      <w:pPr>
        <w:spacing w:after="100" w:before="0" w:line="276"/>
        <w:jc w:val="left"/>
      </w:pPr>
      <w:r>
        <w:rPr>
          <w:rFonts w:ascii="Consolas" w:cs="Consolas" w:eastAsia="Consolas" w:hAnsi="Consolas"/>
          <w:b w:val="false"/>
          <w:bCs w:val="false"/>
          <w:i w:val="false"/>
          <w:iCs w:val="false"/>
          <w:color w:val="11304E"/>
          <w:sz w:val="18"/>
          <w:szCs w:val="18"/>
        </w:rPr>
        <w:t xml:space="preserve"/>
      </w:r>
    </w:p>
    <w:p>
      <w:pPr>
        <w:spacing w:after="100" w:before="0" w:line="276"/>
        <w:jc w:val="left"/>
      </w:pPr>
      <w:r>
        <w:rPr>
          <w:rFonts w:ascii="Consolas" w:cs="Consolas" w:eastAsia="Consolas" w:hAnsi="Consolas"/>
          <w:b w:val="false"/>
          <w:bCs w:val="false"/>
          <w:i w:val="false"/>
          <w:iCs w:val="false"/>
          <w:color w:val="11304E"/>
          <w:sz w:val="18"/>
          <w:szCs w:val="18"/>
        </w:rPr>
        <w:t xml:space="preserve">protection gap      =  the greater of zero and ( recommended cover − existing cover )</w:t>
      </w:r>
    </w:p>
    <w:p>
      <w:pPr>
        <w:spacing w:after="100" w:before="0" w:line="276"/>
        <w:jc w:val="left"/>
      </w:pPr>
      <w:r>
        <w:rPr>
          <w:rFonts w:ascii="Consolas" w:cs="Consolas" w:eastAsia="Consolas" w:hAnsi="Consolas"/>
          <w:b w:val="false"/>
          <w:bCs w:val="false"/>
          <w:i w:val="false"/>
          <w:iCs w:val="false"/>
          <w:color w:val="11304E"/>
          <w:sz w:val="18"/>
          <w:szCs w:val="18"/>
        </w:rPr>
        <w:t xml:space="preserve">affordability ratio =  declared premium ÷ annual income</w:t>
      </w:r>
    </w:p>
    <w:p>
      <w:pPr>
        <w:spacing w:after="60"/>
      </w:pPr>
      <w:r>
        <w:t xml:space="preserve"/>
      </w:r>
    </w:p>
    <w:p>
      <w:pPr>
        <w:spacing w:after="120" w:before="0" w:line="276"/>
        <w:jc w:val="left"/>
      </w:pPr>
      <w:r>
        <w:rPr>
          <w:b w:val="false"/>
          <w:bCs w:val="false"/>
          <w:i/>
          <w:iCs/>
          <w:color w:val="5A6570"/>
          <w:sz w:val="19"/>
          <w:szCs w:val="19"/>
        </w:rPr>
        <w:t xml:space="preserve">Liabilities and existing cover are each the higher of the customer’s declaration and the figure the bank holds, as SUIT-R03 requires.</w:t>
      </w:r>
    </w:p>
    <w:p>
      <w:pPr>
        <w:spacing w:after="120"/>
      </w:pPr>
      <w:r>
        <w:t xml:space="preserve"/>
      </w:r>
    </w:p>
    <w:p>
      <w:pPr>
        <w:pStyle w:val="Heading3"/>
        <w:spacing w:after="100" w:before="220"/>
      </w:pPr>
      <w:r>
        <w:rPr>
          <w:b/>
          <w:bCs/>
          <w:color w:val="0F6E6E"/>
          <w:sz w:val="21"/>
          <w:szCs w:val="21"/>
        </w:rPr>
        <w:t xml:space="preserve">Worked reference case</w:t>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This case is a mandatory test of the built service</w:t>
            </w:r>
          </w:p>
          <w:p>
            <w:pPr>
              <w:spacing w:after="80" w:before="0" w:line="276"/>
              <w:jc w:val="left"/>
            </w:pPr>
            <w:r>
              <w:rPr>
                <w:b w:val="false"/>
                <w:bCs w:val="false"/>
                <w:i w:val="false"/>
                <w:iCs w:val="false"/>
                <w:color w:val="222629"/>
                <w:sz w:val="20"/>
                <w:szCs w:val="20"/>
              </w:rPr>
              <w:t xml:space="preserve">Age 38 · income ₹12,00,000 (band 4, multiple 18, age factor 1.00) · 2 dependants · existing cover ₹5,00,000 · liabilities ₹30,00,000 · declared premium ₹25,000.</w:t>
            </w:r>
          </w:p>
          <w:p>
            <w:pPr>
              <w:spacing w:after="0" w:before="0" w:line="276"/>
              <w:jc w:val="left"/>
            </w:pPr>
            <w:r>
              <w:rPr>
                <w:b w:val="false"/>
                <w:bCs w:val="false"/>
                <w:i w:val="false"/>
                <w:iCs w:val="false"/>
                <w:color w:val="222629"/>
                <w:sz w:val="20"/>
                <w:szCs w:val="20"/>
              </w:rPr>
              <w:t xml:space="preserve">Recommended cover = round up to the next lakh of (12,00,000 × 18 × 1.00 + 30,00,000 + 10,00,000) = ₹2,56,00,000.  Protection gap = ₹2,51,00,000.  Affordability ratio = 0.0208.</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computation MUST be pure: the same inputs give the same outputs, with no dependence on time, actor or system state other than the algorithm version.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Run the same twenty customer profiles twice, on two days, by two evaluators. The outputs are identical.</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Rounding up to the next lakh means the next whole multiple of ₹1,00,000.</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₹12,34,567 becomes ₹13,00,000. ₹12,00,000 stays ₹12,00,000.</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algorithm version MUST be recorded on every assessment and MUST be immutable once published.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assessment carries a version. Publishing a change under an existing version is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age below 18 or above 65 at next birthday MUST produce a not-suitable outcome, and no quote may proceed.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17 and age 66 both produce not-suitable, and the quote is refused.</w:t>
            </w:r>
          </w:p>
        </w:tc>
      </w:tr>
    </w:tbl>
    <w:p>
      <w:pPr>
        <w:pStyle w:val="Heading2"/>
        <w:pageBreakBefore/>
        <w:spacing w:after="120" w:before="0"/>
      </w:pPr>
      <w:r>
        <w:rPr>
          <w:b/>
          <w:bCs/>
          <w:color w:val="11304E"/>
          <w:sz w:val="24"/>
          <w:szCs w:val="24"/>
        </w:rPr>
        <w:t xml:space="preserve">B.4  Product-class outcomes</w:t>
      </w:r>
    </w:p>
    <w:p>
      <w:pPr>
        <w:spacing w:after="120" w:before="0" w:line="276"/>
        <w:jc w:val="left"/>
      </w:pPr>
      <w:r>
        <w:rPr>
          <w:b w:val="false"/>
          <w:bCs w:val="false"/>
          <w:i w:val="false"/>
          <w:iCs w:val="false"/>
          <w:color w:val="222629"/>
          <w:sz w:val="20"/>
          <w:szCs w:val="20"/>
        </w:rPr>
        <w:t xml:space="preserve">An assessment produces one outcome per product class, not one overall. A customer may be suitable for term cover and not suitable for a unit-linked product in the same assessment, and the gate is applied per class.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5301"/>
        <w:gridCol w:w="2313"/>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c>
          <w:tcPr>
            <w:tcW w:type="dxa" w:w="530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Quote permitted</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Suitable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product class matches the stated objective, horizon, risk attitude and affordability</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Suitable with caution</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match is defensible but at least one caution condition applies; a disclosure is required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with the disclosure in B.9</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product class conflicts with something the customer stated</w:t>
            </w:r>
          </w:p>
        </w:tc>
        <w:tc>
          <w:tcPr>
            <w:tcW w:type="dxa" w:w="2313"/>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 — hard block</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Insufficient data</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mandatory derived input was unavailable</w:t>
            </w:r>
          </w:p>
        </w:tc>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 — hard block</w:t>
            </w:r>
          </w:p>
        </w:tc>
      </w:tr>
    </w:tbl>
    <w:p>
      <w:pPr>
        <w:spacing w:after="140"/>
      </w:pPr>
      <w:r>
        <w:t xml:space="preserve"/>
      </w:r>
    </w:p>
    <w:p>
      <w:pPr>
        <w:pStyle w:val="Heading3"/>
        <w:spacing w:after="100" w:before="220"/>
      </w:pPr>
      <w:r>
        <w:rPr>
          <w:b/>
          <w:bCs/>
          <w:color w:val="0F6E6E"/>
          <w:sz w:val="21"/>
          <w:szCs w:val="21"/>
        </w:rPr>
        <w:t xml:space="preserve">Term life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SUIT-R09</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protection gap exists and the age is eligible</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SUIT-R10</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protection gap — the customer is already adequately covered</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cover already adequate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SUIT-R11</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0.15</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premium high relative to income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SUIT-R12</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0.30</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premium unaffordable</w:t>
            </w:r>
          </w:p>
        </w:tc>
      </w:tr>
    </w:tbl>
    <w:p>
      <w:pPr>
        <w:spacing w:after="120"/>
      </w:pPr>
      <w:r>
        <w:t xml:space="preserve"/>
      </w:r>
    </w:p>
    <w:p>
      <w:pPr>
        <w:pStyle w:val="Heading3"/>
        <w:spacing w:after="100" w:before="220"/>
      </w:pPr>
      <w:r>
        <w:rPr>
          <w:b/>
          <w:bCs/>
          <w:color w:val="0F6E6E"/>
          <w:sz w:val="21"/>
          <w:szCs w:val="21"/>
        </w:rPr>
        <w:t xml:space="preserve">Savings and endowment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SUIT-R13</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Objective is savings, retirement or tax planning, and the horizon is 5 years or more, and the affordability ratio is 0.20 or below</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SUIT-R14</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Horizon under 5 years</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horizon too short for this product class</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SUIT-R15</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protection gap exists and the stated objective is protection</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the protection need is not met by this class</w:t>
            </w:r>
          </w:p>
        </w:tc>
      </w:tr>
    </w:tbl>
    <w:p>
      <w:pPr>
        <w:spacing w:after="120"/>
      </w:pPr>
      <w:r>
        <w:t xml:space="preserve"/>
      </w:r>
    </w:p>
    <w:p>
      <w:pPr>
        <w:pStyle w:val="Heading3"/>
        <w:spacing w:after="100" w:before="220"/>
      </w:pPr>
      <w:r>
        <w:rPr>
          <w:b/>
          <w:bCs/>
          <w:color w:val="0F6E6E"/>
          <w:sz w:val="21"/>
          <w:szCs w:val="21"/>
        </w:rPr>
        <w:t xml:space="preserve">Unit-linked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SUIT-R16</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moderate or high, horizon over 10 years, objective wealth growth or retirement, and affordability ratio 0.20 or below</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SUIT-R17</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is capital protection</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risk attitude incompatible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SUIT-R18</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Horizon 10 years or less</w:t>
            </w:r>
          </w:p>
        </w:tc>
        <w:tc>
          <w:tcPr>
            <w:tcW w:type="dxa" w:w="424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horizon too short for this product class</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low, with all other conditions of SUIT-R16 met</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risk attitude below the product’s profile</w:t>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SUIT-R19a</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more than one rule fires for a class, the most restrictive outcome wins — not suitable over caution, caution over suitable — and every reason that fired MUST be persisted in rule order, not only the one that decided.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profile firing both a caution rule and a second caution rule records both reasons, and the outcome is the more restrictive of the two.</w:t>
            </w:r>
          </w:p>
        </w:tc>
      </w:tr>
    </w:tbl>
    <w:p>
      <w:pPr>
        <w:pStyle w:val="Heading2"/>
        <w:pageBreakBefore/>
        <w:spacing w:after="120" w:before="0"/>
      </w:pPr>
      <w:r>
        <w:rPr>
          <w:b/>
          <w:bCs/>
          <w:color w:val="11304E"/>
          <w:sz w:val="24"/>
          <w:szCs w:val="24"/>
        </w:rPr>
        <w:t xml:space="preserve">B.5  The assessment record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5976"/>
        <w:gridCol w:w="2891"/>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597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Optionality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Assessment identifier — this is the identifier the quote gate checks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identifier held by the bank</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identifier</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Questionnaire version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Algorithm version</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twelve answers, exactly as given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Derived values — recommended cover, protection gap, affordability ratio, multiple, age factor</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Outcome and reason codes for each product class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Underwriting-risk flag</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Data-inconsistency flags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may be empty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Identity of the member of staff who ran the assessment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Licence number of the selling agent</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of assessment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until — 30 days after assessment</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Status — active, expired, invalidated or superseded</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16</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Reason for invalidation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Optional</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solicitation consent this assessment relies on</w:t>
            </w:r>
          </w:p>
        </w:tc>
        <w:tc>
          <w:tcPr>
            <w:tcW w:type="dxa" w:w="289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18</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Reference to the stored suitability statement given to the customer</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MUST NOT be created without a valid solicitation consent.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an assessment with no such consent: refused. This is the consent fail-closed rule applied at the suitability boundary.</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human-readable suitability statement MUST be produced at the time of assessment and stored unalterably. It is the document shown to the customer and retained for audit.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assessment has a resolvable statement, and that statement contains all twelve answers, the derived values, and every outcome with its reasons.</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store MUST be append-only, on the same terms as the consent store.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Update and delete by the application’s database account fail on privilege.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Retention: seven years from the journey’s terminal state, write-once, in an India region.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same test as CNS-R33 and CNS-R34.</w:t>
            </w:r>
          </w:p>
        </w:tc>
      </w:tr>
    </w:tbl>
    <w:p>
      <w:pPr>
        <w:pStyle w:val="Heading2"/>
        <w:pageBreakBefore/>
        <w:spacing w:after="120" w:before="0"/>
      </w:pPr>
      <w:r>
        <w:rPr>
          <w:b/>
          <w:bCs/>
          <w:color w:val="11304E"/>
          <w:sz w:val="24"/>
          <w:szCs w:val="24"/>
        </w:rPr>
        <w:t xml:space="preserve">B.6  The gate before quote</w:t>
      </w:r>
    </w:p>
    <w:p>
      <w:pPr>
        <w:spacing w:after="120" w:before="0" w:line="276"/>
        <w:jc w:val="left"/>
      </w:pPr>
      <w:r>
        <w:rPr>
          <w:b w:val="false"/>
          <w:bCs w:val="false"/>
          <w:i w:val="false"/>
          <w:iCs w:val="false"/>
          <w:color w:val="222629"/>
          <w:sz w:val="20"/>
          <w:szCs w:val="20"/>
        </w:rPr>
        <w:t xml:space="preserve">All seven refusal cases are mandatory tests of the built service.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2"/>
        <w:gridCol w:w="3855"/>
        <w:gridCol w:w="1446"/>
        <w:gridCol w:w="3855"/>
      </w:tblGrid>
      <w:tr>
        <w:trPr>
          <w:cantSplit/>
          <w:tblHeader/>
        </w:trPr>
        <w:tc>
          <w:tcPr>
            <w:tcW w:type="dxa" w:w="48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Result</w:t>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Reason code</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assessment identifier on the request</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SUITABILITY_EVALUATION_REQUIRED</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identifier does not exist</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SUITABILITY_EVALUATION_NOT_FOUND</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is older than 30 days</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SUITABILITY_EVALUATION_EXPIRED</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belongs to a different customer</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SUITABILITY_SUBJECT_MISMATCH — plus a security event</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outcome for the requested class is not suitable</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PRODUCT_CLASS_NOT_SUITABLE</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outcome is insufficient data</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SUITABILITY_INSUFFICIENT_DATA</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is invalidated, expired or superseded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SUITABILITY_EVALUATION_INVALID</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MUST be enforced server-side at the quote interface — not in the screen, not in the layer serving the screen alone, and not at the insurer aggregator.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Call the quote interface directly, bypassing the screen and its serving layer, with no assessment identifier.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MUST fail closed. If the assessment service is unavailable, quotes are refused, not permitted.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Take the assessment service down; quote requests are refused and no quote is generated.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implementing the gate MUST hold complete branch coverage, with no waiver available to any authority.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coverage report filtered to the gate shows every branch exercised.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refusal by the gate MUST emit an audit event carrying the actor, the customer, the product class, the assessment identifier if any, and the reason.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each of the seven cases; seven audit events exist with seven distinct reasons.</w:t>
            </w:r>
          </w:p>
        </w:tc>
      </w:tr>
    </w:tbl>
    <w:p>
      <w:pPr>
        <w:spacing w:after="12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SUIT-R26 is the rule that prevents the classic failure</w:t>
            </w:r>
          </w:p>
          <w:p>
            <w:pPr>
              <w:spacing w:after="0" w:before="0" w:line="276"/>
              <w:jc w:val="left"/>
            </w:pPr>
            <w:r>
              <w:rPr>
                <w:b w:val="false"/>
                <w:bCs w:val="false"/>
                <w:i w:val="false"/>
                <w:iCs w:val="false"/>
                <w:color w:val="222629"/>
                <w:sz w:val="20"/>
                <w:szCs w:val="20"/>
              </w:rPr>
              <w:t xml:space="preserve">A gate that fails open under load is a gate that is absent exactly when volume is highest — which is also when the volume of unsuitable sales would be highest.</w:t>
            </w:r>
          </w:p>
        </w:tc>
      </w:tr>
    </w:tbl>
    <w:p>
      <w:pPr>
        <w:pStyle w:val="Heading2"/>
        <w:pageBreakBefore/>
        <w:spacing w:after="120" w:before="0"/>
      </w:pPr>
      <w:r>
        <w:rPr>
          <w:b/>
          <w:bCs/>
          <w:color w:val="11304E"/>
          <w:sz w:val="24"/>
          <w:szCs w:val="24"/>
        </w:rPr>
        <w:t xml:space="preserve">B.7  Invalidation, re-assessment and reuse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SUIT-R29</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Thirty days after assessment, the status becomes expired.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an assessment past 30 days; its status changes and the gate refuses it.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SUIT-R30</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the solicitation consent invalidates the assessment.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the consent; the assessment status becomes invalidated with the reason recorded.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new assessment for the same customer supersedes the previous one, which must then be used no further.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Create a second assessment; the first is marked superseded and the gate accepts only the new identifier.</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material change to the questionnaire or the algorithm invalidates all active assessments made under the earlier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material version change; active assessments under the prior version are invalidated with the reason recorded.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customer reports a change to income, dependants, existing cover or liabilities, staff MUST re-assess. The platform offers the path; it cannot detect the change.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re-assessment path is available from the journey at any point before quote.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whose journey has reached submitted-proposal MUST NOT be invalidated by expiry or by a model version change.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such an assessment past 30 days; the proposal in flight is unaffected and retains its evidence.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active assessment MAY be reused across journeys for the same customer within its 30-day window.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Abandon one journey and start another 10 days later for the same customer; the existing assessment is reused with no repeat questionnaire.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MUST NOT be reused across customers under any circumstances.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Covered by case 4 of the gate test matrix in B.6.</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Each reuse MUST be recorded — the journey, the time, and the acting identity.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Reuse an assessment across two journeys; two usage records exist.</w:t>
            </w:r>
          </w:p>
        </w:tc>
      </w:tr>
    </w:tbl>
    <w:p>
      <w:pPr>
        <w:spacing w:after="120"/>
      </w:pPr>
      <w:r>
        <w:t xml:space="preserve"/>
      </w:r>
    </w:p>
    <w:tbl>
      <w:tblPr>
        <w:tblW w:type="dxa" w:w="9638"/>
        <w:tblBorders>
          <w:top w:val="none" w:color="FFFFFF" w:sz="0"/>
          <w:left w:val="single" w:color="0F6E6E"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0F6E6E"/>
                <w:sz w:val="20"/>
                <w:szCs w:val="20"/>
              </w:rPr>
              <w:t xml:space="preserve">Why SUIT-R34 exists</w:t>
            </w:r>
          </w:p>
          <w:p>
            <w:pPr>
              <w:spacing w:after="0" w:before="0" w:line="276"/>
              <w:jc w:val="left"/>
            </w:pPr>
            <w:r>
              <w:rPr>
                <w:b w:val="false"/>
                <w:bCs w:val="false"/>
                <w:i w:val="false"/>
                <w:iCs w:val="false"/>
                <w:color w:val="222629"/>
                <w:sz w:val="20"/>
                <w:szCs w:val="20"/>
              </w:rPr>
              <w:t xml:space="preserve">A submitted proposal is a completed regulated act. Retrospectively invalidating the basis on which it was made creates a contradiction in the audit record rather than a control. This mirrors the equivalent consent rule, CNS-R05.</w:t>
            </w:r>
          </w:p>
        </w:tc>
      </w:tr>
    </w:tbl>
    <w:p>
      <w:pPr>
        <w:pStyle w:val="Heading2"/>
        <w:pageBreakBefore/>
        <w:spacing w:after="120" w:before="0"/>
      </w:pPr>
      <w:r>
        <w:rPr>
          <w:b/>
          <w:bCs/>
          <w:color w:val="11304E"/>
          <w:sz w:val="24"/>
          <w:szCs w:val="24"/>
        </w:rPr>
        <w:t xml:space="preserve">B.8  Override and exception</w:t>
      </w:r>
    </w:p>
    <w:p>
      <w:pPr>
        <w:spacing w:after="120" w:before="0" w:line="276"/>
        <w:jc w:val="left"/>
      </w:pPr>
      <w:r>
        <w:rPr>
          <w:b w:val="false"/>
          <w:bCs w:val="false"/>
          <w:i w:val="false"/>
          <w:iCs w:val="false"/>
          <w:color w:val="222629"/>
          <w:sz w:val="20"/>
          <w:szCs w:val="20"/>
        </w:rPr>
        <w:t xml:space="preserve">This is the section where a suitability control usually fails in practice, because a bank that makes overriding easy has an advisory process with a bypass button.</w:t>
      </w:r>
    </w:p>
    <w:p>
      <w:pPr>
        <w:pStyle w:val="Heading3"/>
        <w:spacing w:after="100" w:before="220"/>
      </w:pPr>
      <w:r>
        <w:rPr>
          <w:b/>
          <w:bCs/>
          <w:color w:val="0F6E6E"/>
          <w:sz w:val="21"/>
          <w:szCs w:val="21"/>
        </w:rPr>
        <w:t xml:space="preserve">What may never be overridden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not-suitable outcome MUST NOT be overridden by any actor at any level in the first release. There is no override route, no approval workflow and no configuration switch. The quote is refused.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an override through every route — screen, interface, administrative console, direct service call. All four refused. The absence of a feature is proven by attempting to use it.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SUIT-R39</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insufficient-data outcome MUST NOT be overridden. The missing input is obtained, or the journey stops.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proceed with a missing derived input: refused.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SUIT-R40</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itself MUST NOT be disableable by feature flag, configuration, environment setting or request header in any environment holding customer data.</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Search the built system for any conditional capable of disabling the gate: none exists. Attempt to pass a bypass header in the test environment: refused.</w:t>
            </w:r>
          </w:p>
        </w:tc>
      </w:tr>
    </w:tbl>
    <w:p>
      <w:pPr>
        <w:spacing w:after="120"/>
      </w:pPr>
      <w:r>
        <w:t xml:space="preserve"/>
      </w:r>
    </w:p>
    <w:p>
      <w:pPr>
        <w:pStyle w:val="Heading3"/>
        <w:spacing w:after="100" w:before="220"/>
      </w:pPr>
      <w:r>
        <w:rPr>
          <w:b/>
          <w:bCs/>
          <w:color w:val="0F6E6E"/>
          <w:sz w:val="21"/>
          <w:szCs w:val="21"/>
        </w:rPr>
        <w:t xml:space="preserve">Caution outcomes — proceed with disclosure, not with override</w:t>
      </w:r>
    </w:p>
    <w:p>
      <w:pPr>
        <w:spacing w:after="120" w:before="0" w:line="276"/>
        <w:jc w:val="left"/>
      </w:pPr>
      <w:r>
        <w:rPr>
          <w:b w:val="false"/>
          <w:bCs w:val="false"/>
          <w:i w:val="false"/>
          <w:iCs w:val="false"/>
          <w:color w:val="222629"/>
          <w:sz w:val="20"/>
          <w:szCs w:val="20"/>
        </w:rPr>
        <w:t xml:space="preserve">A caution outcome is not an exception. It permits the quote, and it obliges a disclosure.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any product class returns a caution outcome, the customer MUST be shown the specific caution reason in plain language before proceeding, and MUST acknowledge it.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an affordability caution; the disclosure names the affordability concern specifically, not a generic warning.</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MUST be captured on the customer’s own device with the same verification as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cannot acknowledge a caution disclosure on the staff device.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record MUST carry the reasons acknowledged, the disclosure text and its version, the time, and the verification transaction.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the record; all fields present.</w:t>
            </w:r>
          </w:p>
        </w:tc>
      </w:tr>
    </w:tbl>
    <w:p>
      <w:pPr>
        <w:spacing w:after="120"/>
      </w:pPr>
      <w:r>
        <w:t xml:space="preserve"/>
      </w:r>
    </w:p>
    <w:p>
      <w:pPr>
        <w:pStyle w:val="Heading3"/>
        <w:spacing w:after="100" w:before="220"/>
      </w:pPr>
      <w:r>
        <w:rPr>
          <w:b/>
          <w:bCs/>
          <w:color w:val="0F6E6E"/>
          <w:sz w:val="21"/>
          <w:szCs w:val="21"/>
        </w:rPr>
        <w:t xml:space="preserve">Customer-initiated deviation</w:t>
      </w:r>
    </w:p>
    <w:p>
      <w:pPr>
        <w:spacing w:after="120" w:before="0" w:line="276"/>
        <w:jc w:val="left"/>
      </w:pPr>
      <w:r>
        <w:rPr>
          <w:b w:val="false"/>
          <w:bCs w:val="false"/>
          <w:i w:val="false"/>
          <w:iCs w:val="false"/>
          <w:color w:val="222629"/>
          <w:sz w:val="20"/>
          <w:szCs w:val="20"/>
        </w:rPr>
        <w:t xml:space="preserve">A customer may want a product the model did not put first, where that product is nonetheless permitted for them. This is legitimate and is not an override.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SUIT-R44</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MAY select any product whose class outcome is suitable or suitable with caution, including one the model did not rank first. The selection is recorded as diverging from the recommendation, with a customer-stated reason.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Select a product that was not ranked first; the divergence flag and the reason persist on the journey.</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SUIT-R45</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diverged selection MUST NOT change the outcome of any class. The model result is immutable evidence of what was assessed.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a divergence, re-read the assessment; the outcomes are unchanged.</w:t>
            </w:r>
          </w:p>
        </w:tc>
      </w:tr>
    </w:tbl>
    <w:p>
      <w:pPr>
        <w:spacing w:after="120"/>
      </w:pPr>
      <w:r>
        <w:t xml:space="preserve"/>
      </w:r>
    </w:p>
    <w:p>
      <w:pPr>
        <w:pStyle w:val="Heading3"/>
        <w:spacing w:after="100" w:before="220"/>
      </w:pPr>
      <w:r>
        <w:rPr>
          <w:b/>
          <w:bCs/>
          <w:color w:val="0F6E6E"/>
          <w:sz w:val="21"/>
          <w:szCs w:val="21"/>
        </w:rPr>
        <w:t xml:space="preserve">Replacement of an existing policy</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SUIT-R46</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customer is replacing an existing policy, a replacement disclosure MUST be presented and acknowledged on the customer’s device before any quote, covering loss of accrued benefit, fresh waiting and contestability periods, and the risk of re-underwriting.</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Set the replacement answer to yes; the quote is refused until the replacement acknowledgement exists.</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SUIT-R47</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cases MUST be flagged for post-sale operations review.</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review task exists for every such journey.</w:t>
            </w:r>
          </w:p>
        </w:tc>
      </w:tr>
    </w:tbl>
    <w:p>
      <w:pPr>
        <w:spacing w:after="120"/>
      </w:pPr>
      <w:r>
        <w:t xml:space="preserve"/>
      </w:r>
    </w:p>
    <w:p>
      <w:pPr>
        <w:pStyle w:val="Heading3"/>
        <w:spacing w:after="100" w:before="220"/>
      </w:pPr>
      <w:r>
        <w:rPr>
          <w:b/>
          <w:bCs/>
          <w:color w:val="0F6E6E"/>
          <w:sz w:val="21"/>
          <w:szCs w:val="21"/>
        </w:rPr>
        <w:t xml:space="preserve">The one exception that does exist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business believes an assessment is wrong because of a defect in the model — not because the answer is inconvenient — the route is a defect report against the algorithm version, raised to Product and Compliance and resolved by publishing a corrected version under change control. It is never resolved for an individual customer in flight.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defect route exists and is documented; no per-customer correction route exists on any surface.</w:t>
            </w:r>
          </w:p>
        </w:tc>
      </w:tr>
    </w:tbl>
    <w:p>
      <w:pPr>
        <w:spacing w:after="120"/>
      </w:pPr>
      <w:r>
        <w:t xml:space="preserve"/>
      </w:r>
    </w:p>
    <w:tbl>
      <w:tblPr>
        <w:tblW w:type="dxa" w:w="9638"/>
        <w:tblBorders>
          <w:top w:val="none" w:color="FFFFFF" w:sz="0"/>
          <w:left w:val="single" w:color="9B2226" w:sz="18"/>
          <w:bottom w:val="none" w:color="FFFFFF" w:sz="0"/>
          <w:right w:val="none" w:color="FFFFFF" w:sz="0"/>
          <w:insideH w:val="none" w:color="FFFFFF" w:sz="0"/>
          <w:insideV w:val="none" w:color="FFFFFF" w:sz="0"/>
        </w:tblBorders>
      </w:tblPr>
      <w:tblGrid>
        <w:gridCol w:w="9638"/>
      </w:tblGrid>
      <w:tr>
        <w:tc>
          <w:tcPr>
            <w:tcW w:type="dxa" w:w="9638"/>
            <w:shd w:fill="F1F5F8" w:color="auto" w:val="clear"/>
            <w:tcMar>
              <w:top w:type="dxa" w:w="140"/>
              <w:left w:type="dxa" w:w="200"/>
              <w:bottom w:type="dxa" w:w="140"/>
              <w:right w:type="dxa" w:w="200"/>
            </w:tcMar>
          </w:tcPr>
          <w:p>
            <w:pPr>
              <w:spacing w:after="60" w:before="0" w:line="276"/>
              <w:jc w:val="left"/>
            </w:pPr>
            <w:r>
              <w:rPr>
                <w:b/>
                <w:bCs/>
                <w:i w:val="false"/>
                <w:iCs w:val="false"/>
                <w:color w:val="9B2226"/>
                <w:sz w:val="20"/>
                <w:szCs w:val="20"/>
              </w:rPr>
              <w:t xml:space="preserve">The reasoning behind SUIT-R48</w:t>
            </w:r>
          </w:p>
          <w:p>
            <w:pPr>
              <w:spacing w:after="0" w:before="0" w:line="276"/>
              <w:jc w:val="left"/>
            </w:pPr>
            <w:r>
              <w:rPr>
                <w:b w:val="false"/>
                <w:bCs w:val="false"/>
                <w:i w:val="false"/>
                <w:iCs w:val="false"/>
                <w:color w:val="222629"/>
                <w:sz w:val="20"/>
                <w:szCs w:val="20"/>
              </w:rPr>
              <w:t xml:space="preserve">Per-case exceptions to a suitability model are indistinguishable, at audit, from mis-selling. A model that is wrong for one customer is wrong for a population, and the correct remedy operates on the population.</w:t>
            </w:r>
          </w:p>
        </w:tc>
      </w:tr>
    </w:tbl>
    <w:p>
      <w:pPr>
        <w:pStyle w:val="Heading2"/>
        <w:spacing w:after="120" w:before="300"/>
      </w:pPr>
      <w:r>
        <w:rPr>
          <w:b/>
          <w:bCs/>
          <w:color w:val="11304E"/>
          <w:sz w:val="24"/>
          <w:szCs w:val="24"/>
        </w:rPr>
        <w:t xml:space="preserve">B.9  Traceability</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735"/>
        <w:gridCol w:w="5012"/>
        <w:gridCol w:w="2891"/>
      </w:tblGrid>
      <w:tr>
        <w:trPr>
          <w:cantSplit/>
          <w:tblHeader/>
        </w:trPr>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501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Obligation the rules serve</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will be proven</w:t>
            </w:r>
          </w:p>
        </w:tc>
      </w:tr>
      <w:tr>
        <w:trPr>
          <w:cantSplit/>
        </w:trPr>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SUIT-R01 – R04</w:t>
            </w:r>
          </w:p>
        </w:tc>
        <w:tc>
          <w:tcPr>
            <w:tcW w:type="dxa" w:w="501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documented need analysis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SUIT-R05 – R08</w:t>
            </w:r>
          </w:p>
        </w:tc>
        <w:tc>
          <w:tcPr>
            <w:tcW w:type="dxa" w:w="501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Advice that is deterministic and reproducible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SUIT-R09 – R19a</w:t>
            </w:r>
          </w:p>
        </w:tc>
        <w:tc>
          <w:tcPr>
            <w:tcW w:type="dxa" w:w="501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of the recommendation to the customer</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SUIT-R20 – R28</w:t>
            </w:r>
          </w:p>
        </w:tc>
        <w:tc>
          <w:tcPr>
            <w:tcW w:type="dxa" w:w="501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Suitability assessed before any quote is shown</w:t>
            </w:r>
          </w:p>
        </w:tc>
        <w:tc>
          <w:tcPr>
            <w:tcW w:type="dxa" w:w="289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First end-to-end test, with complete branch coverage</w:t>
            </w:r>
          </w:p>
        </w:tc>
      </w:tr>
      <w:tr>
        <w:trPr>
          <w:cantSplit/>
        </w:trPr>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SUIT-R29 – R37</w:t>
            </w:r>
          </w:p>
        </w:tc>
        <w:tc>
          <w:tcPr>
            <w:tcW w:type="dxa" w:w="501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Currency of the advice given</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SUIT-R38 – R48</w:t>
            </w:r>
          </w:p>
        </w:tc>
        <w:tc>
          <w:tcPr>
            <w:tcW w:type="dxa" w:w="501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Prevention of mis-selling; customer protection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 then hardening before pilot</w:t>
            </w:r>
          </w:p>
        </w:tc>
      </w:tr>
    </w:tbl>
    <w:p>
      <w:pPr>
        <w:pStyle w:val="Heading2"/>
        <w:spacing w:after="120" w:before="300"/>
      </w:pPr>
      <w:r>
        <w:rPr>
          <w:b/>
          <w:bCs/>
          <w:color w:val="11304E"/>
          <w:sz w:val="24"/>
          <w:szCs w:val="24"/>
        </w:rPr>
        <w:t xml:space="preserve">B.10  What this pack does not decide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5976"/>
        <w:gridCol w:w="2313"/>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597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Open item</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income-multiple table and age factors discharge the suitability obligation, or whether a prescribed model applies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 not-suitable outcome may ever be overridden with senior authorisation in a later release — the position for the first release is never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the executive sponsor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wording of the caution and replacement disclosures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30-day validity window is acceptable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any insurer on the panel imposes suitability requirements exceeding this model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Bancassurance with Compliance</w:t>
            </w:r>
          </w:p>
        </w:tc>
      </w:tr>
    </w:tbl>
    <w:p>
      <w:pPr>
        <w:spacing w:after="100"/>
      </w:pPr>
      <w:r>
        <w:t xml:space="preserve"/>
      </w:r>
    </w:p>
    <w:p>
      <w:pPr>
        <w:spacing w:after="120" w:before="0" w:line="276"/>
        <w:jc w:val="left"/>
      </w:pPr>
      <w:r>
        <w:rPr>
          <w:b w:val="false"/>
          <w:bCs w:val="false"/>
          <w:i/>
          <w:iCs/>
          <w:color w:val="222629"/>
          <w:sz w:val="20"/>
          <w:szCs w:val="20"/>
        </w:rPr>
        <w:t xml:space="preserve">None of these blocks building the Suitability Service. All five are calibration or wording questions over a model whose structure, storage, gate and failure behaviour they do not change.</w:t>
      </w:r>
    </w:p>
    <w:p>
      <w:pPr>
        <w:pStyle w:val="Heading1"/>
        <w:pageBreakBefore/>
        <w:pBdr>
          <w:bottom w:val="single" w:color="0F6E6E" w:sz="8" w:space="6"/>
        </w:pBdr>
        <w:spacing w:after="160" w:before="0"/>
      </w:pPr>
      <w:r>
        <w:rPr>
          <w:b/>
          <w:bCs/>
          <w:color w:val="11304E"/>
          <w:sz w:val="30"/>
          <w:szCs w:val="30"/>
        </w:rPr>
        <w:t xml:space="preserve">Appendix C — Terms and internal references</w:t>
      </w:r>
    </w:p>
    <w:p>
      <w:pPr>
        <w:spacing w:after="120" w:before="0" w:line="276"/>
        <w:jc w:val="left"/>
      </w:pPr>
      <w:r>
        <w:rPr>
          <w:b w:val="false"/>
          <w:bCs w:val="false"/>
          <w:i w:val="false"/>
          <w:iCs w:val="false"/>
          <w:color w:val="222629"/>
          <w:sz w:val="20"/>
          <w:szCs w:val="20"/>
        </w:rPr>
        <w:t xml:space="preserve">C.1 defines the terms used in the rules themselves. C.2 explains the programme codes that appear in this document — they are the labels the delivery organisation uses internally, and they are recorded here so that nothing in this document depends on knowing them.</w:t>
      </w:r>
    </w:p>
    <w:p>
      <w:pPr>
        <w:pStyle w:val="Heading2"/>
        <w:spacing w:after="120" w:before="300"/>
      </w:pPr>
      <w:r>
        <w:rPr>
          <w:b/>
          <w:bCs/>
          <w:color w:val="11304E"/>
          <w:sz w:val="24"/>
          <w:szCs w:val="24"/>
        </w:rPr>
        <w:t xml:space="preserve">C.1  Terms used in the rules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Term</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Assessment</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completed suitability evaluation for one customer, carrying an outcome for each product class. The rule identifiers call this an evaluation; the two words mean the same thing here.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occasions on which consent is required in the first release: data processing, solicitation, insurer sharing, and servicing communications.</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Existing bank customer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who already holds a relationship with the bank, and therefore an existing customer record. The first release serves these customers only, and no one else.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 closed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a control cannot complete, the business action is refused rather than allowed through. The opposite, fail open, permits the action and records the problem for later.</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Hard block, hard gate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refuses the business action rather than warning about it. The suitability check before quote is a hard gate: it does not caution, it refuses.</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Interaction, ceremony</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customer-facing exchange in which one or more statements are presented and acknowledged, verified by one one-time password sent to the customer’s phone.</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Non-waivable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no authority within the programme may set aside, however senior. Consent capture where it is legally required, and holding data within India, are both on that list.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One-time password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numeric code sent to the customer’s registered mobile number, which the customer enters on their own device to confirm an acknowledgement.</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 approved panel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set of insurers the bank distributes for in the first release, integrated directly. Insurers outside the panel are handled by a controlled redirect and are out of scope.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Panel-scoped consent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sharing consent that names every insurer on the panel at the point of capture, later narrowed to one by the customer’s product selection. Proposed in §9; not part of the packs as drafted.</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Protection gap</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Recommended cover less existing cover, floored at zero. The central output of the suitability computation.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 binding</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act of narrowing a panel-scoped sharing consent to one named insurer, evidenced by the customer’s own product selection.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identifier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 of a consent statement, combining the consent code, the language and the version. Its meaning never changes, which is what allows a record to be interpreted years later.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version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published wording of a consent statement. A material change of meaning creates a new major version; a typographical or formatting correction creates a minor one.</w:t>
            </w:r>
          </w:p>
        </w:tc>
      </w:tr>
    </w:tbl>
    <w:p>
      <w:pPr>
        <w:pStyle w:val="Heading2"/>
        <w:pageBreakBefore/>
        <w:spacing w:after="120" w:before="0"/>
      </w:pPr>
      <w:r>
        <w:rPr>
          <w:b/>
          <w:bCs/>
          <w:color w:val="11304E"/>
          <w:sz w:val="24"/>
          <w:szCs w:val="24"/>
        </w:rPr>
        <w:t xml:space="preserve">C.2  Internal programme references</w:t>
      </w:r>
    </w:p>
    <w:p>
      <w:pPr>
        <w:spacing w:after="120" w:before="0" w:line="276"/>
        <w:jc w:val="left"/>
      </w:pPr>
      <w:r>
        <w:rPr>
          <w:b w:val="false"/>
          <w:bCs w:val="false"/>
          <w:i w:val="false"/>
          <w:iCs w:val="false"/>
          <w:color w:val="222629"/>
          <w:sz w:val="20"/>
          <w:szCs w:val="20"/>
        </w:rPr>
        <w:t xml:space="preserve">These codes belong to the delivery organisation, not to Compliance. Nothing in this approval requires them to be used or understood — they are set out here only so that a reference encountered in a meeting or a status report can be placed.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915"/>
        <w:gridCol w:w="3085"/>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Reference</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is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it is written in this document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R0</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internal label for the first release of the platform — Life products, existing bank customers, relationship-manager assisted.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throughout.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GAP-006</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in the programme’s issue register recording that the consent rules were not executable.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one of the two blocking issues.</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GAP-007</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recording that the suitability content and override policy were unknown.</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the second blocking issue.</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P0</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highest issue severity. An open item at this severity freezes development.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"Highest severity; development cannot start while it is open."</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S02-G3</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approval checkpoint that requires a consent rule pack reviewed and signed by Compliance before the stage can close.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S02-G4</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equivalent checkpoint for the suitability rule pack.</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 E2, E3, E4</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four grades of evidence: the document exists; reviewed and signed; run and observed; run, observed and repeatable. This approval produces the second grade.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plain words in §4, without the codes.</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CNS-Rnn, SUIT-Rnn</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identifiers of individual rules in the two packs. These do appear throughout, because they are how a specific rule is amended or cited.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conventions explained in §5.</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OPEN-CNS-nn, OPEN-SUIT-nn</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identifiers of open questions carried out of each pack for Compliance to determine.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all are listed in §8.</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SUIT-ALGO-LIFE-v1.0</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version identifier of the suitability algorithm being submitted. It is recorded on every assessment so that any past assessment can be reproduced.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w:t>
            </w:r>
          </w:p>
        </w:tc>
      </w:tr>
    </w:tbl>
    <w:p>
      <w:pPr>
        <w:spacing w:after="200"/>
      </w:pPr>
      <w:r>
        <w:t xml:space="preserve"/>
      </w:r>
    </w:p>
    <w:p>
      <w:pPr>
        <w:pBdr>
          <w:top w:val="single" w:color="C7D2DC" w:sz="6" w:space="8"/>
        </w:pBdr>
        <w:spacing w:before="200"/>
      </w:pPr>
      <w:r>
        <w:rPr>
          <w:b w:val="false"/>
          <w:bCs w:val="false"/>
          <w:i/>
          <w:iCs/>
          <w:color w:val="5A6570"/>
          <w:sz w:val="17"/>
          <w:szCs w:val="17"/>
        </w:rPr>
        <w:t xml:space="preserve">Prepared by Rajal, Principal Insurance Platform Product Owner · AU Bank Insurance Distribution Platform · 17 August 2026 · COMP-APPROVE-CNS-SUIT-v1.0</w:t>
      </w:r>
    </w:p>
    <w:sectPr>
      <w:headerReference w:type="default" r:id="rId7"/>
      <w:footerReference w:type="default" r:id="rId8"/>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5"/>
        <w:szCs w:val="15"/>
      </w:rPr>
      <w:t xml:space="preserve">Internal — Compliance, Product, Delivery   |   Page </w:t>
    </w:r>
    <w:r>
      <w:rPr>
        <w:color w:val="7A8794"/>
        <w:sz w:val="15"/>
        <w:szCs w:val="15"/>
      </w:rPr>
      <w:fldChar w:fldCharType="begin"/>
      <w:instrText xml:space="preserve">PAGE</w:instrText>
      <w:fldChar w:fldCharType="separate"/>
      <w:fldChar w:fldCharType="end"/>
    </w:r>
    <w:r>
      <w:rPr>
        <w:color w:val="7A8794"/>
        <w:sz w:val="15"/>
        <w:szCs w:val="15"/>
      </w:rPr>
      <w:t xml:space="preserve"> of </w:t>
    </w:r>
    <w:r>
      <w:rPr>
        <w:color w:val="7A87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4"/>
      </w:pBdr>
      <w:jc w:val="right"/>
    </w:pPr>
    <w:r>
      <w:rPr>
        <w:color w:val="7A8794"/>
        <w:sz w:val="15"/>
        <w:szCs w:val="15"/>
      </w:rPr>
      <w:t xml:space="preserve">Consent &amp; Suitability Rule Packs — Compliance Approval Pack  ·  COMP-APPROVE-CNS-SUIT-v1.0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and Suitability Rule Packs — Compliance Approval Pack</dc:title>
  <dc:creator>Rajal — Principal Insurance Platform Product Owner</dc:creator>
  <dc:description>Compliance approval sought before development, to close GAP-006 and GAP-007 and pass S02-G3 and S02-G4</dc:description>
  <cp:lastModifiedBy>Un-named</cp:lastModifiedBy>
  <cp:revision>1</cp:revision>
  <dcterms:created xsi:type="dcterms:W3CDTF">2026-08-17T06:48:59.790Z</dcterms:created>
  <dcterms:modified xsi:type="dcterms:W3CDTF">2026-08-17T06:48:59.790Z</dcterms:modified>
</cp:coreProperties>
</file>

<file path=docProps/custom.xml><?xml version="1.0" encoding="utf-8"?>
<Properties xmlns="http://schemas.openxmlformats.org/officeDocument/2006/custom-properties" xmlns:vt="http://schemas.openxmlformats.org/officeDocument/2006/docPropsVTypes"/>
</file>