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60" w:before="0" w:line="276"/>
        <w:jc w:val="left"/>
      </w:pPr>
      <w:r>
        <w:rPr>
          <w:b/>
          <w:bCs/>
          <w:i w:val="false"/>
          <w:iCs w:val="false"/>
          <w:color w:val="0F6E6E"/>
          <w:sz w:val="18"/>
          <w:szCs w:val="18"/>
        </w:rPr>
        <w:t xml:space="preserve">AU BANK  |  INSURANCE DISTRIBUTION PLATFORM</w:t>
      </w:r>
    </w:p>
    <w:p>
      <w:pPr>
        <w:spacing w:after="400" w:before="0" w:line="276"/>
        <w:jc w:val="left"/>
      </w:pPr>
      <w:r>
        <w:rPr>
          <w:b w:val="false"/>
          <w:bCs w:val="false"/>
          <w:i w:val="false"/>
          <w:iCs w:val="false"/>
          <w:color w:val="5A6570"/>
          <w:sz w:val="18"/>
          <w:szCs w:val="18"/>
        </w:rPr>
        <w:t xml:space="preserve">Consent and suitability controls for the first release</w:t>
      </w:r>
    </w:p>
    <w:p>
      <w:pPr>
        <w:spacing w:after="140" w:line="640"/>
      </w:pPr>
      <w:r>
        <w:rPr>
          <w:b/>
          <w:bCs/>
          <w:i w:val="false"/>
          <w:iCs w:val="false"/>
          <w:color w:val="11304E"/>
          <w:sz w:val="52"/>
          <w:szCs w:val="52"/>
        </w:rPr>
        <w:t xml:space="preserve">Consent and Suitability Rule Packs</w:t>
      </w:r>
    </w:p>
    <w:p>
      <w:pPr>
        <w:spacing w:after="220" w:line="500"/>
      </w:pPr>
      <w:r>
        <w:rPr>
          <w:b/>
          <w:bCs/>
          <w:i w:val="false"/>
          <w:iCs w:val="false"/>
          <w:color w:val="0F6E6E"/>
          <w:sz w:val="40"/>
          <w:szCs w:val="40"/>
        </w:rPr>
        <w:t xml:space="preserve">Compliance Approval Pack</w:t>
      </w:r>
    </w:p>
    <w:p>
      <w:pPr>
        <w:pBdr>
          <w:bottom w:val="single" w:color="11304E" w:sz="12" w:space="8"/>
        </w:pBdr>
        <w:spacing w:after="260"/>
      </w:pPr>
      <w:r>
        <w:rPr>
          <w:b w:val="false"/>
          <w:bCs w:val="false"/>
          <w:i/>
          <w:iCs/>
          <w:color w:val="445260"/>
          <w:sz w:val="22"/>
          <w:szCs w:val="22"/>
        </w:rPr>
        <w:t xml:space="preserve">Approval on the rules that govern how customer consent is captured and how product suitability is assessed — sought before either service is built, and before the existing quote path is permitted to serve a customer</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120"/>
        <w:gridCol w:w="7518"/>
      </w:tblGrid>
      <w:tr>
        <w:trPr>
          <w:cantSplit/>
          <w:tblHeader/>
        </w:trPr>
        <w:tc>
          <w:tcPr>
            <w:tcW w:type="dxa" w:w="212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Field</w:t>
            </w:r>
          </w:p>
        </w:tc>
        <w:tc>
          <w:tcPr>
            <w:tcW w:type="dxa" w:w="751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Detail</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Document</w:t>
            </w:r>
          </w:p>
        </w:tc>
        <w:tc>
          <w:tcPr>
            <w:tcW w:type="dxa" w:w="751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Volume 1 of 3 — Decision Pack</w:t>
            </w:r>
            <w:r>
              <w:rPr>
                <w:b w:val="false"/>
                <w:bCs w:val="false"/>
                <w:i w:val="false"/>
                <w:iCs w:val="false"/>
                <w:color w:val="222629"/>
                <w:sz w:val="18"/>
                <w:szCs w:val="18"/>
              </w:rPr>
              <w:t xml:space="preserve"/>
            </w:r>
            <w:r>
              <w:rPr>
                <w:b w:val="false"/>
                <w:bCs w:val="false"/>
                <w:i w:val="false"/>
                <w:iCs w:val="false"/>
                <w:color w:val="222629"/>
                <w:sz w:val="18"/>
                <w:szCs w:val="18"/>
              </w:rPr>
              <w:br/>
              <w:t xml:space="preserve">Approval reference COMP-APPROVE-CNS-SUIT-v1.1</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Issued with</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Volume 2 — Consent Rule Pack, in full: 42 rules in 13 sections</w:t>
            </w:r>
            <w:r>
              <w:rPr>
                <w:b w:val="false"/>
                <w:bCs w:val="false"/>
                <w:i w:val="false"/>
                <w:iCs w:val="false"/>
                <w:color w:val="222629"/>
                <w:sz w:val="18"/>
                <w:szCs w:val="18"/>
              </w:rPr>
              <w:br/>
              <w:t xml:space="preserve">Volume 3 — Suitability Rule Pack, in full: 62 rules in 14 sections</w:t>
            </w:r>
            <w:r>
              <w:rPr>
                <w:b w:val="false"/>
                <w:bCs w:val="false"/>
                <w:i w:val="false"/>
                <w:iCs w:val="false"/>
                <w:color w:val="222629"/>
                <w:sz w:val="18"/>
                <w:szCs w:val="18"/>
              </w:rPr>
              <w:br/>
              <w:t xml:space="preserve">The three volumes are one submission and should be read together.</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Drafted by</w:t>
            </w:r>
          </w:p>
        </w:tc>
        <w:tc>
          <w:tcPr>
            <w:tcW w:type="dxa" w:w="7518"/>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An AI agent</w:t>
            </w:r>
            <w:r>
              <w:rPr>
                <w:b w:val="false"/>
                <w:bCs w:val="false"/>
                <w:i w:val="false"/>
                <w:iCs w:val="false"/>
                <w:color w:val="9B2226"/>
                <w:sz w:val="18"/>
                <w:szCs w:val="18"/>
              </w:rPr>
              <w:t xml:space="preserve">, working from the Product Owner’s reasoning package and the programme’s own documents. </w:t>
            </w:r>
            <w:r>
              <w:rPr>
                <w:b w:val="false"/>
                <w:bCs w:val="false"/>
                <w:i w:val="false"/>
                <w:iCs w:val="false"/>
                <w:color w:val="222629"/>
                <w:sz w:val="18"/>
                <w:szCs w:val="18"/>
              </w:rPr>
              <w:t xml:space="preserve">The Principal Insurance Platform Product Owner is the accountable role, and has not yet signed. See the provenance note below and the Product decision block in §14.</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Provenance</w:t>
            </w:r>
          </w:p>
        </w:tc>
        <w:tc>
          <w:tcPr>
            <w:tcW w:type="dxa" w:w="7518"/>
            <w:shd w:fill="F1F5F8" w:color="auto" w:val="clear"/>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AI-DRAFTED. No human Product decision has been recorded on this pack.</w:t>
            </w:r>
            <w:r>
              <w:rPr>
                <w:b w:val="false"/>
                <w:bCs w:val="false"/>
                <w:i w:val="false"/>
                <w:iCs w:val="false"/>
                <w:color w:val="222629"/>
                <w:sz w:val="18"/>
                <w:szCs w:val="18"/>
              </w:rPr>
              <w:t xml:space="preserve"/>
            </w:r>
            <w:r>
              <w:rPr>
                <w:b w:val="false"/>
                <w:bCs w:val="false"/>
                <w:i w:val="false"/>
                <w:iCs w:val="false"/>
                <w:color w:val="222629"/>
                <w:sz w:val="18"/>
                <w:szCs w:val="18"/>
              </w:rPr>
              <w:br/>
              <w:t xml:space="preserve">Where this document states a Product position, that position is drafted on Product’s behalf and is awaiting the Product Owner’s signature. It is not evidence of a Product decision and must not be relied on as one.</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Approval owner</w:t>
            </w:r>
          </w:p>
        </w:tc>
        <w:tc>
          <w:tcPr>
            <w:tcW w:type="dxa" w:w="751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Compliance &amp; Risk Head</w:t>
            </w:r>
            <w:r>
              <w:rPr>
                <w:b w:val="false"/>
                <w:bCs w:val="false"/>
                <w:i w:val="false"/>
                <w:iCs w:val="false"/>
                <w:color w:val="222629"/>
                <w:sz w:val="18"/>
                <w:szCs w:val="18"/>
              </w:rPr>
              <w:t xml:space="preserve">. A human signature is mandatory; this approval cannot be delegated to an automated reviewer.</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Supporting approvers</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Information Security · Data and Database · Quality Assurance · Solution Architecture · Operations</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Date issued</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17 August 2026</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Decision requested by</w:t>
            </w:r>
          </w:p>
        </w:tc>
        <w:tc>
          <w:tcPr>
            <w:tcW w:type="dxa" w:w="7518"/>
            <w:shd w:fill="F1F5F8" w:color="auto" w:val="clear"/>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29 August 2026</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Submitted for approval</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Rule Pack v1.1 — 42 rules · Suitability Rule Pack v1.1 — 62 rules, algorithm SUIT-ALGO-LIFE-v1.1</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Development status</w:t>
            </w:r>
          </w:p>
        </w:tc>
        <w:tc>
          <w:tcPr>
            <w:tcW w:type="dxa" w:w="7518"/>
            <w:shd w:fill="F1F5F8" w:color="auto" w:val="clear"/>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Mixed, and not what an earlier draft of this pack said. </w:t>
            </w:r>
            <w:r>
              <w:rPr>
                <w:b w:val="false"/>
                <w:bCs w:val="false"/>
                <w:i w:val="false"/>
                <w:iCs w:val="false"/>
                <w:color w:val="222629"/>
                <w:sz w:val="18"/>
                <w:szCs w:val="18"/>
              </w:rPr>
              <w:t xml:space="preserve">Neither the Consent Service nor the Suitability Service exists. The quote path, however, was built, delivered and hardened — without the suitability gate this approval supplies. §3.2 sets out the position component by component.</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What is being asked for</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signed conclusion on each section of each pack, recorded in this volume. §5 sets out precisely what that certifies and what it does not.</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Scope</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first release — Life products (Term, Savings/Endowment and unit-linked), sold to existing bank customers, assisted by a relationship manager, through the approved insurer panel</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Self-contained</w:t>
            </w:r>
          </w:p>
        </w:tc>
        <w:tc>
          <w:tcPr>
            <w:tcW w:type="dxa" w:w="751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Yes, as a set of three. </w:t>
            </w:r>
            <w:r>
              <w:rPr>
                <w:b w:val="false"/>
                <w:bCs w:val="false"/>
                <w:i w:val="false"/>
                <w:iCs w:val="false"/>
                <w:color w:val="222629"/>
                <w:sz w:val="18"/>
                <w:szCs w:val="18"/>
              </w:rPr>
              <w:t xml:space="preserve">Every rule submitted for approval is reproduced in full in Volumes 2 and 3. Nothing outside these three documents needs to be obtained.</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 references</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These documents are written for a reader outside the delivery organisation. Where an internal programme code is unavoidable it is explained where it appears, and all of them are listed in the Appendix, Part 2 — which is identical in all three volumes.</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Classification</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 — Compliance, Product, Delivery</w:t>
            </w:r>
          </w:p>
        </w:tc>
      </w:tr>
    </w:tbl>
    <w:p>
      <w:pPr>
        <w:pStyle w:val="Heading1"/>
        <w:keepNext/>
        <w:keepLines/>
        <w:pageBreakBefore/>
        <w:pBdr>
          <w:bottom w:val="single" w:color="0F6E6E" w:sz="8" w:space="6"/>
        </w:pBdr>
        <w:spacing w:after="160" w:before="0"/>
      </w:pPr>
      <w:r>
        <w:rPr>
          <w:b/>
          <w:bCs/>
          <w:color w:val="11304E"/>
          <w:sz w:val="30"/>
          <w:szCs w:val="30"/>
        </w:rPr>
        <w:t xml:space="preserve">Contents</w:t>
      </w:r>
    </w:p>
    <w:p>
      <w:pPr>
        <w:spacing w:after="70" w:before="0" w:line="276"/>
        <w:jc w:val="left"/>
      </w:pPr>
      <w:r>
        <w:rPr>
          <w:b/>
          <w:bCs/>
          <w:i w:val="false"/>
          <w:iCs w:val="false"/>
          <w:color w:val="0F6E6E"/>
          <w:sz w:val="20"/>
          <w:szCs w:val="20"/>
        </w:rPr>
        <w:t xml:space="preserve">1.  </w:t>
      </w:r>
      <w:r>
        <w:rPr>
          <w:b w:val="false"/>
          <w:bCs w:val="false"/>
          <w:i w:val="false"/>
          <w:iCs w:val="false"/>
          <w:color w:val="222629"/>
          <w:sz w:val="20"/>
          <w:szCs w:val="20"/>
        </w:rPr>
        <w:t xml:space="preserve">What Compliance is being asked to approve</w:t>
      </w:r>
    </w:p>
    <w:p>
      <w:pPr>
        <w:spacing w:after="70" w:before="0" w:line="276"/>
        <w:jc w:val="left"/>
      </w:pPr>
      <w:r>
        <w:rPr>
          <w:b/>
          <w:bCs/>
          <w:i w:val="false"/>
          <w:iCs w:val="false"/>
          <w:color w:val="0F6E6E"/>
          <w:sz w:val="20"/>
          <w:szCs w:val="20"/>
        </w:rPr>
        <w:t xml:space="preserve">2.  </w:t>
      </w:r>
      <w:r>
        <w:rPr>
          <w:b w:val="false"/>
          <w:bCs w:val="false"/>
          <w:i w:val="false"/>
          <w:iCs w:val="false"/>
          <w:color w:val="222629"/>
          <w:sz w:val="20"/>
          <w:szCs w:val="20"/>
        </w:rPr>
        <w:t xml:space="preserve">Executive summary</w:t>
      </w:r>
    </w:p>
    <w:p>
      <w:pPr>
        <w:spacing w:after="70" w:before="0" w:line="276"/>
        <w:jc w:val="left"/>
      </w:pPr>
      <w:r>
        <w:rPr>
          <w:b/>
          <w:bCs/>
          <w:i w:val="false"/>
          <w:iCs w:val="false"/>
          <w:color w:val="0F6E6E"/>
          <w:sz w:val="20"/>
          <w:szCs w:val="20"/>
        </w:rPr>
        <w:t xml:space="preserve">3.  </w:t>
      </w:r>
      <w:r>
        <w:rPr>
          <w:b w:val="false"/>
          <w:bCs w:val="false"/>
          <w:i w:val="false"/>
          <w:iCs w:val="false"/>
          <w:color w:val="222629"/>
          <w:sz w:val="20"/>
          <w:szCs w:val="20"/>
        </w:rPr>
        <w:t xml:space="preserve">Where this sits — scope, position and authority</w:t>
      </w:r>
    </w:p>
    <w:p>
      <w:pPr>
        <w:spacing w:after="70" w:before="0" w:line="276"/>
        <w:jc w:val="left"/>
      </w:pPr>
      <w:r>
        <w:rPr>
          <w:b/>
          <w:bCs/>
          <w:i w:val="false"/>
          <w:iCs w:val="false"/>
          <w:color w:val="0F6E6E"/>
          <w:sz w:val="20"/>
          <w:szCs w:val="20"/>
        </w:rPr>
        <w:t xml:space="preserve">4.  </w:t>
      </w:r>
      <w:r>
        <w:rPr>
          <w:b w:val="false"/>
          <w:bCs w:val="false"/>
          <w:i w:val="false"/>
          <w:iCs w:val="false"/>
          <w:color w:val="222629"/>
          <w:sz w:val="20"/>
          <w:szCs w:val="20"/>
        </w:rPr>
        <w:t xml:space="preserve">What is submitted</w:t>
      </w:r>
    </w:p>
    <w:p>
      <w:pPr>
        <w:spacing w:after="70" w:before="0" w:line="276"/>
        <w:jc w:val="left"/>
      </w:pPr>
      <w:r>
        <w:rPr>
          <w:b/>
          <w:bCs/>
          <w:i w:val="false"/>
          <w:iCs w:val="false"/>
          <w:color w:val="0F6E6E"/>
          <w:sz w:val="20"/>
          <w:szCs w:val="20"/>
        </w:rPr>
        <w:t xml:space="preserve">5.  </w:t>
      </w:r>
      <w:r>
        <w:rPr>
          <w:b w:val="false"/>
          <w:bCs w:val="false"/>
          <w:i w:val="false"/>
          <w:iCs w:val="false"/>
          <w:color w:val="222629"/>
          <w:sz w:val="20"/>
          <w:szCs w:val="20"/>
        </w:rPr>
        <w:t xml:space="preserve">Why a signature, and what it certifies</w:t>
      </w:r>
    </w:p>
    <w:p>
      <w:pPr>
        <w:spacing w:after="70" w:before="0" w:line="276"/>
        <w:jc w:val="left"/>
      </w:pPr>
      <w:r>
        <w:rPr>
          <w:b/>
          <w:bCs/>
          <w:i w:val="false"/>
          <w:iCs w:val="false"/>
          <w:color w:val="0F6E6E"/>
          <w:sz w:val="20"/>
          <w:szCs w:val="20"/>
        </w:rPr>
        <w:t xml:space="preserve">6.  </w:t>
      </w:r>
      <w:r>
        <w:rPr>
          <w:b w:val="false"/>
          <w:bCs w:val="false"/>
          <w:i w:val="false"/>
          <w:iCs w:val="false"/>
          <w:color w:val="222629"/>
          <w:sz w:val="20"/>
          <w:szCs w:val="20"/>
        </w:rPr>
        <w:t xml:space="preserve">Regulatory basis and applicability</w:t>
      </w:r>
    </w:p>
    <w:p>
      <w:pPr>
        <w:spacing w:after="70" w:before="0" w:line="276"/>
        <w:jc w:val="left"/>
      </w:pPr>
      <w:r>
        <w:rPr>
          <w:b/>
          <w:bCs/>
          <w:i w:val="false"/>
          <w:iCs w:val="false"/>
          <w:color w:val="0F6E6E"/>
          <w:sz w:val="20"/>
          <w:szCs w:val="20"/>
        </w:rPr>
        <w:t xml:space="preserve">7.  </w:t>
      </w:r>
      <w:r>
        <w:rPr>
          <w:b w:val="false"/>
          <w:bCs w:val="false"/>
          <w:i w:val="false"/>
          <w:iCs w:val="false"/>
          <w:color w:val="222629"/>
          <w:sz w:val="20"/>
          <w:szCs w:val="20"/>
        </w:rPr>
        <w:t xml:space="preserve">How to read this document</w:t>
      </w:r>
    </w:p>
    <w:p>
      <w:pPr>
        <w:spacing w:after="70" w:before="0" w:line="276"/>
        <w:jc w:val="left"/>
      </w:pPr>
      <w:r>
        <w:rPr>
          <w:b/>
          <w:bCs/>
          <w:i w:val="false"/>
          <w:iCs w:val="false"/>
          <w:color w:val="0F6E6E"/>
          <w:sz w:val="20"/>
          <w:szCs w:val="20"/>
        </w:rPr>
        <w:t xml:space="preserve">8.  </w:t>
      </w:r>
      <w:r>
        <w:rPr>
          <w:b w:val="false"/>
          <w:bCs w:val="false"/>
          <w:i w:val="false"/>
          <w:iCs w:val="false"/>
          <w:color w:val="222629"/>
          <w:sz w:val="20"/>
          <w:szCs w:val="20"/>
        </w:rPr>
        <w:t xml:space="preserve">Decision Schedule A — Consent Rule Pack</w:t>
      </w:r>
    </w:p>
    <w:p>
      <w:pPr>
        <w:spacing w:after="70" w:before="0" w:line="276"/>
        <w:jc w:val="left"/>
      </w:pPr>
      <w:r>
        <w:rPr>
          <w:b/>
          <w:bCs/>
          <w:i w:val="false"/>
          <w:iCs w:val="false"/>
          <w:color w:val="0F6E6E"/>
          <w:sz w:val="20"/>
          <w:szCs w:val="20"/>
        </w:rPr>
        <w:t xml:space="preserve">9.  </w:t>
      </w:r>
      <w:r>
        <w:rPr>
          <w:b w:val="false"/>
          <w:bCs w:val="false"/>
          <w:i w:val="false"/>
          <w:iCs w:val="false"/>
          <w:color w:val="222629"/>
          <w:sz w:val="20"/>
          <w:szCs w:val="20"/>
        </w:rPr>
        <w:t xml:space="preserve">Decision Schedule B — Suitability Rule Pack</w:t>
      </w:r>
    </w:p>
    <w:p>
      <w:pPr>
        <w:spacing w:after="70" w:before="0" w:line="276"/>
        <w:jc w:val="left"/>
      </w:pPr>
      <w:r>
        <w:rPr>
          <w:b/>
          <w:bCs/>
          <w:i w:val="false"/>
          <w:iCs w:val="false"/>
          <w:color w:val="0F6E6E"/>
          <w:sz w:val="20"/>
          <w:szCs w:val="20"/>
        </w:rPr>
        <w:t xml:space="preserve">10.  </w:t>
      </w:r>
      <w:r>
        <w:rPr>
          <w:b w:val="false"/>
          <w:bCs w:val="false"/>
          <w:i w:val="false"/>
          <w:iCs w:val="false"/>
          <w:color w:val="222629"/>
          <w:sz w:val="20"/>
          <w:szCs w:val="20"/>
        </w:rPr>
        <w:t xml:space="preserve">Open items requiring a Compliance determination</w:t>
      </w:r>
    </w:p>
    <w:p>
      <w:pPr>
        <w:spacing w:after="70" w:before="0" w:line="276"/>
        <w:jc w:val="left"/>
      </w:pPr>
      <w:r>
        <w:rPr>
          <w:b/>
          <w:bCs/>
          <w:i w:val="false"/>
          <w:iCs w:val="false"/>
          <w:color w:val="0F6E6E"/>
          <w:sz w:val="20"/>
          <w:szCs w:val="20"/>
        </w:rPr>
        <w:t xml:space="preserve">11.  </w:t>
      </w:r>
      <w:r>
        <w:rPr>
          <w:b w:val="false"/>
          <w:bCs w:val="false"/>
          <w:i w:val="false"/>
          <w:iCs w:val="false"/>
          <w:color w:val="222629"/>
          <w:sz w:val="20"/>
          <w:szCs w:val="20"/>
        </w:rPr>
        <w:t xml:space="preserve">Product proposal — consolidating consent into a single up-front ceremony</w:t>
      </w:r>
    </w:p>
    <w:p>
      <w:pPr>
        <w:spacing w:after="70" w:before="0" w:line="276"/>
        <w:jc w:val="left"/>
      </w:pPr>
      <w:r>
        <w:rPr>
          <w:b/>
          <w:bCs/>
          <w:i w:val="false"/>
          <w:iCs w:val="false"/>
          <w:color w:val="0F6E6E"/>
          <w:sz w:val="20"/>
          <w:szCs w:val="20"/>
        </w:rPr>
        <w:t xml:space="preserve">12.  </w:t>
      </w:r>
      <w:r>
        <w:rPr>
          <w:b w:val="false"/>
          <w:bCs w:val="false"/>
          <w:i w:val="false"/>
          <w:iCs w:val="false"/>
          <w:color w:val="222629"/>
          <w:sz w:val="20"/>
          <w:szCs w:val="20"/>
        </w:rPr>
        <w:t xml:space="preserve">Conditions that carry forward into build and run</w:t>
      </w:r>
    </w:p>
    <w:p>
      <w:pPr>
        <w:spacing w:after="70" w:before="0" w:line="276"/>
        <w:jc w:val="left"/>
      </w:pPr>
      <w:r>
        <w:rPr>
          <w:b/>
          <w:bCs/>
          <w:i w:val="false"/>
          <w:iCs w:val="false"/>
          <w:color w:val="0F6E6E"/>
          <w:sz w:val="20"/>
          <w:szCs w:val="20"/>
        </w:rPr>
        <w:t xml:space="preserve">13.  </w:t>
      </w:r>
      <w:r>
        <w:rPr>
          <w:b w:val="false"/>
          <w:bCs w:val="false"/>
          <w:i w:val="false"/>
          <w:iCs w:val="false"/>
          <w:color w:val="222629"/>
          <w:sz w:val="20"/>
          <w:szCs w:val="20"/>
        </w:rPr>
        <w:t xml:space="preserve">What happens after approval</w:t>
      </w:r>
    </w:p>
    <w:p>
      <w:pPr>
        <w:spacing w:after="70" w:before="0" w:line="276"/>
        <w:jc w:val="left"/>
      </w:pPr>
      <w:r>
        <w:rPr>
          <w:b/>
          <w:bCs/>
          <w:i w:val="false"/>
          <w:iCs w:val="false"/>
          <w:color w:val="0F6E6E"/>
          <w:sz w:val="20"/>
          <w:szCs w:val="20"/>
        </w:rPr>
        <w:t xml:space="preserve">14.  </w:t>
      </w:r>
      <w:r>
        <w:rPr>
          <w:b w:val="false"/>
          <w:bCs w:val="false"/>
          <w:i w:val="false"/>
          <w:iCs w:val="false"/>
          <w:color w:val="222629"/>
          <w:sz w:val="20"/>
          <w:szCs w:val="20"/>
        </w:rPr>
        <w:t xml:space="preserve">Sign-off sheet</w:t>
      </w:r>
    </w:p>
    <w:p>
      <w:pPr>
        <w:spacing w:after="70" w:before="0" w:line="276"/>
        <w:jc w:val="left"/>
      </w:pPr>
      <w:r>
        <w:rPr>
          <w:b/>
          <w:bCs/>
          <w:i w:val="false"/>
          <w:iCs w:val="false"/>
          <w:color w:val="0F6E6E"/>
          <w:sz w:val="20"/>
          <w:szCs w:val="20"/>
        </w:rPr>
        <w:t xml:space="preserve">A.  </w:t>
      </w:r>
      <w:r>
        <w:rPr>
          <w:b w:val="false"/>
          <w:bCs w:val="false"/>
          <w:i w:val="false"/>
          <w:iCs w:val="false"/>
          <w:color w:val="222629"/>
          <w:sz w:val="20"/>
          <w:szCs w:val="20"/>
        </w:rPr>
        <w:t xml:space="preserve">Appendix A — Regulatory register: every obligation these rules serve</w:t>
      </w:r>
    </w:p>
    <w:p>
      <w:pPr>
        <w:spacing w:after="70" w:before="0" w:line="276"/>
        <w:jc w:val="left"/>
      </w:pPr>
      <w:r>
        <w:rPr>
          <w:b/>
          <w:bCs/>
          <w:i w:val="false"/>
          <w:iCs w:val="false"/>
          <w:color w:val="0F6E6E"/>
          <w:sz w:val="20"/>
          <w:szCs w:val="20"/>
        </w:rPr>
        <w:t xml:space="preserve">B.  </w:t>
      </w:r>
      <w:r>
        <w:rPr>
          <w:b w:val="false"/>
          <w:bCs w:val="false"/>
          <w:i w:val="false"/>
          <w:iCs w:val="false"/>
          <w:color w:val="222629"/>
          <w:sz w:val="20"/>
          <w:szCs w:val="20"/>
        </w:rPr>
        <w:t xml:space="preserve">Appendix B — Terms and internal references</w:t>
      </w:r>
    </w:p>
    <w:p>
      <w:pPr>
        <w:spacing w:after="240"/>
      </w:pPr>
      <w:r>
        <w:t xml:space="preserve"/>
      </w:r>
    </w:p>
    <w:p>
      <w:pPr>
        <w:pStyle w:val="Heading2"/>
        <w:keepNext/>
        <w:keepLines/>
        <w:spacing w:after="100" w:before="220"/>
      </w:pPr>
      <w:r>
        <w:rPr>
          <w:b/>
          <w:bCs/>
          <w:color w:val="0F6E6E"/>
          <w:sz w:val="21"/>
          <w:szCs w:val="21"/>
        </w:rPr>
        <w:t xml:space="preserve">The three volumes, and what each is for</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638"/>
        <w:gridCol w:w="4241"/>
        <w:gridCol w:w="3759"/>
      </w:tblGrid>
      <w:tr>
        <w:trPr>
          <w:cantSplit/>
          <w:tblHeader/>
        </w:trPr>
        <w:tc>
          <w:tcPr>
            <w:tcW w:type="dxa" w:w="163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Volume</w:t>
            </w:r>
          </w:p>
        </w:tc>
        <w:tc>
          <w:tcPr>
            <w:tcW w:type="dxa" w:w="424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it contains</w:t>
            </w:r>
          </w:p>
        </w:tc>
        <w:tc>
          <w:tcPr>
            <w:tcW w:type="dxa" w:w="375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to use it</w:t>
            </w:r>
          </w:p>
        </w:tc>
      </w:tr>
      <w:tr>
        <w:trPr>
          <w:cantSplit/>
        </w:trPr>
        <w:tc>
          <w:tcPr>
            <w:tcW w:type="dxa" w:w="163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Volume 1</w:t>
            </w:r>
            <w:r>
              <w:rPr>
                <w:b/>
                <w:bCs/>
                <w:i w:val="false"/>
                <w:iCs w:val="false"/>
                <w:color w:val="222629"/>
                <w:sz w:val="18"/>
                <w:szCs w:val="18"/>
              </w:rPr>
              <w:br/>
              <w:t xml:space="preserve"/>
            </w:r>
            <w:r>
              <w:rPr>
                <w:b w:val="false"/>
                <w:bCs w:val="false"/>
                <w:i w:val="false"/>
                <w:iCs w:val="false"/>
                <w:color w:val="222629"/>
                <w:sz w:val="18"/>
                <w:szCs w:val="18"/>
              </w:rPr>
              <w:t xml:space="preserve">Decision Pack</w:t>
            </w:r>
            <w:r>
              <w:rPr>
                <w:b w:val="false"/>
                <w:bCs w:val="false"/>
                <w:i w:val="false"/>
                <w:iCs w:val="false"/>
                <w:color w:val="222629"/>
                <w:sz w:val="18"/>
                <w:szCs w:val="18"/>
              </w:rPr>
              <w:br/>
              <w:t xml:space="preserve">this document</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Why the approval is needed, what a signature certifies, the two decision schedules, the ten open regulatory questions, a Product proposal on consent sequencing, the conditions that carry into build, and the sign-off sheet.</w:t>
            </w:r>
          </w:p>
        </w:tc>
        <w:tc>
          <w:tcPr>
            <w:tcW w:type="dxa" w:w="375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Read it through, then work down the two schedules. Everything you sign is in this volume.</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Volume 2</w:t>
            </w:r>
            <w:r>
              <w:rPr>
                <w:b/>
                <w:bCs/>
                <w:i w:val="false"/>
                <w:iCs w:val="false"/>
                <w:color w:val="222629"/>
                <w:sz w:val="18"/>
                <w:szCs w:val="18"/>
              </w:rPr>
              <w:br/>
              <w:t xml:space="preserve"/>
            </w:r>
            <w:r>
              <w:rPr>
                <w:b w:val="false"/>
                <w:bCs w:val="false"/>
                <w:i w:val="false"/>
                <w:iCs w:val="false"/>
                <w:color w:val="222629"/>
                <w:sz w:val="18"/>
                <w:szCs w:val="18"/>
              </w:rPr>
              <w:t xml:space="preserve">Consent Rule Pack</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All 38 consent rules in full, with the consent events, the evidence record, and the failure behaviour they govern.</w:t>
            </w:r>
          </w:p>
        </w:tc>
        <w:tc>
          <w:tcPr>
            <w:tcW w:type="dxa" w:w="375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Open it alongside Decision Schedule A. Each row of the schedule names the section to read.</w:t>
            </w:r>
          </w:p>
        </w:tc>
      </w:tr>
      <w:tr>
        <w:trPr>
          <w:cantSplit/>
        </w:trPr>
        <w:tc>
          <w:tcPr>
            <w:tcW w:type="dxa" w:w="163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Volume 3</w:t>
            </w:r>
            <w:r>
              <w:rPr>
                <w:b/>
                <w:bCs/>
                <w:i w:val="false"/>
                <w:iCs w:val="false"/>
                <w:color w:val="222629"/>
                <w:sz w:val="18"/>
                <w:szCs w:val="18"/>
              </w:rPr>
              <w:br/>
              <w:t xml:space="preserve"/>
            </w:r>
            <w:r>
              <w:rPr>
                <w:b w:val="false"/>
                <w:bCs w:val="false"/>
                <w:i w:val="false"/>
                <w:iCs w:val="false"/>
                <w:color w:val="222629"/>
                <w:sz w:val="18"/>
                <w:szCs w:val="18"/>
              </w:rPr>
              <w:t xml:space="preserve">Suitability Rule Pack</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All 48 suitability rules in full, with the question set, the computation, the outcome tables and the override policy.</w:t>
            </w:r>
          </w:p>
        </w:tc>
        <w:tc>
          <w:tcPr>
            <w:tcW w:type="dxa" w:w="375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Open it alongside Decision Schedule B, the same way.</w:t>
            </w:r>
          </w:p>
        </w:tc>
      </w:tr>
    </w:tbl>
    <w:p>
      <w:pPr>
        <w:spacing w:after="140"/>
      </w:pPr>
      <w:r>
        <w:t xml:space="preserve"/>
      </w:r>
    </w:p>
    <w:p>
      <w:pPr>
        <w:keepNext/>
        <w:keepLines/>
        <w:pBdr>
          <w:top w:val="single" w:color="F1F5F8" w:sz="2" w:space="8"/>
          <w:left w:val="single" w:color="0F6E6E" w:sz="18" w:space="10"/>
          <w:right w:val="single" w:color="F1F5F8" w:sz="2" w:space="10"/>
        </w:pBdr>
        <w:shd w:fill="F1F5F8" w:color="auto" w:val="clear"/>
        <w:spacing w:after="100" w:before="140" w:line="276"/>
        <w:ind w:left="200" w:right="200"/>
      </w:pPr>
      <w:r>
        <w:rPr>
          <w:b/>
          <w:bCs/>
          <w:i w:val="false"/>
          <w:iCs w:val="false"/>
          <w:color w:val="0F6E6E"/>
          <w:sz w:val="20"/>
          <w:szCs w:val="20"/>
        </w:rPr>
        <w:t xml:space="preserve">The set stands alone</w:t>
      </w:r>
    </w:p>
    <w:p>
      <w:pPr>
        <w:keepNext w:val="false"/>
        <w:keepLines/>
        <w:pBdr>
          <w:bottom w:val="single" w:color="F1F5F8" w:sz="2" w:space="8"/>
          <w:left w:val="single" w:color="0F6E6E"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Between them, the three volumes contain everything needed to complete this approval. No further document needs to be requested and no system access is required. Volume 1 is the decision; Volumes 2 and 3 are the substance being decided on.</w:t>
      </w:r>
    </w:p>
    <w:p>
      <w:pPr>
        <w:pStyle w:val="Heading1"/>
        <w:keepNext/>
        <w:keepLines/>
        <w:pageBreakBefore/>
        <w:pBdr>
          <w:bottom w:val="single" w:color="0F6E6E" w:sz="8" w:space="6"/>
        </w:pBdr>
        <w:spacing w:after="160" w:before="0"/>
      </w:pPr>
      <w:r>
        <w:rPr>
          <w:b/>
          <w:bCs/>
          <w:color w:val="11304E"/>
          <w:sz w:val="30"/>
          <w:szCs w:val="30"/>
        </w:rPr>
        <w:t xml:space="preserve">1.  What Compliance is being asked to approve</w:t>
      </w:r>
    </w:p>
    <w:p>
      <w:pPr>
        <w:spacing w:after="120" w:before="0" w:line="276"/>
        <w:jc w:val="left"/>
      </w:pPr>
      <w:r>
        <w:rPr>
          <w:b w:val="false"/>
          <w:bCs w:val="false"/>
          <w:i w:val="false"/>
          <w:iCs w:val="false"/>
          <w:color w:val="222629"/>
          <w:sz w:val="20"/>
          <w:szCs w:val="20"/>
        </w:rPr>
        <w:t xml:space="preserve">This is an approval sought before development, not a review of something already built. The two rule packs submitted here define how consent and suitability will work in the first release of the insurance distribution journey. Both are held behind a build freeze. Construction starts when this approval is given, and not before.</w:t>
      </w:r>
    </w:p>
    <w:p>
      <w:pPr>
        <w:spacing w:after="120" w:before="0" w:line="276"/>
        <w:jc w:val="left"/>
      </w:pPr>
      <w:r>
        <w:rPr>
          <w:b w:val="false"/>
          <w:bCs w:val="false"/>
          <w:i w:val="false"/>
          <w:iCs w:val="false"/>
          <w:color w:val="222629"/>
          <w:sz w:val="20"/>
          <w:szCs w:val="20"/>
        </w:rPr>
        <w:t xml:space="preserve">Both packs are written so that Compliance can accept, amend or reject each section individually rather than accept or reject the whole. Three decisions are requested, and they are separable.</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675"/>
        <w:gridCol w:w="3277"/>
        <w:gridCol w:w="2891"/>
        <w:gridCol w:w="2795"/>
      </w:tblGrid>
      <w:tr>
        <w:trPr>
          <w:cantSplit/>
          <w:tblHeader/>
        </w:trPr>
        <w:tc>
          <w:tcPr>
            <w:tcW w:type="dxa" w:w="67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t>
            </w:r>
          </w:p>
        </w:tc>
        <w:tc>
          <w:tcPr>
            <w:tcW w:type="dxa" w:w="327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Decision requested</w:t>
            </w:r>
          </w:p>
        </w:tc>
        <w:tc>
          <w:tcPr>
            <w:tcW w:type="dxa" w:w="289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Effect of approval</w:t>
            </w:r>
          </w:p>
        </w:tc>
        <w:tc>
          <w:tcPr>
            <w:tcW w:type="dxa" w:w="279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Effect of no decision</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D1</w:t>
            </w:r>
          </w:p>
        </w:tc>
        <w:tc>
          <w:tcPr>
            <w:tcW w:type="dxa" w:w="327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Approve the Consent Rule Pack v1.1</w:t>
            </w:r>
            <w:r>
              <w:rPr>
                <w:b w:val="false"/>
                <w:bCs w:val="false"/>
                <w:i w:val="false"/>
                <w:iCs w:val="false"/>
                <w:color w:val="222629"/>
                <w:sz w:val="18"/>
                <w:szCs w:val="18"/>
              </w:rPr>
              <w:t xml:space="preserve"> (42 rules), with any amendments recorded in Schedule A</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consent approval checkpoint for this stage is met, the blocking issue closes, and the Consent Service enters construction.</w:t>
            </w:r>
          </w:p>
        </w:tc>
        <w:tc>
          <w:tcPr>
            <w:tcW w:type="dxa" w:w="279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Consent Service stays behind the build freeze.</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D2a</w:t>
            </w:r>
          </w:p>
        </w:tc>
        <w:tc>
          <w:tcPr>
            <w:tcW w:type="dxa" w:w="327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Approve the suitability structure</w:t>
            </w:r>
            <w:r>
              <w:rPr>
                <w:b w:val="false"/>
                <w:bCs w:val="false"/>
                <w:i w:val="false"/>
                <w:iCs w:val="false"/>
                <w:color w:val="222629"/>
                <w:sz w:val="18"/>
                <w:szCs w:val="18"/>
              </w:rPr>
              <w:t xml:space="preserve"> — the question set, the record, the gate, invalidation, reuse, the override policy and the disclosures. Everything in Schedule B except the arithmetic.</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Suitability Service enters construction, and the gate can be built in front of the existing quote path.</w:t>
            </w:r>
          </w:p>
        </w:tc>
        <w:tc>
          <w:tcPr>
            <w:tcW w:type="dxa" w:w="279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suitability and quote path stays frozen.</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D2b</w:t>
            </w:r>
          </w:p>
        </w:tc>
        <w:tc>
          <w:tcPr>
            <w:tcW w:type="dxa" w:w="327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Approve the algorithm</w:t>
            </w:r>
            <w:r>
              <w:rPr>
                <w:b w:val="false"/>
                <w:bCs w:val="false"/>
                <w:i w:val="false"/>
                <w:iCs w:val="false"/>
                <w:color w:val="222629"/>
                <w:sz w:val="18"/>
                <w:szCs w:val="18"/>
              </w:rPr>
              <w:t xml:space="preserve"> SUIT-ALGO-LIFE-v1.1 — the income multiples, the age factors and the outcome thresholds.</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model may be used to produce assessments that are relied on in a sale.</w:t>
            </w:r>
          </w:p>
        </w:tc>
        <w:tc>
          <w:tcPr>
            <w:tcW w:type="dxa" w:w="2795"/>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Blocked by OPEN-SUIT-01.</w:t>
            </w:r>
            <w:r>
              <w:rPr>
                <w:b w:val="false"/>
                <w:bCs w:val="false"/>
                <w:i w:val="false"/>
                <w:iCs w:val="false"/>
                <w:color w:val="222629"/>
                <w:sz w:val="18"/>
                <w:szCs w:val="18"/>
              </w:rPr>
              <w:t xml:space="preserve"> Product no longer presents this as approvable without a source-backed answer — see §10.</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D3</w:t>
            </w:r>
          </w:p>
        </w:tc>
        <w:tc>
          <w:tcPr>
            <w:tcW w:type="dxa" w:w="327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Determine the open regulatory items</w:t>
            </w:r>
            <w:r>
              <w:rPr>
                <w:b w:val="false"/>
                <w:bCs w:val="false"/>
                <w:i w:val="false"/>
                <w:iCs w:val="false"/>
                <w:color w:val="222629"/>
                <w:sz w:val="18"/>
                <w:szCs w:val="18"/>
              </w:rPr>
              <w:t xml:space="preserve"> in §10, rule on the consent-consolidation proposal in §11, and answer OPEN-SCOPE-01 in §3.1</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journey sequence locks, the algorithm decision becomes possible, and the customer-facing wording can be drafted.</w:t>
            </w:r>
          </w:p>
        </w:tc>
        <w:tc>
          <w:tcPr>
            <w:tcW w:type="dxa" w:w="279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D1 and D2a can still be approved; the journey is then built to the sequence described in §11.1, and no assessment may be relied on in a sale.</w:t>
            </w:r>
          </w:p>
        </w:tc>
      </w:tr>
    </w:tbl>
    <w:p>
      <w:pPr>
        <w:spacing w:after="140"/>
      </w:pPr>
      <w:r>
        <w:t xml:space="preserve"/>
      </w:r>
    </w:p>
    <w:p>
      <w:pPr>
        <w:keepNext/>
        <w:keepLines/>
        <w:pBdr>
          <w:top w:val="single" w:color="F1F5F8" w:sz="2" w:space="8"/>
          <w:left w:val="single" w:color="0F6E6E" w:sz="18" w:space="10"/>
          <w:right w:val="single" w:color="F1F5F8" w:sz="2" w:space="10"/>
        </w:pBdr>
        <w:shd w:fill="F1F5F8" w:color="auto" w:val="clear"/>
        <w:spacing w:after="100" w:before="140" w:line="276"/>
        <w:ind w:left="200" w:right="200"/>
      </w:pPr>
      <w:r>
        <w:rPr>
          <w:b/>
          <w:bCs/>
          <w:i w:val="false"/>
          <w:iCs w:val="false"/>
          <w:color w:val="0F6E6E"/>
          <w:sz w:val="20"/>
          <w:szCs w:val="20"/>
        </w:rPr>
        <w:t xml:space="preserve">The honest position</w:t>
      </w:r>
    </w:p>
    <w:p>
      <w:pPr>
        <w:keepNext w:val="false"/>
        <w:keepLines/>
        <w:pBdr>
          <w:bottom w:val="single" w:color="F1F5F8" w:sz="2" w:space="8"/>
          <w:left w:val="single" w:color="0F6E6E"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Nothing here claims that Product has settled a regulatory question. Where the answer is Compliance’s, the question is written down, the position Product would take is stated, and the consequence of deciding otherwise is named. Ten such items are listed in §10 and §11. None of them blocks approval of D1 and D2, because all ten are wording, window or sequencing questions over a rule set and a record structure that do not change with the answer. That is the reason for specifying structure before text.</w:t>
      </w:r>
    </w:p>
    <w:p>
      <w:pPr>
        <w:pStyle w:val="Heading1"/>
        <w:keepNext/>
        <w:keepLines/>
        <w:pBdr>
          <w:bottom w:val="single" w:color="0F6E6E" w:sz="8" w:space="6"/>
        </w:pBdr>
        <w:spacing w:after="160" w:before="400"/>
      </w:pPr>
      <w:r>
        <w:rPr>
          <w:b/>
          <w:bCs/>
          <w:color w:val="11304E"/>
          <w:sz w:val="30"/>
          <w:szCs w:val="30"/>
        </w:rPr>
        <w:t xml:space="preserve">2.  Executive summary</w:t>
      </w:r>
    </w:p>
    <w:p>
      <w:pPr>
        <w:spacing w:after="120" w:before="0" w:line="276"/>
        <w:jc w:val="left"/>
      </w:pPr>
      <w:r>
        <w:rPr>
          <w:b w:val="false"/>
          <w:bCs w:val="false"/>
          <w:i w:val="false"/>
          <w:iCs w:val="false"/>
          <w:color w:val="222629"/>
          <w:sz w:val="20"/>
          <w:szCs w:val="20"/>
        </w:rPr>
        <w:t xml:space="preserve">Two unresolved issues have kept this platform out of construction. The first is that the consent rules were written as intentions rather than as rules anyone could test. The second is that the suitability content — the questions, the arithmetic and the override policy — had never been decided. Both are recorded at the programme’s highest severity, which means development cannot start while either is open. Both are now answered in content. Neither is closed, because closure needs a Compliance signature, and silence does not approve a pack.</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4819"/>
        <w:gridCol w:w="4819"/>
      </w:tblGrid>
      <w:tr>
        <w:trPr>
          <w:cantSplit/>
          <w:tblHeader/>
        </w:trPr>
        <w:tc>
          <w:tcPr>
            <w:tcW w:type="dxa" w:w="481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is ready for approval</w:t>
            </w:r>
          </w:p>
        </w:tc>
        <w:tc>
          <w:tcPr>
            <w:tcW w:type="dxa" w:w="481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is outstanding</w:t>
            </w:r>
          </w:p>
        </w:tc>
      </w:tr>
      <w:tr>
        <w:trPr>
          <w:cantSplit/>
        </w:trPr>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104 individually testable rules across the two packs. Every rule has an identifier, a normative statement, a pass/fail test and a named enforcement point. A rule with no executable test was not admitted to either pack.</w:t>
            </w:r>
          </w:p>
        </w:tc>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signed Compliance conclusion on both packs. This is the only thing standing between the programme and the two approval checkpoints that release the build.</w:t>
            </w:r>
          </w:p>
        </w:tc>
      </w:tr>
      <w:tr>
        <w:trPr>
          <w:cantSplit/>
        </w:trPr>
        <w:tc>
          <w:tcPr>
            <w:tcW w:type="dxa" w:w="481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fully specified suitability model: 12 inputs, 8 income bands, 5 age factors, a stated formula and a worked reference case, producing an outcome per product class rather than one overall verdict.</w:t>
            </w:r>
          </w:p>
        </w:tc>
        <w:tc>
          <w:tcPr>
            <w:tcW w:type="dxa" w:w="481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determination that this model discharges the suitability obligation, or a direction that a prescribed model applies instead (OPEN-SUIT-01).</w:t>
            </w:r>
          </w:p>
        </w:tc>
      </w:tr>
      <w:tr>
        <w:trPr>
          <w:cantSplit/>
        </w:trPr>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single, precise gate: quote endpoints refuse the request unless a valid, in-date, customer-bound, outcome-permitting suitability evaluation is presented. Nine refusal cases are enumerated, two of which check that the customer actually acknowledged the disclosures the assessment produced.</w:t>
            </w:r>
          </w:p>
        </w:tc>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Ratification of the override policy for the first release — that a NOT_SUITABLE outcome cannot be overridden by any actor, at any level, through any route — and a source-backed answer on whether the model itself discharges the obligation (OPEN-SUIT-01), which now blocks the algorithm decision.</w:t>
            </w:r>
          </w:p>
        </w:tc>
      </w:tr>
      <w:tr>
        <w:trPr>
          <w:cantSplit/>
        </w:trPr>
        <w:tc>
          <w:tcPr>
            <w:tcW w:type="dxa" w:w="481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24-field consent evidence record and an 18-field suitability evaluation record, both append-only, both retained for seven years under write-once storage in an India region.</w:t>
            </w:r>
          </w:p>
        </w:tc>
        <w:tc>
          <w:tcPr>
            <w:tcW w:type="dxa" w:w="481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Approved legal wording for the consent statements and the two disclosure texts. The packs define structure, fields and versioning; the text is Compliance-authored (OPEN-CNS-02, OPEN-SUIT-03).</w:t>
            </w:r>
          </w:p>
        </w:tc>
      </w:tr>
      <w:tr>
        <w:trPr>
          <w:cantSplit/>
        </w:trPr>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Failure behaviour specified for every rule — what is refused, what the relationship manager is told, and what happens to the journey. A control that produces an unexplained error trains staff to work around it.</w:t>
            </w:r>
          </w:p>
        </w:tc>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ruling on the consent-consolidation proposal in §11, which would reduce the customer from as many as four consent interruptions to at most two.</w:t>
            </w:r>
          </w:p>
        </w:tc>
      </w:tr>
    </w:tbl>
    <w:p>
      <w:pPr>
        <w:spacing w:after="140"/>
      </w:pPr>
      <w:r>
        <w:t xml:space="preserve"/>
      </w:r>
    </w:p>
    <w:p>
      <w:pPr>
        <w:pStyle w:val="Heading2"/>
        <w:keepNext/>
        <w:keepLines/>
        <w:spacing w:after="100" w:before="220"/>
      </w:pPr>
      <w:r>
        <w:rPr>
          <w:b/>
          <w:bCs/>
          <w:color w:val="0F6E6E"/>
          <w:sz w:val="21"/>
          <w:szCs w:val="21"/>
        </w:rPr>
        <w:t xml:space="preserve">Why the timing matters</w:t>
      </w:r>
    </w:p>
    <w:p>
      <w:pPr>
        <w:pStyle w:val="ListParagraph"/>
        <w:numPr>
          <w:ilvl w:val="0"/>
          <w:numId w:val="2"/>
        </w:numPr>
        <w:spacing w:after="80" w:line="276"/>
      </w:pPr>
      <w:r>
        <w:rPr>
          <w:sz w:val="20"/>
          <w:szCs w:val="20"/>
        </w:rPr>
        <w:t xml:space="preserve">The Consent Service and the Suitability Service sit on the critical path for the first release. Neither can leave design while its rule pack is unapproved, and most of the journey depends on one or both.</w:t>
      </w:r>
    </w:p>
    <w:p>
      <w:pPr>
        <w:pStyle w:val="ListParagraph"/>
        <w:numPr>
          <w:ilvl w:val="0"/>
          <w:numId w:val="2"/>
        </w:numPr>
        <w:spacing w:after="80" w:line="276"/>
      </w:pPr>
      <w:r>
        <w:rPr>
          <w:sz w:val="20"/>
          <w:szCs w:val="20"/>
        </w:rPr>
        <w:t xml:space="preserve">The approved statement and disclosure wording is an input to screen design, not an output of it. Every week of delay moves the customer-facing design work to the right by the same week.</w:t>
      </w:r>
    </w:p>
    <w:p>
      <w:pPr>
        <w:pStyle w:val="ListParagraph"/>
        <w:numPr>
          <w:ilvl w:val="0"/>
          <w:numId w:val="2"/>
        </w:numPr>
        <w:spacing w:after="80" w:line="276"/>
      </w:pPr>
      <w:r>
        <w:rPr>
          <w:sz w:val="20"/>
          <w:szCs w:val="20"/>
        </w:rPr>
        <w:t xml:space="preserve">Approving before development is the cheap moment. The same amendment costs a paragraph now and a rebuild later; that is precisely why this is being brought to Compliance now rather than at the end.</w:t>
      </w:r>
    </w:p>
    <w:p>
      <w:pPr>
        <w:pStyle w:val="Heading2"/>
        <w:keepNext/>
        <w:keepLines/>
        <w:pageBreakBefore/>
        <w:spacing w:after="120" w:before="0"/>
      </w:pPr>
      <w:r>
        <w:rPr>
          <w:b/>
          <w:bCs/>
          <w:color w:val="11304E"/>
          <w:sz w:val="24"/>
          <w:szCs w:val="24"/>
        </w:rPr>
        <w:t xml:space="preserve">2.1  What changed at v1.1, and why</w:t>
      </w:r>
    </w:p>
    <w:p>
      <w:pPr>
        <w:spacing w:after="120" w:before="0" w:line="276"/>
        <w:jc w:val="left"/>
      </w:pPr>
      <w:r>
        <w:rPr>
          <w:b w:val="false"/>
          <w:bCs w:val="false"/>
          <w:i w:val="false"/>
          <w:iCs w:val="false"/>
          <w:color w:val="222629"/>
          <w:sz w:val="20"/>
          <w:szCs w:val="20"/>
        </w:rPr>
        <w:t xml:space="preserve">Version 1.0 of this pack was reviewed and returned for rework. The findings were accepted; none was argued away. This table records what changed, so that a reader who saw v1.0 does not have to diff two documents, and so that the corrections are on the record rather than silently absorbed.</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506"/>
        <w:gridCol w:w="3181"/>
        <w:gridCol w:w="3951"/>
      </w:tblGrid>
      <w:tr>
        <w:trPr>
          <w:cantSplit/>
          <w:tblHeader/>
        </w:trPr>
        <w:tc>
          <w:tcPr>
            <w:tcW w:type="dxa" w:w="250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v1.0 said</w:t>
            </w:r>
          </w:p>
        </w:tc>
        <w:tc>
          <w:tcPr>
            <w:tcW w:type="dxa" w:w="318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was wrong with it</w:t>
            </w:r>
          </w:p>
        </w:tc>
        <w:tc>
          <w:tcPr>
            <w:tcW w:type="dxa" w:w="395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v1.1 does</w:t>
            </w:r>
          </w:p>
        </w:tc>
      </w:tr>
      <w:tr>
        <w:trPr>
          <w:cantSplit/>
        </w:trPr>
        <w:tc>
          <w:tcPr>
            <w:tcW w:type="dxa" w:w="250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Development had not started and both services were frozen pending approval.</w:t>
            </w:r>
          </w:p>
        </w:tc>
        <w:tc>
          <w:tcPr>
            <w:tcW w:type="dxa" w:w="318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Materially untrue. The quote path was already built, delivered and hardened — without the suitability gate — and an interface application exists. The approval is a remedy, not a starting gun.</w:t>
            </w:r>
          </w:p>
        </w:tc>
        <w:tc>
          <w:tcPr>
            <w:tcW w:type="dxa" w:w="395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New §3.2 states the actual position component by component, including the part that reflects badly on the programme.</w:t>
            </w:r>
          </w:p>
        </w:tc>
      </w:tr>
      <w:tr>
        <w:trPr>
          <w:cantSplit/>
        </w:trPr>
        <w:tc>
          <w:tcPr>
            <w:tcW w:type="dxa" w:w="250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first release is assisted-only, with self-service, hybrid and off-panel redirect deferred.</w:t>
            </w:r>
          </w:p>
        </w:tc>
        <w:tc>
          <w:tcPr>
            <w:tcW w:type="dxa" w:w="318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True, but presented as if it had always been so. It narrows an earlier Day-1 decision, and the narrowing was invisible.</w:t>
            </w:r>
          </w:p>
        </w:tc>
        <w:tc>
          <w:tcPr>
            <w:tcW w:type="dxa" w:w="395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New §3.1 names the superseding decision, preserves the original position alongside it, and raises the unresolved redirect question as OPEN-SCOPE-01.</w:t>
            </w:r>
          </w:p>
        </w:tc>
      </w:tr>
      <w:tr>
        <w:trPr>
          <w:cantSplit/>
        </w:trPr>
        <w:tc>
          <w:tcPr>
            <w:tcW w:type="dxa" w:w="250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Controls were described as mandatory, with obligations named as "data-protection law" and "the suitability obligation".</w:t>
            </w:r>
          </w:p>
        </w:tc>
        <w:tc>
          <w:tcPr>
            <w:tcW w:type="dxa" w:w="318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Not auditable. No instrument, clause, version or applicability determination behind any of it, and one assertion of unlawfulness that Product cannot support.</w:t>
            </w:r>
          </w:p>
        </w:tc>
        <w:tc>
          <w:tcPr>
            <w:tcW w:type="dxa" w:w="395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New §6 classifies every assertion, records what it actually rests on, and withdraws three overstated claims outright.</w:t>
            </w:r>
          </w:p>
        </w:tc>
      </w:tr>
      <w:tr>
        <w:trPr>
          <w:cantSplit/>
        </w:trPr>
        <w:tc>
          <w:tcPr>
            <w:tcW w:type="dxa" w:w="250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Twelve inputs; 48 suitability rules; 86 rules across both packs; income captured as one of eight bands.</w:t>
            </w:r>
          </w:p>
        </w:tc>
        <w:tc>
          <w:tcPr>
            <w:tcW w:type="dxa" w:w="318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pack listed sixteen inputs, the rule count omitted a sub-numbered rule, the total was wrong, and the formula used an exact income figure the questionnaire never captured.</w:t>
            </w:r>
          </w:p>
        </w:tc>
        <w:tc>
          <w:tcPr>
            <w:tcW w:type="dxa" w:w="395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Sixteen inputs, 62 suitability rules, 42 consent rules, 104 in total. Income is captured as an exact figure and the band is derived from it.</w:t>
            </w:r>
          </w:p>
        </w:tc>
      </w:tr>
      <w:tr>
        <w:trPr>
          <w:cantSplit/>
        </w:trPr>
        <w:tc>
          <w:tcPr>
            <w:tcW w:type="dxa" w:w="250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outcome per product class.</w:t>
            </w:r>
          </w:p>
        </w:tc>
        <w:tc>
          <w:tcPr>
            <w:tcW w:type="dxa" w:w="318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tables were not exhaustive. Several valid input combinations produced no outcome at all, and an implementation would have defaulted — most likely to "suitable".</w:t>
            </w:r>
          </w:p>
        </w:tc>
        <w:tc>
          <w:tcPr>
            <w:tcW w:type="dxa" w:w="395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Six outcome rules added, plus SUIT-R19b requiring totality and SUIT-R19c failing closed if a hole is ever introduced.</w:t>
            </w:r>
          </w:p>
        </w:tc>
      </w:tr>
      <w:tr>
        <w:trPr>
          <w:cantSplit/>
        </w:trPr>
        <w:tc>
          <w:tcPr>
            <w:tcW w:type="dxa" w:w="250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customer may choose a product the model "did not rank first".</w:t>
            </w:r>
          </w:p>
        </w:tc>
        <w:tc>
          <w:tcPr>
            <w:tcW w:type="dxa" w:w="318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 ranking algorithm exists anywhere in the pack. The concept was unsupported.</w:t>
            </w:r>
          </w:p>
        </w:tc>
        <w:tc>
          <w:tcPr>
            <w:tcW w:type="dxa" w:w="395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Ranking removed. SUIT-R44 states that the model determines eligibility only; SUIT-R44a defines divergence as a deterministic comparison of outcomes.</w:t>
            </w:r>
          </w:p>
        </w:tc>
      </w:tr>
      <w:tr>
        <w:trPr>
          <w:cantSplit/>
        </w:trPr>
        <w:tc>
          <w:tcPr>
            <w:tcW w:type="dxa" w:w="250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Caution and replacement disclosures must be acknowledged before quote.</w:t>
            </w:r>
          </w:p>
        </w:tc>
        <w:tc>
          <w:tcPr>
            <w:tcW w:type="dxa" w:w="318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gate did not check them. A disclosure the gate ignores is a disclosure the journey can walk past.</w:t>
            </w:r>
          </w:p>
        </w:tc>
        <w:tc>
          <w:tcPr>
            <w:tcW w:type="dxa" w:w="395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Two refusal cases added to the gate, with reason codes, plus SUIT-R28a requiring the acknowledged reasons to match the assessment’s actual reasons.</w:t>
            </w:r>
          </w:p>
        </w:tc>
      </w:tr>
      <w:tr>
        <w:trPr>
          <w:cantSplit/>
        </w:trPr>
        <w:tc>
          <w:tcPr>
            <w:tcW w:type="dxa" w:w="250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assessment store is append-only.</w:t>
            </w:r>
          </w:p>
        </w:tc>
        <w:tc>
          <w:tcPr>
            <w:tcW w:type="dxa" w:w="318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Contradicted three rules that changed an existing record’s status.</w:t>
            </w:r>
          </w:p>
        </w:tc>
        <w:tc>
          <w:tcPr>
            <w:tcW w:type="dxa" w:w="395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SUIT-R23a and R23b define status as append-only events with a head-of-chain rule, matching the consent design.</w:t>
            </w:r>
          </w:p>
        </w:tc>
      </w:tr>
      <w:tr>
        <w:trPr>
          <w:cantSplit/>
        </w:trPr>
        <w:tc>
          <w:tcPr>
            <w:tcW w:type="dxa" w:w="250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Retention runs seven years from the journey’s terminal state.</w:t>
            </w:r>
          </w:p>
        </w:tc>
        <w:tc>
          <w:tcPr>
            <w:tcW w:type="dxa" w:w="318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Both consent and assessments are reusable across journeys, so "the journey" was ambiguous. Legal hold and never-expiring consent were unhandled.</w:t>
            </w:r>
          </w:p>
        </w:tc>
        <w:tc>
          <w:tcPr>
            <w:tcW w:type="dxa" w:w="395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CNS-R33a to R33c and SUIT-R24a anchor retention to the last journey that relied on the record, and add legal hold. CNS-R23a resolves the never-expiring case.</w:t>
            </w:r>
          </w:p>
        </w:tc>
      </w:tr>
      <w:tr>
        <w:trPr>
          <w:cantSplit/>
        </w:trPr>
        <w:tc>
          <w:tcPr>
            <w:tcW w:type="dxa" w:w="250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Ten open items, none blocking approval.</w:t>
            </w:r>
          </w:p>
        </w:tc>
        <w:tc>
          <w:tcPr>
            <w:tcW w:type="dxa" w:w="318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Two of them could change a control, not merely its wording.</w:t>
            </w:r>
          </w:p>
        </w:tc>
        <w:tc>
          <w:tcPr>
            <w:tcW w:type="dxa" w:w="395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OPEN-SUIT-01 and OPEN-CNS-06 are marked blocking. Decision D2 is split so the structure can be approved while the algorithm waits.</w:t>
            </w:r>
          </w:p>
        </w:tc>
      </w:tr>
      <w:tr>
        <w:trPr>
          <w:cantSplit/>
        </w:trPr>
        <w:tc>
          <w:tcPr>
            <w:tcW w:type="dxa" w:w="250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pack was attributed to a named individual, with Product recorded as having approved both packs.</w:t>
            </w:r>
          </w:p>
        </w:tc>
        <w:tc>
          <w:tcPr>
            <w:tcW w:type="dxa" w:w="318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pack is AI-drafted. No human Product review had taken place, so the approval language implied a decision nobody had made.</w:t>
            </w:r>
          </w:p>
        </w:tc>
        <w:tc>
          <w:tcPr>
            <w:tcW w:type="dxa" w:w="395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Provenance stated on the cover, the Product position marked unsigned, and a Product signature block added alongside the others.</w:t>
            </w:r>
          </w:p>
        </w:tc>
      </w:tr>
      <w:tr>
        <w:trPr>
          <w:cantSplit/>
        </w:trPr>
        <w:tc>
          <w:tcPr>
            <w:tcW w:type="dxa" w:w="250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Five approvers.</w:t>
            </w:r>
          </w:p>
        </w:tc>
        <w:tc>
          <w:tcPr>
            <w:tcW w:type="dxa" w:w="318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Operations was absent, although fail-closed behaviour, retrieval commitments, operational tasks and recovery are all material to it.</w:t>
            </w:r>
          </w:p>
        </w:tc>
        <w:tc>
          <w:tcPr>
            <w:tcW w:type="dxa" w:w="395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Operations conclusion is now required, with its scope named.</w:t>
            </w:r>
          </w:p>
        </w:tc>
      </w:tr>
    </w:tbl>
    <w:p>
      <w:pPr>
        <w:pStyle w:val="Heading1"/>
        <w:keepNext/>
        <w:keepLines/>
        <w:pageBreakBefore/>
        <w:pBdr>
          <w:bottom w:val="single" w:color="0F6E6E" w:sz="8" w:space="6"/>
        </w:pBdr>
        <w:spacing w:after="160" w:before="0"/>
      </w:pPr>
      <w:r>
        <w:rPr>
          <w:b/>
          <w:bCs/>
          <w:color w:val="11304E"/>
          <w:sz w:val="30"/>
          <w:szCs w:val="30"/>
        </w:rPr>
        <w:t xml:space="preserve">3.  Where this sits — scope, position and authority</w:t>
      </w:r>
    </w:p>
    <w:p>
      <w:pPr>
        <w:spacing w:after="120" w:before="0" w:line="276"/>
        <w:jc w:val="left"/>
      </w:pPr>
      <w:r>
        <w:rPr>
          <w:b w:val="false"/>
          <w:bCs w:val="false"/>
          <w:i w:val="false"/>
          <w:iCs w:val="false"/>
          <w:color w:val="222629"/>
          <w:sz w:val="20"/>
          <w:szCs w:val="20"/>
        </w:rPr>
        <w:t xml:space="preserve">Three things a reader outside the delivery organisation cannot reasonably infer, and which change how this approval should be read. They are stated here rather than left implicit.</w:t>
      </w:r>
    </w:p>
    <w:p>
      <w:pPr>
        <w:pStyle w:val="Heading2"/>
        <w:keepNext/>
        <w:keepLines/>
        <w:spacing w:after="120" w:before="300"/>
      </w:pPr>
      <w:r>
        <w:rPr>
          <w:b/>
          <w:bCs/>
          <w:color w:val="11304E"/>
          <w:sz w:val="24"/>
          <w:szCs w:val="24"/>
        </w:rPr>
        <w:t xml:space="preserve">3.1  What the first release covers, and on whose authority</w:t>
      </w:r>
    </w:p>
    <w:p>
      <w:pPr>
        <w:spacing w:after="120" w:before="0" w:line="276"/>
        <w:jc w:val="left"/>
      </w:pPr>
      <w:r>
        <w:rPr>
          <w:b w:val="false"/>
          <w:bCs w:val="false"/>
          <w:i w:val="false"/>
          <w:iCs w:val="false"/>
          <w:color w:val="222629"/>
          <w:sz w:val="20"/>
          <w:szCs w:val="20"/>
        </w:rPr>
        <w:t xml:space="preserve">Throughout these documents the first release means one relationship manager selling one Term Life policy to one existing bank customer, from one insurer on the approved panel, end to end. Self-service and hybrid journeys are not in it. That is narrower than the original Day-1 framing, and the narrowing is a governed Product decision rather than a drafting convenience.</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735"/>
        <w:gridCol w:w="3084"/>
        <w:gridCol w:w="4819"/>
      </w:tblGrid>
      <w:tr>
        <w:trPr>
          <w:cantSplit/>
          <w:tblHeader/>
        </w:trPr>
        <w:tc>
          <w:tcPr>
            <w:tcW w:type="dxa" w:w="173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changed</w:t>
            </w:r>
          </w:p>
        </w:tc>
        <w:tc>
          <w:tcPr>
            <w:tcW w:type="dxa" w:w="308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Original position</w:t>
            </w:r>
          </w:p>
        </w:tc>
        <w:tc>
          <w:tcPr>
            <w:tcW w:type="dxa" w:w="481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Current position and its authority</w:t>
            </w:r>
          </w:p>
        </w:tc>
      </w:tr>
      <w:tr>
        <w:trPr>
          <w:cantSplit/>
        </w:trPr>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Channels at first release</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Relationship-manager assisted, self-service and hybrid, all from Day 1 (working decision D-002)</w:t>
            </w:r>
          </w:p>
        </w:tc>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Assisted only. Self-service revisits at the second release, hybrid at the third, both with named revisit triggers. Superseded for the first release only by a recorded Product decision of 16 August 2026; the original decision text is preserved, not overwritten. Product’s stated reason: three journeys across sixteen missing capabilities, with no engineering foundation, is not a deliverable release. It is a sequencing change, not a scope reduction.</w:t>
            </w:r>
          </w:p>
        </w:tc>
      </w:tr>
      <w:tr>
        <w:trPr>
          <w:cantSplit/>
        </w:trPr>
        <w:tc>
          <w:tcPr>
            <w:tcW w:type="dxa" w:w="173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Self-service and hybrid journey detail</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open discovery gap blocking the first release</w:t>
            </w:r>
          </w:p>
        </w:tc>
        <w:tc>
          <w:tcPr>
            <w:tcW w:type="dxa" w:w="481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Re-scoped by the same decision to an entry condition on the second release, recorded explicitly so it is not read as a quiet deferral.</w:t>
            </w:r>
          </w:p>
        </w:tc>
      </w:tr>
      <w:tr>
        <w:trPr>
          <w:cantSplit/>
        </w:trPr>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Off-panel insurers (redirect)</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Panel insurers in-platform, off-panel insurers by catalogue and controlled redirect (working decision D-010, and the release scope document lists the redirect path as a first-release success measure)</w:t>
            </w:r>
          </w:p>
        </w:tc>
        <w:tc>
          <w:tcPr>
            <w:tcW w:type="dxa" w:w="4819"/>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Unresolved, and Product flags it rather than assuming it.</w:t>
            </w:r>
            <w:r>
              <w:rPr>
                <w:b w:val="false"/>
                <w:bCs w:val="false"/>
                <w:i w:val="false"/>
                <w:iCs w:val="false"/>
                <w:color w:val="222629"/>
                <w:sz w:val="18"/>
                <w:szCs w:val="18"/>
              </w:rPr>
              <w:t xml:space="preserve"> The consent rule for a controlled redirect (CNS-RDR) is deferred in these packs. If the redirect path ships in the first release, that rule must be written and approved too. This is raised as OPEN-SCOPE-01 below and Product does not treat it as settled.</w:t>
            </w:r>
          </w:p>
        </w:tc>
      </w:tr>
    </w:tbl>
    <w:p>
      <w:pPr>
        <w:spacing w:after="120"/>
      </w:pPr>
      <w:r>
        <w:t xml:space="preserve"/>
      </w:r>
    </w:p>
    <w:p>
      <w:pPr>
        <w:keepNext/>
        <w:keepLines/>
        <w:pBdr>
          <w:top w:val="single" w:color="F1F5F8" w:sz="2" w:space="8"/>
          <w:left w:val="single" w:color="9B2226" w:sz="18" w:space="10"/>
          <w:right w:val="single" w:color="F1F5F8" w:sz="2" w:space="10"/>
        </w:pBdr>
        <w:shd w:fill="F1F5F8" w:color="auto" w:val="clear"/>
        <w:spacing w:after="100" w:before="140" w:line="276"/>
        <w:ind w:left="200" w:right="200"/>
      </w:pPr>
      <w:r>
        <w:rPr>
          <w:b/>
          <w:bCs/>
          <w:i w:val="false"/>
          <w:iCs w:val="false"/>
          <w:color w:val="9B2226"/>
          <w:sz w:val="20"/>
          <w:szCs w:val="20"/>
        </w:rPr>
        <w:t xml:space="preserve">OPEN-SCOPE-01 — for Product and Compliance jointly, before these packs are signed</w:t>
      </w:r>
    </w:p>
    <w:p>
      <w:pPr>
        <w:keepNext w:val="false"/>
        <w:keepLines/>
        <w:pBdr>
          <w:bottom w:val="single" w:color="F1F5F8" w:sz="2" w:space="8"/>
          <w:left w:val="single" w:color="9B2226"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Does the first release include the controlled redirect to an off-panel insurer? If it does, these packs are incomplete: a redirect hands a customer to a third party, and the consent that authorises it is not drafted here. Product’s recommendation is to confirm the redirect is out of the first release, in writing, and to record that confirmation against the release scope document — or, if it is in, to hold Decision Schedule A open until CNS-RDR is drafted and added. Either answer is workable. Leaving it ambiguous is not.</w:t>
      </w:r>
    </w:p>
    <w:p>
      <w:pPr>
        <w:pStyle w:val="Heading2"/>
        <w:keepNext/>
        <w:keepLines/>
        <w:pageBreakBefore/>
        <w:spacing w:after="120" w:before="0"/>
      </w:pPr>
      <w:r>
        <w:rPr>
          <w:b/>
          <w:bCs/>
          <w:color w:val="11304E"/>
          <w:sz w:val="24"/>
          <w:szCs w:val="24"/>
        </w:rPr>
        <w:t xml:space="preserve">3.2  What has actually been built — the uncomfortable part</w:t>
      </w:r>
    </w:p>
    <w:p>
      <w:pPr>
        <w:spacing w:after="120" w:before="0" w:line="276"/>
        <w:jc w:val="left"/>
      </w:pPr>
      <w:r>
        <w:rPr>
          <w:b w:val="false"/>
          <w:bCs w:val="false"/>
          <w:i w:val="false"/>
          <w:iCs w:val="false"/>
          <w:color w:val="222629"/>
          <w:sz w:val="20"/>
          <w:szCs w:val="20"/>
        </w:rPr>
        <w:t xml:space="preserve">An earlier draft of this pack said that development had not started. That was wrong, and the correction matters more to Compliance than to anyone else, because the true position is the reason this approval is urgent rather than merely due.</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928"/>
        <w:gridCol w:w="4530"/>
        <w:gridCol w:w="3180"/>
      </w:tblGrid>
      <w:tr>
        <w:trPr>
          <w:cantSplit/>
          <w:tblHeader/>
        </w:trPr>
        <w:tc>
          <w:tcPr>
            <w:tcW w:type="dxa" w:w="192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Component</w:t>
            </w:r>
          </w:p>
        </w:tc>
        <w:tc>
          <w:tcPr>
            <w:tcW w:type="dxa" w:w="453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Actual position today</w:t>
            </w:r>
          </w:p>
        </w:tc>
        <w:tc>
          <w:tcPr>
            <w:tcW w:type="dxa" w:w="318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this approval changes</w:t>
            </w:r>
          </w:p>
        </w:tc>
      </w:tr>
      <w:tr>
        <w:trPr>
          <w:cantSplit/>
        </w:trPr>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Service</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Does not exist. No customer consent has ever been captured by this platform.</w:t>
            </w:r>
          </w:p>
        </w:tc>
        <w:tc>
          <w:tcPr>
            <w:tcW w:type="dxa" w:w="318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Releases it into construction against approved rules.</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Suitability Service</w:t>
            </w:r>
          </w:p>
        </w:tc>
        <w:tc>
          <w:tcPr>
            <w:tcW w:type="dxa" w:w="453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Does not exist. No suitability assessment has ever been computed.</w:t>
            </w:r>
          </w:p>
        </w:tc>
        <w:tc>
          <w:tcPr>
            <w:tcW w:type="dxa" w:w="318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Releases it into construction against an approved model.</w:t>
            </w:r>
          </w:p>
        </w:tc>
      </w:tr>
      <w:tr>
        <w:trPr>
          <w:cantSplit/>
        </w:trPr>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quote path</w:t>
            </w:r>
          </w:p>
        </w:tc>
        <w:tc>
          <w:tcPr>
            <w:tcW w:type="dxa" w:w="4530"/>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Built, delivered and hardened — without the suitability gate.</w:t>
            </w:r>
            <w:r>
              <w:rPr>
                <w:b w:val="false"/>
                <w:bCs w:val="false"/>
                <w:i w:val="false"/>
                <w:iCs w:val="false"/>
                <w:color w:val="222629"/>
                <w:sz w:val="18"/>
                <w:szCs w:val="18"/>
              </w:rPr>
              <w:t xml:space="preserve"/>
            </w:r>
            <w:r>
              <w:rPr>
                <w:b w:val="false"/>
                <w:bCs w:val="false"/>
                <w:i w:val="false"/>
                <w:iCs w:val="false"/>
                <w:color w:val="222629"/>
                <w:sz w:val="18"/>
                <w:szCs w:val="18"/>
              </w:rPr>
              <w:br/>
              <w:t xml:space="preserve">The supplier workstream that carries it is at a hardening stage and its integration is being prepared for user-acceptance sign-off.</w:t>
            </w:r>
          </w:p>
        </w:tc>
        <w:tc>
          <w:tcPr>
            <w:tcW w:type="dxa" w:w="318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Supplies the gate that was missing when it was built. Until then the path is not permitted to serve customers.</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relationship-manager application</w:t>
            </w:r>
          </w:p>
        </w:tc>
        <w:tc>
          <w:tcPr>
            <w:tcW w:type="dxa" w:w="453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interface layer exists and enforces the consent and suitability gates structurally, with automated tests. It has no backend behind it: it demonstrates the controls, it does not implement them.</w:t>
            </w:r>
          </w:p>
        </w:tc>
        <w:tc>
          <w:tcPr>
            <w:tcW w:type="dxa" w:w="318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Gives the interface real services to call.</w:t>
            </w:r>
          </w:p>
        </w:tc>
      </w:tr>
      <w:tr>
        <w:trPr>
          <w:cantSplit/>
        </w:trPr>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Everything else in the first release</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Foundation work in progress — the delivery organisation is at an engineering-foundation stage, not at the regulatory-framing stage these packs belong to.</w:t>
            </w:r>
          </w:p>
        </w:tc>
        <w:tc>
          <w:tcPr>
            <w:tcW w:type="dxa" w:w="318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Removes the condition that currently blocks the release from entering its build-and-prove stage.</w:t>
            </w:r>
          </w:p>
        </w:tc>
      </w:tr>
    </w:tbl>
    <w:p>
      <w:pPr>
        <w:spacing w:after="140"/>
      </w:pPr>
      <w:r>
        <w:t xml:space="preserve"/>
      </w:r>
    </w:p>
    <w:p>
      <w:pPr>
        <w:keepNext/>
        <w:keepLines/>
        <w:pBdr>
          <w:top w:val="single" w:color="F1F5F8" w:sz="2" w:space="8"/>
          <w:left w:val="single" w:color="9B2226" w:sz="18" w:space="10"/>
          <w:right w:val="single" w:color="F1F5F8" w:sz="2" w:space="10"/>
        </w:pBdr>
        <w:shd w:fill="F1F5F8" w:color="auto" w:val="clear"/>
        <w:spacing w:after="100" w:before="140" w:line="276"/>
        <w:ind w:left="200" w:right="200"/>
      </w:pPr>
      <w:r>
        <w:rPr>
          <w:b/>
          <w:bCs/>
          <w:i w:val="false"/>
          <w:iCs w:val="false"/>
          <w:color w:val="9B2226"/>
          <w:sz w:val="20"/>
          <w:szCs w:val="20"/>
        </w:rPr>
        <w:t xml:space="preserve">Why Compliance should read that third row twice</w:t>
      </w:r>
    </w:p>
    <w:p>
      <w:pPr>
        <w:keepNext w:val="false"/>
        <w:keepLines/>
        <w:pBdr>
          <w:bottom w:val="single" w:color="F1F5F8" w:sz="2" w:space="8"/>
          <w:left w:val="single" w:color="9B2226"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A quote path was built, delivered and hardened past two issues that were both labelled build-freeze. The programme has since recorded that failure explicitly and bound the release’s build-and-prove stage on the closure of both — a constraint stated to be non-waivable by any authority, Product included. So the honest description of this approval is not "permission to start". It is the remedy for a control that was skipped, and the mechanism that stops the same path reaching a customer without it.</w:t>
      </w:r>
    </w:p>
    <w:p>
      <w:pPr>
        <w:pStyle w:val="Heading2"/>
        <w:keepNext/>
        <w:keepLines/>
        <w:pageBreakBefore/>
        <w:spacing w:after="120" w:before="0"/>
      </w:pPr>
      <w:r>
        <w:rPr>
          <w:b/>
          <w:bCs/>
          <w:color w:val="11304E"/>
          <w:sz w:val="24"/>
          <w:szCs w:val="24"/>
        </w:rPr>
        <w:t xml:space="preserve">3.3  What binds, what is proposed, and where the decision goes</w:t>
      </w:r>
    </w:p>
    <w:p>
      <w:pPr>
        <w:spacing w:after="120" w:before="0" w:line="276"/>
        <w:jc w:val="left"/>
      </w:pPr>
      <w:r>
        <w:rPr>
          <w:b w:val="false"/>
          <w:bCs w:val="false"/>
          <w:i w:val="false"/>
          <w:iCs w:val="false"/>
          <w:color w:val="222629"/>
          <w:sz w:val="20"/>
          <w:szCs w:val="20"/>
        </w:rPr>
        <w:t xml:space="preserve">Two governance frameworks are in play and only one of them is binding today. Compliance should not have to work that out from context.</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891"/>
        <w:gridCol w:w="3084"/>
        <w:gridCol w:w="3663"/>
      </w:tblGrid>
      <w:tr>
        <w:trPr>
          <w:cantSplit/>
          <w:tblHeader/>
        </w:trPr>
        <w:tc>
          <w:tcPr>
            <w:tcW w:type="dxa" w:w="289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Item</w:t>
            </w:r>
          </w:p>
        </w:tc>
        <w:tc>
          <w:tcPr>
            <w:tcW w:type="dxa" w:w="308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Status today</w:t>
            </w:r>
          </w:p>
        </w:tc>
        <w:tc>
          <w:tcPr>
            <w:tcW w:type="dxa" w:w="366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it means for this approval</w:t>
            </w:r>
          </w:p>
        </w:tc>
      </w:tr>
      <w:tr>
        <w:trPr>
          <w:cantSplit/>
        </w:trPr>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constraint that the build-and-prove stage cannot be entered until the consent and suitability issues are closed by a Compliance signature</w:t>
            </w:r>
          </w:p>
        </w:tc>
        <w:tc>
          <w:tcPr>
            <w:tcW w:type="dxa" w:w="3084"/>
            <w:tcMar>
              <w:top w:type="dxa" w:w="90"/>
              <w:left w:type="dxa" w:w="130"/>
              <w:bottom w:type="dxa" w:w="90"/>
              <w:right w:type="dxa" w:w="130"/>
            </w:tcMar>
            <w:vAlign w:val="top"/>
          </w:tcPr>
          <w:p>
            <w:pPr>
              <w:spacing w:after="40" w:before="40" w:line="252"/>
              <w:jc w:val="left"/>
            </w:pPr>
            <w:r>
              <w:rPr>
                <w:b/>
                <w:bCs/>
                <w:i w:val="false"/>
                <w:iCs w:val="false"/>
                <w:color w:val="0F6E6E"/>
                <w:sz w:val="18"/>
                <w:szCs w:val="18"/>
              </w:rPr>
              <w:t xml:space="preserve">Binding</w:t>
            </w:r>
            <w:r>
              <w:rPr>
                <w:b w:val="false"/>
                <w:bCs w:val="false"/>
                <w:i w:val="false"/>
                <w:iCs w:val="false"/>
                <w:color w:val="222629"/>
                <w:sz w:val="18"/>
                <w:szCs w:val="18"/>
              </w:rPr>
              <w:t xml:space="preserve"> on ratification of the change request that carries it, and recorded as non-waivable by any authority.</w:t>
            </w:r>
          </w:p>
        </w:tc>
        <w:tc>
          <w:tcPr>
            <w:tcW w:type="dxa" w:w="366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This is the real constraint your signature releases. It does not depend on the stage model below.</w:t>
            </w:r>
          </w:p>
        </w:tc>
      </w:tr>
      <w:tr>
        <w:trPr>
          <w:cantSplit/>
        </w:trPr>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sixteen-stage lifecycle model, and the two stage checkpoints these packs are described against</w:t>
            </w:r>
          </w:p>
        </w:tc>
        <w:tc>
          <w:tcPr>
            <w:tcW w:type="dxa" w:w="3084"/>
            <w:shd w:fill="F1F5F8" w:color="auto" w:val="clear"/>
            <w:tcMar>
              <w:top w:type="dxa" w:w="90"/>
              <w:left w:type="dxa" w:w="130"/>
              <w:bottom w:type="dxa" w:w="90"/>
              <w:right w:type="dxa" w:w="130"/>
            </w:tcMar>
            <w:vAlign w:val="top"/>
          </w:tcPr>
          <w:p>
            <w:pPr>
              <w:spacing w:after="40" w:before="40" w:line="252"/>
              <w:jc w:val="left"/>
            </w:pPr>
            <w:r>
              <w:rPr>
                <w:b/>
                <w:bCs/>
                <w:i w:val="false"/>
                <w:iCs w:val="false"/>
                <w:color w:val="8A5A00"/>
                <w:sz w:val="18"/>
                <w:szCs w:val="18"/>
              </w:rPr>
              <w:t xml:space="preserve">Proposed, not yet ratified.</w:t>
            </w:r>
            <w:r>
              <w:rPr>
                <w:b w:val="false"/>
                <w:bCs w:val="false"/>
                <w:i w:val="false"/>
                <w:iCs w:val="false"/>
                <w:color w:val="222629"/>
                <w:sz w:val="18"/>
                <w:szCs w:val="18"/>
              </w:rPr>
              <w:t xml:space="preserve"> They sit inside a change request awaiting human sign-off.</w:t>
            </w:r>
          </w:p>
        </w:tc>
        <w:tc>
          <w:tcPr>
            <w:tcW w:type="dxa" w:w="366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Referring to them is a convenience. If the model is not ratified, the packs still close the two issues and the binding constraint above still lifts.</w:t>
            </w:r>
          </w:p>
        </w:tc>
      </w:tr>
      <w:tr>
        <w:trPr>
          <w:cantSplit/>
        </w:trPr>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current recorded position of the platform workstream</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engineering-foundation stage, in progress, with the release objective unchanged.</w:t>
            </w:r>
          </w:p>
        </w:tc>
        <w:tc>
          <w:tcPr>
            <w:tcW w:type="dxa" w:w="366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These packs are regulatory-framing work being completed late, in parallel with foundation work. That is the realignment, stated plainly.</w:t>
            </w:r>
          </w:p>
        </w:tc>
      </w:tr>
    </w:tbl>
    <w:p>
      <w:pPr>
        <w:spacing w:after="140"/>
      </w:pPr>
      <w:r>
        <w:t xml:space="preserve"/>
      </w:r>
    </w:p>
    <w:p>
      <w:pPr>
        <w:pStyle w:val="Heading2"/>
        <w:keepNext/>
        <w:keepLines/>
        <w:spacing w:after="100" w:before="220"/>
      </w:pPr>
      <w:r>
        <w:rPr>
          <w:b/>
          <w:bCs/>
          <w:color w:val="0F6E6E"/>
          <w:sz w:val="21"/>
          <w:szCs w:val="21"/>
        </w:rPr>
        <w:t xml:space="preserve">Where each decision goes once it is made</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928"/>
        <w:gridCol w:w="3662"/>
        <w:gridCol w:w="1735"/>
        <w:gridCol w:w="2313"/>
      </w:tblGrid>
      <w:tr>
        <w:trPr>
          <w:cantSplit/>
          <w:tblHeader/>
        </w:trPr>
        <w:tc>
          <w:tcPr>
            <w:tcW w:type="dxa" w:w="192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Your decision</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is updated</w:t>
            </w:r>
          </w:p>
        </w:tc>
        <w:tc>
          <w:tcPr>
            <w:tcW w:type="dxa" w:w="173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Who updates it</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it unblocks</w:t>
            </w:r>
          </w:p>
        </w:tc>
      </w:tr>
      <w:tr>
        <w:trPr>
          <w:cantSplit/>
        </w:trPr>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Schedule A signed</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consent issue is closed in the programme issue register; the consent approval checkpoint records the signed pack as its evidence</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Product Owner, then Delivery</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Construction of the Consent Service</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Schedule B signed</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suitability issue is closed in the same register; the suitability checkpoint records the signed pack</w:t>
            </w:r>
          </w:p>
        </w:tc>
        <w:tc>
          <w:tcPr>
            <w:tcW w:type="dxa" w:w="173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Product Owner, then Delivery</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Construction of the Suitability Service, and the gate in front of the existing quote path</w:t>
            </w:r>
          </w:p>
        </w:tc>
      </w:tr>
      <w:tr>
        <w:trPr>
          <w:cantSplit/>
        </w:trPr>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Open items determined (§10)</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determinations are recorded in the decision register and folded into the packs at v1.2</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Product Owner, with Compliance</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Customer-facing wording, and the journey sequence</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§11 proposal ruled on</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new decision-register entry; the packs gain or drop the six proposed rules</w:t>
            </w:r>
          </w:p>
        </w:tc>
        <w:tc>
          <w:tcPr>
            <w:tcW w:type="dxa" w:w="173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Product Owner</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Screen design for the consent journey</w:t>
            </w:r>
          </w:p>
        </w:tc>
      </w:tr>
      <w:tr>
        <w:trPr>
          <w:cantSplit/>
        </w:trPr>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OPEN-SCOPE-01 answered (§3.1)</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release scope document is republished, or Schedule A is held open for the redirect consent</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Product Owner, with Bancassurance</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Confirms whether these packs are complete for the first release</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Both schedules signed and all conditions met</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workstream state record is updated by the Architect and Product Owner jointly, as named humans</w:t>
            </w:r>
          </w:p>
        </w:tc>
        <w:tc>
          <w:tcPr>
            <w:tcW w:type="dxa" w:w="173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Architect and the Product Owner</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release may enter its build-and-prove stage</w:t>
            </w:r>
          </w:p>
        </w:tc>
      </w:tr>
    </w:tbl>
    <w:p>
      <w:pPr>
        <w:pStyle w:val="Heading1"/>
        <w:keepNext/>
        <w:keepLines/>
        <w:pageBreakBefore/>
        <w:pBdr>
          <w:bottom w:val="single" w:color="0F6E6E" w:sz="8" w:space="6"/>
        </w:pBdr>
        <w:spacing w:after="160" w:before="0"/>
      </w:pPr>
      <w:r>
        <w:rPr>
          <w:b/>
          <w:bCs/>
          <w:color w:val="11304E"/>
          <w:sz w:val="30"/>
          <w:szCs w:val="30"/>
        </w:rPr>
        <w:t xml:space="preserve">4.  What is submitted</w:t>
      </w:r>
    </w:p>
    <w:p>
      <w:pPr>
        <w:spacing w:after="120" w:before="0" w:line="276"/>
        <w:jc w:val="left"/>
      </w:pPr>
      <w:r>
        <w:rPr>
          <w:b w:val="false"/>
          <w:bCs w:val="false"/>
          <w:i w:val="false"/>
          <w:iCs w:val="false"/>
          <w:color w:val="222629"/>
          <w:sz w:val="20"/>
          <w:szCs w:val="20"/>
        </w:rPr>
        <w:t xml:space="preserve">Two rule packs, reproduced in full in the appendices to this document.</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542"/>
        <w:gridCol w:w="3855"/>
        <w:gridCol w:w="4241"/>
      </w:tblGrid>
      <w:tr>
        <w:trPr>
          <w:cantSplit/>
          <w:tblHeader/>
        </w:trPr>
        <w:tc>
          <w:tcPr>
            <w:tcW w:type="dxa" w:w="154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
            </w:r>
          </w:p>
        </w:tc>
        <w:tc>
          <w:tcPr>
            <w:tcW w:type="dxa" w:w="385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Consent Rule Pack v1.1</w:t>
            </w:r>
          </w:p>
        </w:tc>
        <w:tc>
          <w:tcPr>
            <w:tcW w:type="dxa" w:w="424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Suitability Rule Pack v1.1</w:t>
            </w:r>
          </w:p>
        </w:tc>
      </w:tr>
      <w:tr>
        <w:trPr>
          <w:cantSplit/>
        </w:trPr>
        <w:tc>
          <w:tcPr>
            <w:tcW w:type="dxa" w:w="154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Rules</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38 — CNS-R01 to CNS-R38 plus four added at v1.1</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48 — SUIT-R01 to SUIT-R48 plus fourteen added or split at v1.1, including SUIT-R19a</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Algorithm</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Not applicable</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SUIT-ALGO-LIFE-v1.1</w:t>
            </w:r>
          </w:p>
        </w:tc>
      </w:tr>
      <w:tr>
        <w:trPr>
          <w:cantSplit/>
        </w:trPr>
        <w:tc>
          <w:tcPr>
            <w:tcW w:type="dxa" w:w="154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Blocking issue it resolves</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rules not executable — highest severity; development cannot start while it is open</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Suitability content and override policy unknown — highest severity; same effect</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Approval checkpoint</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consent approval checkpoint for this stage, which requires a rule pack reviewed and signed by Compliance</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suitability approval checkpoint, on identical terms</w:t>
            </w:r>
          </w:p>
        </w:tc>
      </w:tr>
      <w:tr>
        <w:trPr>
          <w:cantSplit/>
        </w:trPr>
        <w:tc>
          <w:tcPr>
            <w:tcW w:type="dxa" w:w="154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Covers</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events and their blocking points; statement identity and versioning; capture mechanism and OTP handling; the evidence record; validity, expiry and reuse; withdrawal; retention and retrieval; failure behaviour</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need-analysis question set; the deterministic computation; product-class outcomes; the evaluation record; the hard gate before quote; invalidation and reuse; the override and exception path</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Reproduced in full in</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Volume 2</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Volume 3</w:t>
            </w:r>
          </w:p>
        </w:tc>
      </w:tr>
      <w:tr>
        <w:trPr>
          <w:cantSplit/>
        </w:trPr>
        <w:tc>
          <w:tcPr>
            <w:tcW w:type="dxa" w:w="154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Product position</w:t>
            </w:r>
          </w:p>
        </w:tc>
        <w:tc>
          <w:tcPr>
            <w:tcW w:type="dxa" w:w="3855"/>
            <w:tcMar>
              <w:top w:type="dxa" w:w="90"/>
              <w:left w:type="dxa" w:w="130"/>
              <w:bottom w:type="dxa" w:w="90"/>
              <w:right w:type="dxa" w:w="130"/>
            </w:tcMar>
            <w:vAlign w:val="top"/>
          </w:tcPr>
          <w:p>
            <w:pPr>
              <w:spacing w:after="40" w:before="40" w:line="252"/>
              <w:jc w:val="left"/>
            </w:pPr>
            <w:r>
              <w:rPr>
                <w:b/>
                <w:bCs/>
                <w:i w:val="false"/>
                <w:iCs w:val="false"/>
                <w:color w:val="8A5A00"/>
                <w:sz w:val="18"/>
                <w:szCs w:val="18"/>
              </w:rPr>
              <w:t xml:space="preserve">Drafted, not signed.</w:t>
            </w:r>
            <w:r>
              <w:rPr>
                <w:b w:val="false"/>
                <w:bCs w:val="false"/>
                <w:i w:val="false"/>
                <w:iCs w:val="false"/>
                <w:color w:val="222629"/>
                <w:sz w:val="18"/>
                <w:szCs w:val="18"/>
              </w:rPr>
              <w:t xml:space="preserve"> Awaiting the Product Owner’s decision — §14.</w:t>
            </w:r>
          </w:p>
        </w:tc>
        <w:tc>
          <w:tcPr>
            <w:tcW w:type="dxa" w:w="4241"/>
            <w:tcMar>
              <w:top w:type="dxa" w:w="90"/>
              <w:left w:type="dxa" w:w="130"/>
              <w:bottom w:type="dxa" w:w="90"/>
              <w:right w:type="dxa" w:w="130"/>
            </w:tcMar>
            <w:vAlign w:val="top"/>
          </w:tcPr>
          <w:p>
            <w:pPr>
              <w:spacing w:after="40" w:before="40" w:line="252"/>
              <w:jc w:val="left"/>
            </w:pPr>
            <w:r>
              <w:rPr>
                <w:b/>
                <w:bCs/>
                <w:i w:val="false"/>
                <w:iCs w:val="false"/>
                <w:color w:val="8A5A00"/>
                <w:sz w:val="18"/>
                <w:szCs w:val="18"/>
              </w:rPr>
              <w:t xml:space="preserve">Drafted, not signed.</w:t>
            </w:r>
            <w:r>
              <w:rPr>
                <w:b w:val="false"/>
                <w:bCs w:val="false"/>
                <w:i w:val="false"/>
                <w:iCs w:val="false"/>
                <w:color w:val="222629"/>
                <w:sz w:val="18"/>
                <w:szCs w:val="18"/>
              </w:rPr>
              <w:t xml:space="preserve"> Awaiting the Product Owner’s decision — §14.</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Compliance position</w:t>
            </w:r>
          </w:p>
        </w:tc>
        <w:tc>
          <w:tcPr>
            <w:tcW w:type="dxa" w:w="3855"/>
            <w:shd w:fill="F1F5F8" w:color="auto" w:val="clear"/>
            <w:tcMar>
              <w:top w:type="dxa" w:w="90"/>
              <w:left w:type="dxa" w:w="130"/>
              <w:bottom w:type="dxa" w:w="90"/>
              <w:right w:type="dxa" w:w="130"/>
            </w:tcMar>
            <w:vAlign w:val="top"/>
          </w:tcPr>
          <w:p>
            <w:pPr>
              <w:spacing w:after="40" w:before="40" w:line="252"/>
              <w:jc w:val="left"/>
            </w:pPr>
            <w:r>
              <w:rPr>
                <w:b/>
                <w:bCs/>
                <w:i w:val="false"/>
                <w:iCs w:val="false"/>
                <w:color w:val="8A5A00"/>
                <w:sz w:val="18"/>
                <w:szCs w:val="18"/>
              </w:rPr>
              <w:t xml:space="preserve">Pending — this document</w:t>
            </w:r>
          </w:p>
        </w:tc>
        <w:tc>
          <w:tcPr>
            <w:tcW w:type="dxa" w:w="4241"/>
            <w:shd w:fill="F1F5F8" w:color="auto" w:val="clear"/>
            <w:tcMar>
              <w:top w:type="dxa" w:w="90"/>
              <w:left w:type="dxa" w:w="130"/>
              <w:bottom w:type="dxa" w:w="90"/>
              <w:right w:type="dxa" w:w="130"/>
            </w:tcMar>
            <w:vAlign w:val="top"/>
          </w:tcPr>
          <w:p>
            <w:pPr>
              <w:spacing w:after="40" w:before="40" w:line="252"/>
              <w:jc w:val="left"/>
            </w:pPr>
            <w:r>
              <w:rPr>
                <w:b/>
                <w:bCs/>
                <w:i w:val="false"/>
                <w:iCs w:val="false"/>
                <w:color w:val="8A5A00"/>
                <w:sz w:val="18"/>
                <w:szCs w:val="18"/>
              </w:rPr>
              <w:t xml:space="preserve">Pending — this document</w:t>
            </w:r>
          </w:p>
        </w:tc>
      </w:tr>
      <w:tr>
        <w:trPr>
          <w:cantSplit/>
        </w:trPr>
        <w:tc>
          <w:tcPr>
            <w:tcW w:type="dxa" w:w="154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Operations position</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Not yet sought. Added as a required conclusion at v1.1 — see §14.</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Not yet sought. Added as a required conclusion at v1.1 — see §14.</w:t>
            </w:r>
          </w:p>
        </w:tc>
      </w:tr>
    </w:tbl>
    <w:p>
      <w:pPr>
        <w:spacing w:after="140"/>
      </w:pPr>
      <w:r>
        <w:t xml:space="preserve"/>
      </w:r>
    </w:p>
    <w:p>
      <w:pPr>
        <w:pStyle w:val="Heading2"/>
        <w:keepNext/>
        <w:keepLines/>
        <w:spacing w:after="100" w:before="220"/>
      </w:pPr>
      <w:r>
        <w:rPr>
          <w:b/>
          <w:bCs/>
          <w:color w:val="0F6E6E"/>
          <w:sz w:val="21"/>
          <w:szCs w:val="21"/>
        </w:rPr>
        <w:t xml:space="preserve">The two commitments the packs exist to make enforceable</w:t>
      </w:r>
    </w:p>
    <w:p>
      <w:pPr>
        <w:keepNext/>
        <w:keepLines/>
        <w:pBdr>
          <w:top w:val="single" w:color="F1F5F8" w:sz="2" w:space="8"/>
          <w:left w:val="single" w:color="0F6E6E" w:sz="18" w:space="10"/>
          <w:right w:val="single" w:color="F1F5F8" w:sz="2" w:space="10"/>
        </w:pBdr>
        <w:shd w:fill="F1F5F8" w:color="auto" w:val="clear"/>
        <w:spacing w:after="100" w:before="140" w:line="276"/>
        <w:ind w:left="200" w:right="200"/>
      </w:pPr>
      <w:r>
        <w:rPr>
          <w:b/>
          <w:bCs/>
          <w:i w:val="false"/>
          <w:iCs w:val="false"/>
          <w:color w:val="0F6E6E"/>
          <w:sz w:val="20"/>
          <w:szCs w:val="20"/>
        </w:rPr>
        <w:t xml:space="preserve">Consent — fail closed, and never rewritten</w:t>
      </w:r>
    </w:p>
    <w:p>
      <w:pPr>
        <w:keepNext w:val="false"/>
        <w:keepLines/>
        <w:pBdr>
          <w:bottom w:val="single" w:color="F1F5F8" w:sz="2" w:space="8"/>
          <w:left w:val="single" w:color="0F6E6E"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If the consent evidence cannot be written, the business action does not succeed. And the consent store is append-only by database privilege rather than by application code, because an append-only rule that lives in a service is an append-only rule that one urgent fix removes.</w:t>
      </w:r>
    </w:p>
    <w:p>
      <w:pPr>
        <w:spacing w:after="100"/>
      </w:pPr>
      <w:r>
        <w:t xml:space="preserve"/>
      </w:r>
    </w:p>
    <w:p>
      <w:pPr>
        <w:keepNext/>
        <w:keepLines/>
        <w:pBdr>
          <w:top w:val="single" w:color="F1F5F8" w:sz="2" w:space="8"/>
          <w:left w:val="single" w:color="0F6E6E" w:sz="18" w:space="10"/>
          <w:right w:val="single" w:color="F1F5F8" w:sz="2" w:space="10"/>
        </w:pBdr>
        <w:shd w:fill="F1F5F8" w:color="auto" w:val="clear"/>
        <w:spacing w:after="100" w:before="140" w:line="276"/>
        <w:ind w:left="200" w:right="200"/>
      </w:pPr>
      <w:r>
        <w:rPr>
          <w:b/>
          <w:bCs/>
          <w:i w:val="false"/>
          <w:iCs w:val="false"/>
          <w:color w:val="0F6E6E"/>
          <w:sz w:val="20"/>
          <w:szCs w:val="20"/>
        </w:rPr>
        <w:t xml:space="preserve">Suitability — no quote without a valid assessment</w:t>
      </w:r>
    </w:p>
    <w:p>
      <w:pPr>
        <w:keepNext w:val="false"/>
        <w:keepLines/>
        <w:pBdr>
          <w:bottom w:val="single" w:color="F1F5F8" w:sz="2" w:space="8"/>
          <w:left w:val="single" w:color="0F6E6E"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Quote endpoints refuse the request unless it carries a suitability evaluation that is active, issued within 30 days, bound to the same customer, and whose outcome permits the product class being quoted. Four conditions; all four must hold; each is separately tested.</w:t>
      </w:r>
    </w:p>
    <w:p>
      <w:pPr>
        <w:pStyle w:val="Heading1"/>
        <w:keepNext/>
        <w:keepLines/>
        <w:pBdr>
          <w:bottom w:val="single" w:color="0F6E6E" w:sz="8" w:space="6"/>
        </w:pBdr>
        <w:spacing w:after="160" w:before="400"/>
      </w:pPr>
      <w:r>
        <w:rPr>
          <w:b/>
          <w:bCs/>
          <w:color w:val="11304E"/>
          <w:sz w:val="30"/>
          <w:szCs w:val="30"/>
        </w:rPr>
        <w:t xml:space="preserve">5.  Why a signature, and what it certifies</w:t>
      </w:r>
    </w:p>
    <w:p>
      <w:pPr>
        <w:spacing w:after="120" w:before="0" w:line="276"/>
        <w:jc w:val="left"/>
      </w:pPr>
      <w:r>
        <w:rPr>
          <w:b w:val="false"/>
          <w:bCs w:val="false"/>
          <w:i w:val="false"/>
          <w:iCs w:val="false"/>
          <w:color w:val="222629"/>
          <w:sz w:val="20"/>
          <w:szCs w:val="20"/>
        </w:rPr>
        <w:t xml:space="preserve">The programme distinguishes between a rule being written down and a rule being proven to work, and it requires different evidence for each. A definition can be closed by a document that a named person has read and signed. A behaviour can only be closed by something that has actually been run and observed. This approval is the first kind, and it is what allows the second to be attempted at all.</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024"/>
        <w:gridCol w:w="2506"/>
        <w:gridCol w:w="5108"/>
      </w:tblGrid>
      <w:tr>
        <w:trPr>
          <w:cantSplit/>
          <w:tblHeader/>
        </w:trPr>
        <w:tc>
          <w:tcPr>
            <w:tcW w:type="dxa" w:w="202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Strength of evidence</w:t>
            </w:r>
          </w:p>
        </w:tc>
        <w:tc>
          <w:tcPr>
            <w:tcW w:type="dxa" w:w="250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it consists of</w:t>
            </w:r>
          </w:p>
        </w:tc>
        <w:tc>
          <w:tcPr>
            <w:tcW w:type="dxa" w:w="510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Where it applies here</w:t>
            </w:r>
          </w:p>
        </w:tc>
      </w:tr>
      <w:tr>
        <w:trPr>
          <w:cantSplit/>
        </w:trPr>
        <w:tc>
          <w:tcPr>
            <w:tcW w:type="dxa" w:w="2024"/>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Someone says so</w:t>
            </w:r>
          </w:p>
        </w:tc>
        <w:tc>
          <w:tcPr>
            <w:tcW w:type="dxa" w:w="250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assurance, given verbally or in a status report</w:t>
            </w:r>
          </w:p>
        </w:tc>
        <w:tc>
          <w:tcPr>
            <w:tcW w:type="dxa" w:w="510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Never acceptable for anything. "Compliance is comfortable" closes nothing.</w:t>
            </w:r>
          </w:p>
        </w:tc>
      </w:tr>
      <w:tr>
        <w:trPr>
          <w:cantSplit/>
        </w:trPr>
        <w:tc>
          <w:tcPr>
            <w:tcW w:type="dxa" w:w="2024"/>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document exists</w:t>
            </w:r>
          </w:p>
        </w:tc>
        <w:tc>
          <w:tcPr>
            <w:tcW w:type="dxa" w:w="250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written artefact, unreviewed</w:t>
            </w:r>
          </w:p>
        </w:tc>
        <w:tc>
          <w:tcPr>
            <w:tcW w:type="dxa" w:w="510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the two packs stand today. They are complete, and that on its own is not enough to release the build.</w:t>
            </w:r>
          </w:p>
        </w:tc>
      </w:tr>
      <w:tr>
        <w:trPr>
          <w:cantSplit/>
        </w:trPr>
        <w:tc>
          <w:tcPr>
            <w:tcW w:type="dxa" w:w="2024"/>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Reviewed and signed</w:t>
            </w:r>
          </w:p>
        </w:tc>
        <w:tc>
          <w:tcPr>
            <w:tcW w:type="dxa" w:w="250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named approver has read it and recorded a conclusion</w:t>
            </w:r>
          </w:p>
        </w:tc>
        <w:tc>
          <w:tcPr>
            <w:tcW w:type="dxa" w:w="510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What this document asks for.</w:t>
            </w:r>
            <w:r>
              <w:rPr>
                <w:b w:val="false"/>
                <w:bCs w:val="false"/>
                <w:i w:val="false"/>
                <w:iCs w:val="false"/>
                <w:color w:val="222629"/>
                <w:sz w:val="18"/>
                <w:szCs w:val="18"/>
              </w:rPr>
              <w:t xml:space="preserve"> A named Compliance approver reads the rules and records accept, amend or reject against each section of each pack.</w:t>
            </w:r>
          </w:p>
        </w:tc>
      </w:tr>
      <w:tr>
        <w:trPr>
          <w:cantSplit/>
        </w:trPr>
        <w:tc>
          <w:tcPr>
            <w:tcW w:type="dxa" w:w="2024"/>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Run and observed</w:t>
            </w:r>
          </w:p>
        </w:tc>
        <w:tc>
          <w:tcPr>
            <w:tcW w:type="dxa" w:w="250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control has been executed and the result captured, repeatably</w:t>
            </w:r>
          </w:p>
        </w:tc>
        <w:tc>
          <w:tcPr>
            <w:tcW w:type="dxa" w:w="510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Comes later, once the services are built and the controls are tested. Approval here is what allows that work to begin; it does not stand in for it.</w:t>
            </w:r>
          </w:p>
        </w:tc>
      </w:tr>
    </w:tbl>
    <w:p>
      <w:pPr>
        <w:spacing w:after="140"/>
      </w:pPr>
      <w:r>
        <w:t xml:space="preserve"/>
      </w:r>
    </w:p>
    <w:p>
      <w:pPr>
        <w:spacing w:after="120" w:before="0" w:line="276"/>
        <w:jc w:val="left"/>
      </w:pPr>
      <w:r>
        <w:rPr>
          <w:b w:val="false"/>
          <w:bCs w:val="false"/>
          <w:i w:val="false"/>
          <w:iCs w:val="false"/>
          <w:color w:val="222629"/>
          <w:sz w:val="20"/>
          <w:szCs w:val="20"/>
        </w:rPr>
        <w:t xml:space="preserve">What the signature certifies is bounded, and deliberately so. Product owns the business behaviour of these controls — which events require consent, what the journey does when it is absent, what the relationship manager sees, what the record must carry for the business to be defensible. Compliance owns whether the sequencing, the wording basis, the retention basis and the suitability model are regulatorily permissible. No aggregate of other approvers substitutes for that. This document does not blur the line, and every rule is written so that one can be amended without disturbing the rest.</w:t>
      </w:r>
    </w:p>
    <w:p>
      <w:pPr>
        <w:pStyle w:val="Heading1"/>
        <w:keepNext/>
        <w:keepLines/>
        <w:pageBreakBefore/>
        <w:pBdr>
          <w:bottom w:val="single" w:color="0F6E6E" w:sz="8" w:space="6"/>
        </w:pBdr>
        <w:spacing w:after="160" w:before="0"/>
      </w:pPr>
      <w:r>
        <w:rPr>
          <w:b/>
          <w:bCs/>
          <w:color w:val="11304E"/>
          <w:sz w:val="30"/>
          <w:szCs w:val="30"/>
        </w:rPr>
        <w:t xml:space="preserve">6.  Regulatory basis and applicability</w:t>
      </w:r>
    </w:p>
    <w:p>
      <w:pPr>
        <w:spacing w:after="120" w:before="0" w:line="276"/>
        <w:jc w:val="left"/>
      </w:pPr>
      <w:r>
        <w:rPr>
          <w:b w:val="false"/>
          <w:bCs w:val="false"/>
          <w:i w:val="false"/>
          <w:iCs w:val="false"/>
          <w:color w:val="222629"/>
          <w:sz w:val="20"/>
          <w:szCs w:val="20"/>
        </w:rPr>
        <w:t xml:space="preserve">These packs assert that certain controls are mandatory. Product has stated those assertions but cannot evidence them: naming the instrument, the clause, the version in force and whether it binds this bank in this capacity is Compliance work, and inventing a citation would be worse than leaving the column empty. This section sets out what is asserted, where each assertion came from, and what is missing — so that the gap is visible rather than buried inside confident wording.</w:t>
      </w:r>
    </w:p>
    <w:p>
      <w:pPr>
        <w:spacing w:after="60"/>
      </w:pPr>
      <w:r>
        <w:t xml:space="preserve"/>
      </w:r>
    </w:p>
    <w:p>
      <w:pPr>
        <w:keepNext/>
        <w:keepLines/>
        <w:pBdr>
          <w:top w:val="single" w:color="F1F5F8" w:sz="2" w:space="8"/>
          <w:left w:val="single" w:color="0F6E6E" w:sz="18" w:space="10"/>
          <w:right w:val="single" w:color="F1F5F8" w:sz="2" w:space="10"/>
        </w:pBdr>
        <w:shd w:fill="F1F5F8" w:color="auto" w:val="clear"/>
        <w:spacing w:after="100" w:before="140" w:line="276"/>
        <w:ind w:left="200" w:right="200"/>
      </w:pPr>
      <w:r>
        <w:rPr>
          <w:b/>
          <w:bCs/>
          <w:i w:val="false"/>
          <w:iCs w:val="false"/>
          <w:color w:val="0F6E6E"/>
          <w:sz w:val="20"/>
          <w:szCs w:val="20"/>
        </w:rPr>
        <w:t xml:space="preserve">Where to find the detail</w:t>
      </w:r>
    </w:p>
    <w:p>
      <w:pPr>
        <w:keepNext w:val="false"/>
        <w:keepLines/>
        <w:pBdr>
          <w:bottom w:val="single" w:color="F1F5F8" w:sz="2" w:space="8"/>
          <w:left w:val="single" w:color="0F6E6E"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Appendix A to this volume is the regulatory register: 28 obligations, each with the instrument Product believes is its source, what the obligation requires, and a status column for Compliance to complete. Every rule in Volumes 2 and 3 prints the codes of the obligations it serves directly beneath its rule identifier, so a reader can see at a glance what each rule is for — and can see, equally plainly, the rules for which Product claims no external obligation at all.</w:t>
      </w:r>
    </w:p>
    <w:p>
      <w:pPr>
        <w:spacing w:after="140"/>
      </w:pPr>
      <w:r>
        <w:t xml:space="preserve"/>
      </w:r>
    </w:p>
    <w:p>
      <w:pPr>
        <w:keepNext/>
        <w:keepLines/>
        <w:pBdr>
          <w:top w:val="single" w:color="F1F5F8" w:sz="2" w:space="8"/>
          <w:left w:val="single" w:color="9B2226" w:sz="18" w:space="10"/>
          <w:right w:val="single" w:color="F1F5F8" w:sz="2" w:space="10"/>
        </w:pBdr>
        <w:shd w:fill="F1F5F8" w:color="auto" w:val="clear"/>
        <w:spacing w:after="100" w:before="140" w:line="276"/>
        <w:ind w:left="200" w:right="200"/>
      </w:pPr>
      <w:r>
        <w:rPr>
          <w:b/>
          <w:bCs/>
          <w:i w:val="false"/>
          <w:iCs w:val="false"/>
          <w:color w:val="9B2226"/>
          <w:sz w:val="20"/>
          <w:szCs w:val="20"/>
        </w:rPr>
        <w:t xml:space="preserve">The honest statement of the problem</w:t>
      </w:r>
    </w:p>
    <w:p>
      <w:pPr>
        <w:keepNext w:val="false"/>
        <w:keepLines/>
        <w:pBdr>
          <w:bottom w:val="single" w:color="F1F5F8" w:sz="2" w:space="8"/>
          <w:left w:val="single" w:color="9B2226"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Every mandatory control below is currently supported by a source description rather than a source. "Data-protection law", "the suitability obligation" and "mis-selling risk" are not auditable citations. Until each row carries an instrument, a clause, an effective date and an applicability determination, Compliance cannot conclude on permissibility — and Product is not asking it to. What Product asks for on the business behaviour of these controls is separable, and is what Schedules A and B record.</w:t>
      </w:r>
    </w:p>
    <w:p>
      <w:pPr>
        <w:pStyle w:val="Heading2"/>
        <w:keepNext/>
        <w:keepLines/>
        <w:spacing w:after="120" w:before="300"/>
      </w:pPr>
      <w:r>
        <w:rPr>
          <w:b/>
          <w:bCs/>
          <w:color w:val="11304E"/>
          <w:sz w:val="24"/>
          <w:szCs w:val="24"/>
        </w:rPr>
        <w:t xml:space="preserve">6.1  The prior question: which entity, in which capacity</w:t>
      </w:r>
    </w:p>
    <w:p>
      <w:pPr>
        <w:spacing w:after="120" w:before="0" w:line="276"/>
        <w:jc w:val="left"/>
      </w:pPr>
      <w:r>
        <w:rPr>
          <w:b w:val="false"/>
          <w:bCs w:val="false"/>
          <w:i w:val="false"/>
          <w:iCs w:val="false"/>
          <w:color w:val="222629"/>
          <w:sz w:val="20"/>
          <w:szCs w:val="20"/>
        </w:rPr>
        <w:t xml:space="preserve">Obligations that apply to an insurer are not the obligations that apply to a bank distributing that insurer’s products, and neither set is the set that applies to a technology provider. Every row in §6.3 depends on answering these first, and none of them is Product’s to answer.</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5397"/>
        <w:gridCol w:w="2120"/>
        <w:gridCol w:w="2121"/>
      </w:tblGrid>
      <w:tr>
        <w:trPr>
          <w:cantSplit/>
          <w:tblHeader/>
        </w:trPr>
        <w:tc>
          <w:tcPr>
            <w:tcW w:type="dxa" w:w="539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Question</w:t>
            </w:r>
          </w:p>
        </w:tc>
        <w:tc>
          <w:tcPr>
            <w:tcW w:type="dxa" w:w="212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Status</w:t>
            </w:r>
          </w:p>
        </w:tc>
        <w:tc>
          <w:tcPr>
            <w:tcW w:type="dxa" w:w="212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Owner</w:t>
            </w:r>
          </w:p>
        </w:tc>
      </w:tr>
      <w:tr>
        <w:trPr>
          <w:cantSplit/>
        </w:trPr>
        <w:tc>
          <w:tcPr>
            <w:tcW w:type="dxa" w:w="539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exact legal entity conducting the distribution, as registered</w:t>
            </w:r>
          </w:p>
        </w:tc>
        <w:tc>
          <w:tcPr>
            <w:tcW w:type="dxa" w:w="2120"/>
            <w:tcMar>
              <w:top w:type="dxa" w:w="90"/>
              <w:left w:type="dxa" w:w="130"/>
              <w:bottom w:type="dxa" w:w="90"/>
              <w:right w:type="dxa" w:w="130"/>
            </w:tcMar>
            <w:vAlign w:val="top"/>
          </w:tcPr>
          <w:p>
            <w:pPr>
              <w:spacing w:after="40" w:before="40" w:line="252"/>
              <w:jc w:val="left"/>
            </w:pPr>
            <w:r>
              <w:rPr>
                <w:b/>
                <w:bCs/>
                <w:i w:val="false"/>
                <w:iCs w:val="false"/>
                <w:color w:val="8A5A00"/>
                <w:sz w:val="18"/>
                <w:szCs w:val="18"/>
              </w:rPr>
              <w:t xml:space="preserve">To be confirmed</w:t>
            </w:r>
          </w:p>
        </w:tc>
        <w:tc>
          <w:tcPr>
            <w:tcW w:type="dxa" w:w="212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w:t>
            </w:r>
          </w:p>
        </w:tc>
      </w:tr>
      <w:tr>
        <w:trPr>
          <w:cantSplit/>
        </w:trPr>
        <w:tc>
          <w:tcPr>
            <w:tcW w:type="dxa" w:w="5397"/>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regulatory capacity in which it distributes insurance, and the registration or licence held in that capacity, with its number and validity</w:t>
            </w:r>
          </w:p>
        </w:tc>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8A5A00"/>
                <w:sz w:val="18"/>
                <w:szCs w:val="18"/>
              </w:rPr>
              <w:t xml:space="preserve">To be confirmed</w:t>
            </w:r>
          </w:p>
        </w:tc>
        <w:tc>
          <w:tcPr>
            <w:tcW w:type="dxa" w:w="212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w:t>
            </w:r>
          </w:p>
        </w:tc>
      </w:tr>
      <w:tr>
        <w:trPr>
          <w:cantSplit/>
        </w:trPr>
        <w:tc>
          <w:tcPr>
            <w:tcW w:type="dxa" w:w="539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Whether the insurer, the bank, or both are the controller of the customer’s personal data at each step of the journey</w:t>
            </w:r>
          </w:p>
        </w:tc>
        <w:tc>
          <w:tcPr>
            <w:tcW w:type="dxa" w:w="2120"/>
            <w:tcMar>
              <w:top w:type="dxa" w:w="90"/>
              <w:left w:type="dxa" w:w="130"/>
              <w:bottom w:type="dxa" w:w="90"/>
              <w:right w:type="dxa" w:w="130"/>
            </w:tcMar>
            <w:vAlign w:val="top"/>
          </w:tcPr>
          <w:p>
            <w:pPr>
              <w:spacing w:after="40" w:before="40" w:line="252"/>
              <w:jc w:val="left"/>
            </w:pPr>
            <w:r>
              <w:rPr>
                <w:b/>
                <w:bCs/>
                <w:i w:val="false"/>
                <w:iCs w:val="false"/>
                <w:color w:val="8A5A00"/>
                <w:sz w:val="18"/>
                <w:szCs w:val="18"/>
              </w:rPr>
              <w:t xml:space="preserve">To be confirmed</w:t>
            </w:r>
          </w:p>
        </w:tc>
        <w:tc>
          <w:tcPr>
            <w:tcW w:type="dxa" w:w="212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 with Legal</w:t>
            </w:r>
          </w:p>
        </w:tc>
      </w:tr>
      <w:tr>
        <w:trPr>
          <w:cantSplit/>
        </w:trPr>
        <w:tc>
          <w:tcPr>
            <w:tcW w:type="dxa" w:w="5397"/>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role and obligations of the integration intermediary through which insurer traffic passes, and of any cloud or technology provider holding the records</w:t>
            </w:r>
          </w:p>
        </w:tc>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8A5A00"/>
                <w:sz w:val="18"/>
                <w:szCs w:val="18"/>
              </w:rPr>
              <w:t xml:space="preserve">To be confirmed</w:t>
            </w:r>
          </w:p>
        </w:tc>
        <w:tc>
          <w:tcPr>
            <w:tcW w:type="dxa" w:w="212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 with Architecture</w:t>
            </w:r>
          </w:p>
        </w:tc>
      </w:tr>
      <w:tr>
        <w:trPr>
          <w:cantSplit/>
        </w:trPr>
        <w:tc>
          <w:tcPr>
            <w:tcW w:type="dxa" w:w="539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jurisdiction whose law governs each obligation, where a counterparty or a hosting arrangement sits outside India</w:t>
            </w:r>
          </w:p>
        </w:tc>
        <w:tc>
          <w:tcPr>
            <w:tcW w:type="dxa" w:w="2120"/>
            <w:tcMar>
              <w:top w:type="dxa" w:w="90"/>
              <w:left w:type="dxa" w:w="130"/>
              <w:bottom w:type="dxa" w:w="90"/>
              <w:right w:type="dxa" w:w="130"/>
            </w:tcMar>
            <w:vAlign w:val="top"/>
          </w:tcPr>
          <w:p>
            <w:pPr>
              <w:spacing w:after="40" w:before="40" w:line="252"/>
              <w:jc w:val="left"/>
            </w:pPr>
            <w:r>
              <w:rPr>
                <w:b/>
                <w:bCs/>
                <w:i w:val="false"/>
                <w:iCs w:val="false"/>
                <w:color w:val="8A5A00"/>
                <w:sz w:val="18"/>
                <w:szCs w:val="18"/>
              </w:rPr>
              <w:t xml:space="preserve">To be confirmed</w:t>
            </w:r>
          </w:p>
        </w:tc>
        <w:tc>
          <w:tcPr>
            <w:tcW w:type="dxa" w:w="212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 with Legal</w:t>
            </w:r>
          </w:p>
        </w:tc>
      </w:tr>
      <w:tr>
        <w:trPr>
          <w:cantSplit/>
        </w:trPr>
        <w:tc>
          <w:tcPr>
            <w:tcW w:type="dxa" w:w="5397"/>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Whether any insurer on the panel imposes contractual requirements exceeding the regulatory minimum</w:t>
            </w:r>
          </w:p>
        </w:tc>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8A5A00"/>
                <w:sz w:val="18"/>
                <w:szCs w:val="18"/>
              </w:rPr>
              <w:t xml:space="preserve">To be confirmed</w:t>
            </w:r>
          </w:p>
        </w:tc>
        <w:tc>
          <w:tcPr>
            <w:tcW w:type="dxa" w:w="212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Bancassurance, with Compliance</w:t>
            </w:r>
          </w:p>
        </w:tc>
      </w:tr>
    </w:tbl>
    <w:p>
      <w:pPr>
        <w:pStyle w:val="Heading2"/>
        <w:keepNext/>
        <w:keepLines/>
        <w:pageBreakBefore/>
        <w:spacing w:after="120" w:before="0"/>
      </w:pPr>
      <w:r>
        <w:rPr>
          <w:b/>
          <w:bCs/>
          <w:color w:val="11304E"/>
          <w:sz w:val="24"/>
          <w:szCs w:val="24"/>
        </w:rPr>
        <w:t xml:space="preserve">6.2  How each assertion is classified</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928"/>
        <w:gridCol w:w="4048"/>
        <w:gridCol w:w="3662"/>
      </w:tblGrid>
      <w:tr>
        <w:trPr>
          <w:cantSplit/>
          <w:tblHeader/>
        </w:trPr>
        <w:tc>
          <w:tcPr>
            <w:tcW w:type="dxa" w:w="192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Classification</w:t>
            </w:r>
          </w:p>
        </w:tc>
        <w:tc>
          <w:tcPr>
            <w:tcW w:type="dxa" w:w="404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Meaning</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it takes to close</w:t>
            </w:r>
          </w:p>
        </w:tc>
      </w:tr>
      <w:tr>
        <w:trPr>
          <w:cantSplit/>
        </w:trPr>
        <w:tc>
          <w:tcPr>
            <w:tcW w:type="dxa" w:w="192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Law or regulation</w:t>
            </w:r>
          </w:p>
        </w:tc>
        <w:tc>
          <w:tcPr>
            <w:tcW w:type="dxa" w:w="404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binding external obligation on this entity in this capacity</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Instrument, clause, version in force, and an applicability determination</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Regulator guidance</w:t>
            </w:r>
          </w:p>
        </w:tc>
        <w:tc>
          <w:tcPr>
            <w:tcW w:type="dxa" w:w="404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Issued guidance or a circular that is expected but not strictly binding</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Instrument and a determination of how the bank treats it</w:t>
            </w:r>
          </w:p>
        </w:tc>
      </w:tr>
      <w:tr>
        <w:trPr>
          <w:cantSplit/>
        </w:trPr>
        <w:tc>
          <w:tcPr>
            <w:tcW w:type="dxa" w:w="192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Binding internal policy</w:t>
            </w:r>
          </w:p>
        </w:tc>
        <w:tc>
          <w:tcPr>
            <w:tcW w:type="dxa" w:w="404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bank policy that binds regardless of external requirement</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policy reference and its owner</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Product proposal</w:t>
            </w:r>
          </w:p>
        </w:tc>
        <w:tc>
          <w:tcPr>
            <w:tcW w:type="dxa" w:w="404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Product judgement with no external mandate claimed. Compliance may accept, amend or reject it freely</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Product and Compliance decision only</w:t>
            </w:r>
          </w:p>
        </w:tc>
      </w:tr>
      <w:tr>
        <w:trPr>
          <w:cantSplit/>
        </w:trPr>
        <w:tc>
          <w:tcPr>
            <w:tcW w:type="dxa" w:w="192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Good practice</w:t>
            </w:r>
          </w:p>
        </w:tc>
        <w:tc>
          <w:tcPr>
            <w:tcW w:type="dxa" w:w="404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Defensible practice adopted deliberately, claimed as nothing more</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recorded decision to adopt</w:t>
            </w:r>
          </w:p>
        </w:tc>
      </w:tr>
    </w:tbl>
    <w:p>
      <w:pPr>
        <w:spacing w:after="120"/>
      </w:pPr>
      <w:r>
        <w:t xml:space="preserve"/>
      </w:r>
    </w:p>
    <w:p>
      <w:pPr>
        <w:spacing w:after="120" w:before="0" w:line="276"/>
        <w:jc w:val="left"/>
      </w:pPr>
      <w:r>
        <w:rPr>
          <w:b w:val="false"/>
          <w:bCs w:val="false"/>
          <w:i/>
          <w:iCs/>
          <w:color w:val="222629"/>
          <w:sz w:val="20"/>
          <w:szCs w:val="20"/>
        </w:rPr>
        <w:t xml:space="preserve">The classification in the next table is Product’s proposal. Where Product has written "law or regulation", that is what Product believes and cannot prove. Compliance reclassifying a row downward is a valid and expected outcome, and several rows probably should move.</w:t>
      </w:r>
    </w:p>
    <w:p>
      <w:pPr>
        <w:pStyle w:val="Heading2"/>
        <w:keepNext/>
        <w:keepLines/>
        <w:pageBreakBefore/>
        <w:spacing w:after="120" w:before="0"/>
      </w:pPr>
      <w:r>
        <w:rPr>
          <w:b/>
          <w:bCs/>
          <w:color w:val="11304E"/>
          <w:sz w:val="24"/>
          <w:szCs w:val="24"/>
        </w:rPr>
        <w:t xml:space="preserve">6.3  The applicability schedule</w:t>
      </w:r>
    </w:p>
    <w:p>
      <w:pPr>
        <w:spacing w:after="120" w:before="0" w:line="276"/>
        <w:jc w:val="left"/>
      </w:pPr>
      <w:r>
        <w:rPr>
          <w:b w:val="false"/>
          <w:bCs w:val="false"/>
          <w:i w:val="false"/>
          <w:iCs w:val="false"/>
          <w:color w:val="222629"/>
          <w:sz w:val="20"/>
          <w:szCs w:val="20"/>
        </w:rPr>
        <w:t xml:space="preserve">One row per mandatory assertion. The source column records what the assertion actually rests on today — in most cases a description carried forward from the programme’s own obligation registry, which itself holds no clause-level citation.</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313"/>
        <w:gridCol w:w="1349"/>
        <w:gridCol w:w="1638"/>
        <w:gridCol w:w="4338"/>
      </w:tblGrid>
      <w:tr>
        <w:trPr>
          <w:cantSplit/>
          <w:tblHeader/>
        </w:trPr>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Assertion</w:t>
            </w:r>
          </w:p>
        </w:tc>
        <w:tc>
          <w:tcPr>
            <w:tcW w:type="dxa" w:w="134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Rules</w:t>
            </w:r>
          </w:p>
        </w:tc>
        <w:tc>
          <w:tcPr>
            <w:tcW w:type="dxa" w:w="163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Product’s proposed class</w:t>
            </w:r>
          </w:p>
        </w:tc>
        <w:tc>
          <w:tcPr>
            <w:tcW w:type="dxa" w:w="433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it rests on today, and what is missing</w:t>
            </w:r>
          </w:p>
        </w:tc>
      </w:tr>
      <w:tr>
        <w:trPr>
          <w:cantSplit/>
        </w:trPr>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documented suitability assessment must precede any quote, and bypassing it is unlawful</w:t>
            </w:r>
          </w:p>
        </w:tc>
        <w:tc>
          <w:tcPr>
            <w:tcW w:type="dxa" w:w="134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SUIT-R20, R25 – R28</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Law or regulation</w:t>
            </w:r>
          </w:p>
        </w:tc>
        <w:tc>
          <w:tcPr>
            <w:tcW w:type="dxa" w:w="43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entry in the programme’s obligation registry describing an insurance-regulator expectation that a recommendation follows documented suitability analysis. No instrument, clause or date. The word "unlawful" is the programme’s characterisation and is not evidenced — see §6.4.</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Customer consent is required before personal data is processed for this purpose</w:t>
            </w:r>
          </w:p>
        </w:tc>
        <w:tc>
          <w:tcPr>
            <w:tcW w:type="dxa" w:w="134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CNS-DP, CNS-SOL, CNS-R37</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Law or regulation</w:t>
            </w:r>
          </w:p>
        </w:tc>
        <w:tc>
          <w:tcPr>
            <w:tcW w:type="dxa" w:w="43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India’s data-protection statute is the obvious candidate instrument, but no clause, no commencement position and no applicability determination has been recorded. Whether the bank is controller at each step is itself open (§6.1).</w:t>
            </w:r>
          </w:p>
        </w:tc>
      </w:tr>
      <w:tr>
        <w:trPr>
          <w:cantSplit/>
        </w:trPr>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must be verifiable, and verified to the customer’s registered mobile number</w:t>
            </w:r>
          </w:p>
        </w:tc>
        <w:tc>
          <w:tcPr>
            <w:tcW w:type="dxa" w:w="134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CNS-R10, CNS-R11</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Law or regulation</w:t>
            </w:r>
          </w:p>
        </w:tc>
        <w:tc>
          <w:tcPr>
            <w:tcW w:type="dxa" w:w="43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Described as an insurance-regulator expectation of verifiable digital consent. No citation. The specific requirement that the number be the one held in bank records is Product’s addition.</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Staff must not be able to complete the customer’s acknowledgement on a staff device</w:t>
            </w:r>
          </w:p>
        </w:tc>
        <w:tc>
          <w:tcPr>
            <w:tcW w:type="dxa" w:w="134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CNS-R13, SUIT-R42</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Product proposal, by analogy</w:t>
            </w:r>
          </w:p>
        </w:tc>
        <w:tc>
          <w:tcPr>
            <w:tcW w:type="dxa" w:w="43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Product reasoning by analogy from the payment-device separation principle. Product does not claim a consent-specific rule exists and asks Compliance to confirm whether one does.</w:t>
            </w:r>
          </w:p>
        </w:tc>
      </w:tr>
      <w:tr>
        <w:trPr>
          <w:cantSplit/>
        </w:trPr>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and assessment evidence must be retained for seven years</w:t>
            </w:r>
          </w:p>
        </w:tc>
        <w:tc>
          <w:tcPr>
            <w:tcW w:type="dxa" w:w="134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CNS-R33 – R33c, SUIT-R24</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Law or regulation</w:t>
            </w:r>
          </w:p>
        </w:tc>
        <w:tc>
          <w:tcPr>
            <w:tcW w:type="dxa" w:w="43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Described as a record-preservation requirement. The seven-year figure is carried from the programme baseline with no instrument named. Whether the clock runs from the record, the policy or the relationship is undetermined and changes the design.</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All records, backups and logs must remain within India</w:t>
            </w:r>
          </w:p>
        </w:tc>
        <w:tc>
          <w:tcPr>
            <w:tcW w:type="dxa" w:w="134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CNS-R34</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Law or regulation</w:t>
            </w:r>
          </w:p>
        </w:tc>
        <w:tc>
          <w:tcPr>
            <w:tcW w:type="dxa" w:w="43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Carried from the programme’s non-waivable control list. Which instrument imposes it, and on which entity, is unrecorded. Product treats it as non-waivable and asks Compliance to confirm the basis.</w:t>
            </w:r>
          </w:p>
        </w:tc>
      </w:tr>
      <w:tr>
        <w:trPr>
          <w:cantSplit/>
        </w:trPr>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customer may withdraw consent at any time</w:t>
            </w:r>
          </w:p>
        </w:tc>
        <w:tc>
          <w:tcPr>
            <w:tcW w:type="dxa" w:w="134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CNS-R27 – R32</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Law or regulation</w:t>
            </w:r>
          </w:p>
        </w:tc>
        <w:tc>
          <w:tcPr>
            <w:tcW w:type="dxa" w:w="43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data-protection withdrawal right is the presumed basis. No clause. The consequence Product has designed — halting the journey — is a Product choice, not a stated legal requirement.</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and assessment records must be immutable and attributable</w:t>
            </w:r>
          </w:p>
        </w:tc>
        <w:tc>
          <w:tcPr>
            <w:tcW w:type="dxa" w:w="134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CNS-R16 – R20, SUIT-R23 – R23b</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Law or regulation, plus good practice</w:t>
            </w:r>
          </w:p>
        </w:tc>
        <w:tc>
          <w:tcPr>
            <w:tcW w:type="dxa" w:w="43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audit-trail expectation is described in the registry. The specific mechanism — append-only enforced by database privilege — is Product and Architecture’s design, claimed as good practice only.</w:t>
            </w:r>
          </w:p>
        </w:tc>
      </w:tr>
      <w:tr>
        <w:trPr>
          <w:cantSplit/>
        </w:trPr>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lasts 90 days, insurer-sharing consent 30 days</w:t>
            </w:r>
          </w:p>
        </w:tc>
        <w:tc>
          <w:tcPr>
            <w:tcW w:type="dxa" w:w="134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CNS-R21, R22</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Product proposal</w:t>
            </w:r>
          </w:p>
        </w:tc>
        <w:tc>
          <w:tcPr>
            <w:tcW w:type="dxa" w:w="433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 external basis claimed.</w:t>
            </w:r>
            <w:r>
              <w:rPr>
                <w:b w:val="false"/>
                <w:bCs w:val="false"/>
                <w:i w:val="false"/>
                <w:iCs w:val="false"/>
                <w:color w:val="222629"/>
                <w:sz w:val="18"/>
                <w:szCs w:val="18"/>
              </w:rPr>
              <w:t xml:space="preserve"> These are Product’s calibration. Compliance may set any values. Raised as OPEN-CNS-03.</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suitability assessment lasts 30 days</w:t>
            </w:r>
          </w:p>
        </w:tc>
        <w:tc>
          <w:tcPr>
            <w:tcW w:type="dxa" w:w="134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SUIT-R29</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Product proposal</w:t>
            </w:r>
          </w:p>
        </w:tc>
        <w:tc>
          <w:tcPr>
            <w:tcW w:type="dxa" w:w="433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 external basis claimed.</w:t>
            </w:r>
            <w:r>
              <w:rPr>
                <w:b w:val="false"/>
                <w:bCs w:val="false"/>
                <w:i w:val="false"/>
                <w:iCs w:val="false"/>
                <w:color w:val="222629"/>
                <w:sz w:val="18"/>
                <w:szCs w:val="18"/>
              </w:rPr>
              <w:t xml:space="preserve"> Product’s calibration. Raised as OPEN-SUIT-04.</w:t>
            </w:r>
          </w:p>
        </w:tc>
      </w:tr>
      <w:tr>
        <w:trPr>
          <w:cantSplit/>
        </w:trPr>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not-suitable outcome may never be overridden</w:t>
            </w:r>
          </w:p>
        </w:tc>
        <w:tc>
          <w:tcPr>
            <w:tcW w:type="dxa" w:w="134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SUIT-R38 – R40</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Product proposal, on mis-selling grounds</w:t>
            </w:r>
          </w:p>
        </w:tc>
        <w:tc>
          <w:tcPr>
            <w:tcW w:type="dxa" w:w="43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Product’s position, argued from audit exposure rather than from a cited prohibition. Product believes it is the right rule regardless of whether any instrument requires it, and says so rather than dressing it as a legal mandate.</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caution outcome obliges a specific disclosure, acknowledged by the customer</w:t>
            </w:r>
          </w:p>
        </w:tc>
        <w:tc>
          <w:tcPr>
            <w:tcW w:type="dxa" w:w="134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SUIT-R41 – R43</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Regulator guidance, presumed</w:t>
            </w:r>
          </w:p>
        </w:tc>
        <w:tc>
          <w:tcPr>
            <w:tcW w:type="dxa" w:w="43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Presumed to follow from suitability and disclosure expectations. Not cited. The acknowledgement mechanism is Product’s design.</w:t>
            </w:r>
          </w:p>
        </w:tc>
      </w:tr>
      <w:tr>
        <w:trPr>
          <w:cantSplit/>
        </w:trPr>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Replacing an existing policy obliges a specific disclosure before quote</w:t>
            </w:r>
          </w:p>
        </w:tc>
        <w:tc>
          <w:tcPr>
            <w:tcW w:type="dxa" w:w="134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SUIT-R46, R47</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Regulator guidance, presumed</w:t>
            </w:r>
          </w:p>
        </w:tc>
        <w:tc>
          <w:tcPr>
            <w:tcW w:type="dxa" w:w="43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Replacement disclosure is a well-established expectation in life distribution; the instrument that imposes it here is not identified, and its exact content requirements are unknown to Product.</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consent naming a panel of insurers can be specific enough, if bound to one by the customer’s selection</w:t>
            </w:r>
          </w:p>
        </w:tc>
        <w:tc>
          <w:tcPr>
            <w:tcW w:type="dxa" w:w="134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Proposed CNS-R22 to R22d (§11)</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Product proposal — permissibility unknown</w:t>
            </w:r>
          </w:p>
        </w:tc>
        <w:tc>
          <w:tcPr>
            <w:tcW w:type="dxa" w:w="4338"/>
            <w:shd w:fill="F1F5F8" w:color="auto" w:val="clear"/>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This is the one Product least expects to survive unchanged.</w:t>
            </w:r>
            <w:r>
              <w:rPr>
                <w:b w:val="false"/>
                <w:bCs w:val="false"/>
                <w:i w:val="false"/>
                <w:iCs w:val="false"/>
                <w:color w:val="222629"/>
                <w:sz w:val="18"/>
                <w:szCs w:val="18"/>
              </w:rPr>
              <w:t xml:space="preserve"> It is a Product design offered for determination, raised as OPEN-CNS-06, with a fallback at §11.6 if refused.</w:t>
            </w:r>
          </w:p>
        </w:tc>
      </w:tr>
      <w:tr>
        <w:trPr>
          <w:cantSplit/>
        </w:trPr>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Statement wording must be immutable, versioned, and classified by Compliance</w:t>
            </w:r>
          </w:p>
        </w:tc>
        <w:tc>
          <w:tcPr>
            <w:tcW w:type="dxa" w:w="134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CNS-R01 – R09</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Good practice, plus Product proposal</w:t>
            </w:r>
          </w:p>
        </w:tc>
        <w:tc>
          <w:tcPr>
            <w:tcW w:type="dxa" w:w="43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 external basis claimed for the mechanism. Product asserts only that evidence with mutable text proves nothing later. The wording itself is Compliance-authored and is not in these packs.</w:t>
            </w:r>
          </w:p>
        </w:tc>
      </w:tr>
    </w:tbl>
    <w:p>
      <w:pPr>
        <w:pStyle w:val="Heading2"/>
        <w:keepNext/>
        <w:keepLines/>
        <w:pageBreakBefore/>
        <w:spacing w:after="120" w:before="0"/>
      </w:pPr>
      <w:r>
        <w:rPr>
          <w:b/>
          <w:bCs/>
          <w:color w:val="11304E"/>
          <w:sz w:val="24"/>
          <w:szCs w:val="24"/>
        </w:rPr>
        <w:t xml:space="preserve">6.4  Assertions Product has withdrawn or downgraded</w:t>
      </w:r>
    </w:p>
    <w:p>
      <w:pPr>
        <w:spacing w:after="120" w:before="0" w:line="276"/>
        <w:jc w:val="left"/>
      </w:pPr>
      <w:r>
        <w:rPr>
          <w:b w:val="false"/>
          <w:bCs w:val="false"/>
          <w:i w:val="false"/>
          <w:iCs w:val="false"/>
          <w:color w:val="222629"/>
          <w:sz w:val="20"/>
          <w:szCs w:val="20"/>
        </w:rPr>
        <w:t xml:space="preserve">Three statements in the earlier drafting claimed more than Product can support. They are corrected here rather than quietly softened.</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3277"/>
        <w:gridCol w:w="6361"/>
      </w:tblGrid>
      <w:tr>
        <w:trPr>
          <w:cantSplit/>
          <w:tblHeader/>
        </w:trPr>
        <w:tc>
          <w:tcPr>
            <w:tcW w:type="dxa" w:w="327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Statement as drafted</w:t>
            </w:r>
          </w:p>
        </w:tc>
        <w:tc>
          <w:tcPr>
            <w:tcW w:type="dxa" w:w="636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Corrected position</w:t>
            </w:r>
          </w:p>
        </w:tc>
      </w:tr>
      <w:tr>
        <w:trPr>
          <w:cantSplit/>
        </w:trPr>
        <w:tc>
          <w:tcPr>
            <w:tcW w:type="dxa" w:w="327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"Bypassing suitability before quote is unlawful."</w:t>
            </w:r>
          </w:p>
        </w:tc>
        <w:tc>
          <w:tcPr>
            <w:tcW w:type="dxa" w:w="636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programme’s own baseline characterises it that way. Product repeats the characterisation and does not evidence it. Read it as: the programme treats this as a legal exposure it will not accept. Whether it is unlawful is for Compliance to determine, and the control is worth having either way.</w:t>
            </w:r>
          </w:p>
        </w:tc>
      </w:tr>
      <w:tr>
        <w:trPr>
          <w:cantSplit/>
        </w:trPr>
        <w:tc>
          <w:tcPr>
            <w:tcW w:type="dxa" w:w="3277"/>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"Data residency is non-waivable."</w:t>
            </w:r>
          </w:p>
        </w:tc>
        <w:tc>
          <w:tcPr>
            <w:tcW w:type="dxa" w:w="636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It is on the programme’s non-waivable control list, which is an internal instrument. Whether an external rule also imposes it, and on which entity, is undetermined.</w:t>
            </w:r>
          </w:p>
        </w:tc>
      </w:tr>
      <w:tr>
        <w:trPr>
          <w:cantSplit/>
        </w:trPr>
        <w:tc>
          <w:tcPr>
            <w:tcW w:type="dxa" w:w="327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"Seven-year retention is required."</w:t>
            </w:r>
          </w:p>
        </w:tc>
        <w:tc>
          <w:tcPr>
            <w:tcW w:type="dxa" w:w="636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Seven years is the figure the programme has carried from the outset. Product has not established the instrument, the trigger event, or whether a different period applies to consent evidence than to transaction records.</w:t>
            </w:r>
          </w:p>
        </w:tc>
      </w:tr>
    </w:tbl>
    <w:p>
      <w:pPr>
        <w:spacing w:after="140"/>
      </w:pPr>
      <w:r>
        <w:t xml:space="preserve"/>
      </w:r>
    </w:p>
    <w:p>
      <w:pPr>
        <w:keepNext/>
        <w:keepLines/>
        <w:pBdr>
          <w:top w:val="single" w:color="F1F5F8" w:sz="2" w:space="8"/>
          <w:left w:val="single" w:color="0F6E6E" w:sz="18" w:space="10"/>
          <w:right w:val="single" w:color="F1F5F8" w:sz="2" w:space="10"/>
        </w:pBdr>
        <w:shd w:fill="F1F5F8" w:color="auto" w:val="clear"/>
        <w:spacing w:after="100" w:before="140" w:line="276"/>
        <w:ind w:left="200" w:right="200"/>
      </w:pPr>
      <w:r>
        <w:rPr>
          <w:b/>
          <w:bCs/>
          <w:i w:val="false"/>
          <w:iCs w:val="false"/>
          <w:color w:val="0F6E6E"/>
          <w:sz w:val="20"/>
          <w:szCs w:val="20"/>
        </w:rPr>
        <w:t xml:space="preserve">What Product is asking for on this section</w:t>
      </w:r>
    </w:p>
    <w:p>
      <w:pPr>
        <w:keepNext w:val="false"/>
        <w:keepLines/>
        <w:pBdr>
          <w:bottom w:val="single" w:color="F1F5F8" w:sz="2" w:space="8"/>
          <w:left w:val="single" w:color="0F6E6E"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Not agreement. Completion. Product asks Compliance to take §6.3 as a worksheet: reclassify any row, supply instrument and clause where one exists, and mark the rows where no external obligation exists at all — because a control the bank keeps by choice is defensible, while a control the bank describes as legally required and cannot source is not. A signed Schedule A or B without this section completed approves the business behaviour of the controls, and nothing about their permissibility. Both schedules carry that limitation on their face.</w:t>
      </w:r>
    </w:p>
    <w:p>
      <w:pPr>
        <w:pStyle w:val="Heading1"/>
        <w:keepNext/>
        <w:keepLines/>
        <w:pageBreakBefore/>
        <w:pBdr>
          <w:bottom w:val="single" w:color="0F6E6E" w:sz="8" w:space="6"/>
        </w:pBdr>
        <w:spacing w:after="160" w:before="0"/>
      </w:pPr>
      <w:r>
        <w:rPr>
          <w:b/>
          <w:bCs/>
          <w:color w:val="11304E"/>
          <w:sz w:val="30"/>
          <w:szCs w:val="30"/>
        </w:rPr>
        <w:t xml:space="preserve">7.  How to read this document</w:t>
      </w:r>
    </w:p>
    <w:p>
      <w:pPr>
        <w:spacing w:after="120" w:before="0" w:line="276"/>
        <w:jc w:val="left"/>
      </w:pPr>
      <w:r>
        <w:rPr>
          <w:b w:val="false"/>
          <w:bCs w:val="false"/>
          <w:i w:val="false"/>
          <w:iCs w:val="false"/>
          <w:color w:val="222629"/>
          <w:sz w:val="20"/>
          <w:szCs w:val="20"/>
        </w:rPr>
        <w:t xml:space="preserve">Sections 6 and 7 are the decision schedules — one row per section of each pack, with a box to accept, amend or reject. Each row names the rules it covers and the section of Volume 2 or Volume 3 in which those rules are written out in full, in the same order.</w:t>
      </w:r>
    </w:p>
    <w:p>
      <w:pPr>
        <w:pStyle w:val="Heading2"/>
        <w:keepNext/>
        <w:keepLines/>
        <w:spacing w:after="100" w:before="220"/>
      </w:pPr>
      <w:r>
        <w:rPr>
          <w:b/>
          <w:bCs/>
          <w:color w:val="0F6E6E"/>
          <w:sz w:val="21"/>
          <w:szCs w:val="21"/>
        </w:rPr>
        <w:t xml:space="preserve">Conventions used in the rules</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120"/>
        <w:gridCol w:w="7518"/>
      </w:tblGrid>
      <w:tr>
        <w:trPr>
          <w:cantSplit/>
          <w:tblHeader/>
        </w:trPr>
        <w:tc>
          <w:tcPr>
            <w:tcW w:type="dxa" w:w="212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Element</w:t>
            </w:r>
          </w:p>
        </w:tc>
        <w:tc>
          <w:tcPr>
            <w:tcW w:type="dxa" w:w="751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Meaning</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MUST / MUST NOT / MAY</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Used in the RFC 2119 sense. MUST is an obligation, MUST NOT is a prohibition, MAY is a permission that creates no obligation.</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Rule identifier</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CNS-Rnn for consent rules, SUIT-Rnn for suitability rules. Identifiers are permanent: a rule that is withdrawn keeps its number and is marked withdrawn, so that a reference in a later document never silently changes meaning.</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Conformance demonstration</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observable condition that separates pass from fail. Every rule has one. A rule that could not be stated with a test was not admitted to either pack, because a control nobody can test is a control nobody can evidence.</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Enforced at</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the control will live: the API, the data store, the user interface, the notification service, the infrastructure, or a documented process. This matters because a control enforced only in a screen can be bypassed by anything that does not use the screen.</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Obligation codes</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Printed in small type beneath each rule identifier, for example OBL-DP-02 or OBL-INS-02. They name the obligation the rule exists to serve, and they are defined in Appendix A. A rule that carries no code is Product design with no external obligation claimed for it — that is deliberate signalling, not an omission.</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Error codes</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Written in capitals, for example CONSENT_EXPIRED. These are the machine-readable reasons a request is refused; the plain-language message shown to staff is given separately in Volume 2, §11.</w:t>
            </w:r>
          </w:p>
        </w:tc>
      </w:tr>
    </w:tbl>
    <w:p>
      <w:pPr>
        <w:spacing w:after="120"/>
      </w:pPr>
      <w:r>
        <w:t xml:space="preserve"/>
      </w:r>
    </w:p>
    <w:p>
      <w:pPr>
        <w:keepNext/>
        <w:keepLines/>
        <w:pBdr>
          <w:top w:val="single" w:color="F1F5F8" w:sz="2" w:space="8"/>
          <w:left w:val="single" w:color="0F6E6E" w:sz="18" w:space="10"/>
          <w:right w:val="single" w:color="F1F5F8" w:sz="2" w:space="10"/>
        </w:pBdr>
        <w:shd w:fill="F1F5F8" w:color="auto" w:val="clear"/>
        <w:spacing w:after="100" w:before="140" w:line="276"/>
        <w:ind w:left="200" w:right="200"/>
      </w:pPr>
      <w:r>
        <w:rPr>
          <w:b/>
          <w:bCs/>
          <w:i w:val="false"/>
          <w:iCs w:val="false"/>
          <w:color w:val="0F6E6E"/>
          <w:sz w:val="20"/>
          <w:szCs w:val="20"/>
        </w:rPr>
        <w:t xml:space="preserve">Internal codes</w:t>
      </w:r>
    </w:p>
    <w:p>
      <w:pPr>
        <w:keepNext w:val="false"/>
        <w:keepLines/>
        <w:pBdr>
          <w:bottom w:val="single" w:color="F1F5F8" w:sz="2" w:space="8"/>
          <w:left w:val="single" w:color="0F6E6E"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This document avoids the delivery organisation’s internal shorthand. Where a programme code could not sensibly be removed — the rule identifiers, and the identifier of the suitability algorithm — it is explained at the point it appears. The Appendix to this volume, Part 2, lists every such code, what it means, and how these documents refer to it instead. Nothing in this approval requires any of them to be known.</w:t>
      </w:r>
    </w:p>
    <w:p>
      <w:pPr>
        <w:spacing w:after="140"/>
      </w:pPr>
      <w:r>
        <w:t xml:space="preserve"/>
      </w:r>
    </w:p>
    <w:p>
      <w:pPr>
        <w:pStyle w:val="Heading3"/>
        <w:keepNext/>
        <w:keepLines/>
        <w:spacing w:after="100" w:before="220"/>
      </w:pPr>
      <w:r>
        <w:rPr>
          <w:b/>
          <w:bCs/>
          <w:color w:val="0F6E6E"/>
          <w:sz w:val="21"/>
          <w:szCs w:val="21"/>
        </w:rPr>
        <w:t xml:space="preserve">Design commitments Compliance can hold the build to</w:t>
      </w:r>
    </w:p>
    <w:p>
      <w:pPr>
        <w:spacing w:after="120" w:before="0" w:line="276"/>
        <w:jc w:val="left"/>
      </w:pPr>
      <w:r>
        <w:rPr>
          <w:b w:val="false"/>
          <w:bCs w:val="false"/>
          <w:i w:val="false"/>
          <w:iCs w:val="false"/>
          <w:color w:val="222629"/>
          <w:sz w:val="20"/>
          <w:szCs w:val="20"/>
        </w:rPr>
        <w:t xml:space="preserve">Four commitments about how these controls will be constructed. They are recorded here because they are the difference between a rule that is enforced and a rule that is merely intended, and because Compliance should be able to hold the build to them later.</w:t>
      </w:r>
    </w:p>
    <w:p>
      <w:pPr>
        <w:pStyle w:val="ListParagraph"/>
        <w:numPr>
          <w:ilvl w:val="0"/>
          <w:numId w:val="2"/>
        </w:numPr>
        <w:spacing w:after="80" w:line="276"/>
      </w:pPr>
      <w:r>
        <w:rPr>
          <w:b/>
          <w:bCs/>
          <w:i w:val="false"/>
          <w:iCs w:val="false"/>
          <w:color w:val="222629"/>
          <w:sz w:val="20"/>
          <w:szCs w:val="20"/>
        </w:rPr>
        <w:t xml:space="preserve">Consent will be a structural precondition, not a runtime check. </w:t>
      </w:r>
      <w:r>
        <w:rPr>
          <w:b w:val="false"/>
          <w:bCs w:val="false"/>
          <w:i w:val="false"/>
          <w:iCs w:val="false"/>
          <w:color w:val="222629"/>
          <w:sz w:val="20"/>
          <w:szCs w:val="20"/>
        </w:rPr>
        <w:t xml:space="preserve">Operations that require consent will be built so that they cannot be invoked without proof of a valid, unexpired grant. The intent is that "submit a proposal without consent" fails at build time rather than relying on a developer remembering to check.</w:t>
      </w:r>
    </w:p>
    <w:p>
      <w:pPr>
        <w:pStyle w:val="ListParagraph"/>
        <w:numPr>
          <w:ilvl w:val="0"/>
          <w:numId w:val="2"/>
        </w:numPr>
        <w:spacing w:after="80" w:line="276"/>
      </w:pPr>
      <w:r>
        <w:rPr>
          <w:b/>
          <w:bCs/>
          <w:i w:val="false"/>
          <w:iCs w:val="false"/>
          <w:color w:val="222629"/>
          <w:sz w:val="20"/>
          <w:szCs w:val="20"/>
        </w:rPr>
        <w:t xml:space="preserve">The relationship manager’s device will have no field for the customer’s one-time password. </w:t>
      </w:r>
      <w:r>
        <w:rPr>
          <w:b w:val="false"/>
          <w:bCs w:val="false"/>
          <w:i w:val="false"/>
          <w:iCs w:val="false"/>
          <w:color w:val="222629"/>
          <w:sz w:val="20"/>
          <w:szCs w:val="20"/>
        </w:rPr>
        <w:t xml:space="preserve">Where the code is sent to the customer’s own phone, the staff-facing screen will show pending or verified status and a resend control, and nothing that can be typed into. This is the consent equivalent of the payment-device separation principle.</w:t>
      </w:r>
    </w:p>
    <w:p>
      <w:pPr>
        <w:pStyle w:val="ListParagraph"/>
        <w:numPr>
          <w:ilvl w:val="0"/>
          <w:numId w:val="2"/>
        </w:numPr>
        <w:spacing w:after="80" w:line="276"/>
      </w:pPr>
      <w:r>
        <w:rPr>
          <w:b/>
          <w:bCs/>
          <w:i w:val="false"/>
          <w:iCs w:val="false"/>
          <w:color w:val="222629"/>
          <w:sz w:val="20"/>
          <w:szCs w:val="20"/>
        </w:rPr>
        <w:t xml:space="preserve">The suitability gate will sit at the server-side quote interface. </w:t>
      </w:r>
      <w:r>
        <w:rPr>
          <w:b w:val="false"/>
          <w:bCs w:val="false"/>
          <w:i w:val="false"/>
          <w:iCs w:val="false"/>
          <w:color w:val="222629"/>
          <w:sz w:val="20"/>
          <w:szCs w:val="20"/>
        </w:rPr>
        <w:t xml:space="preserve">Not in the screen, not in the layer that serves the screen, and not at the insurer aggregator. A gate in front of one door is not a gate.</w:t>
      </w:r>
    </w:p>
    <w:p>
      <w:pPr>
        <w:pStyle w:val="ListParagraph"/>
        <w:numPr>
          <w:ilvl w:val="0"/>
          <w:numId w:val="2"/>
        </w:numPr>
        <w:spacing w:after="80" w:line="276"/>
      </w:pPr>
      <w:r>
        <w:rPr>
          <w:b/>
          <w:bCs/>
          <w:i w:val="false"/>
          <w:iCs w:val="false"/>
          <w:color w:val="222629"/>
          <w:sz w:val="20"/>
          <w:szCs w:val="20"/>
        </w:rPr>
        <w:t xml:space="preserve">Immutability will be enforced by database privilege. </w:t>
      </w:r>
      <w:r>
        <w:rPr>
          <w:b w:val="false"/>
          <w:bCs w:val="false"/>
          <w:i w:val="false"/>
          <w:iCs w:val="false"/>
          <w:color w:val="222629"/>
          <w:sz w:val="20"/>
          <w:szCs w:val="20"/>
        </w:rPr>
        <w:t xml:space="preserve">The application’s database account will hold no update or delete right on the consent or evaluation records, so append-only survives a code change made under pressure.</w:t>
      </w:r>
    </w:p>
    <w:p>
      <w:pPr>
        <w:pStyle w:val="Heading1"/>
        <w:keepNext/>
        <w:keepLines/>
        <w:pageBreakBefore/>
        <w:pBdr>
          <w:bottom w:val="single" w:color="0F6E6E" w:sz="8" w:space="6"/>
        </w:pBdr>
        <w:spacing w:after="160" w:before="0"/>
      </w:pPr>
      <w:r>
        <w:rPr>
          <w:b/>
          <w:bCs/>
          <w:color w:val="11304E"/>
          <w:sz w:val="30"/>
          <w:szCs w:val="30"/>
        </w:rPr>
        <w:t xml:space="preserve">8.  Decision Schedule A — Consent Rule Pack</w:t>
      </w:r>
    </w:p>
    <w:p>
      <w:pPr>
        <w:spacing w:after="120" w:before="0" w:line="276"/>
        <w:jc w:val="left"/>
      </w:pPr>
      <w:r>
        <w:rPr>
          <w:b w:val="false"/>
          <w:bCs w:val="false"/>
          <w:i w:val="false"/>
          <w:iCs w:val="false"/>
          <w:color w:val="222629"/>
          <w:sz w:val="20"/>
          <w:szCs w:val="20"/>
        </w:rPr>
        <w:t xml:space="preserve">Mark one box per row. An amendment does not reject the pack: write the amendment in the sign-off sheet at §14 and the pack will be reissued at v1.2 carrying your text and naming you as the amending authority. A row left blank is treated as not approved. The last line of each subject cell gives the section of Volume 2 where those rules are written out in full.</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675"/>
        <w:gridCol w:w="2217"/>
        <w:gridCol w:w="4433"/>
        <w:gridCol w:w="2313"/>
      </w:tblGrid>
      <w:tr>
        <w:trPr>
          <w:cantSplit/>
          <w:tblHeader/>
        </w:trPr>
        <w:tc>
          <w:tcPr>
            <w:tcW w:type="dxa" w:w="67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Ref</w:t>
            </w:r>
          </w:p>
        </w:tc>
        <w:tc>
          <w:tcPr>
            <w:tcW w:type="dxa" w:w="221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Subject and rules</w:t>
            </w:r>
          </w:p>
        </w:tc>
        <w:tc>
          <w:tcPr>
            <w:tcW w:type="dxa" w:w="443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approval certifies</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Decision</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A.1</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Consent events</w:t>
            </w:r>
            <w:r>
              <w:rPr>
                <w:b/>
                <w:bCs/>
                <w:i w:val="false"/>
                <w:iCs w:val="false"/>
                <w:color w:val="222629"/>
                <w:sz w:val="18"/>
                <w:szCs w:val="18"/>
              </w:rPr>
              <w:br/>
              <w:t xml:space="preserve"/>
            </w:r>
            <w:r>
              <w:rPr>
                <w:b w:val="false"/>
                <w:bCs w:val="false"/>
                <w:i w:val="false"/>
                <w:iCs w:val="false"/>
                <w:color w:val="222629"/>
                <w:sz w:val="18"/>
                <w:szCs w:val="18"/>
              </w:rPr>
              <w:t xml:space="preserve">4 consent events</w:t>
            </w:r>
            <w:r>
              <w:rPr>
                <w:b w:val="false"/>
                <w:bCs w:val="false"/>
                <w:i w:val="false"/>
                <w:iCs w:val="false"/>
                <w:color w:val="222629"/>
                <w:sz w:val="18"/>
                <w:szCs w:val="18"/>
              </w:rPr>
              <w:br/>
              <w:t xml:space="preserve">Volume 2, §1</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data processing, solicitation, insurer sharing and servicing communications are the right set of consent events for the first release, and that each blocks the journey at the point named.</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A.2</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Statement identity and versioning</w:t>
            </w:r>
            <w:r>
              <w:rPr>
                <w:b/>
                <w:bCs/>
                <w:i w:val="false"/>
                <w:iCs w:val="false"/>
                <w:color w:val="222629"/>
                <w:sz w:val="18"/>
                <w:szCs w:val="18"/>
              </w:rPr>
              <w:br/>
              <w:t xml:space="preserve"/>
            </w:r>
            <w:r>
              <w:rPr>
                <w:b w:val="false"/>
                <w:bCs w:val="false"/>
                <w:i w:val="false"/>
                <w:iCs w:val="false"/>
                <w:color w:val="222629"/>
                <w:sz w:val="18"/>
                <w:szCs w:val="18"/>
              </w:rPr>
              <w:t xml:space="preserve">CNS-R01 – CNS-R04</w:t>
            </w:r>
            <w:r>
              <w:rPr>
                <w:b w:val="false"/>
                <w:bCs w:val="false"/>
                <w:i w:val="false"/>
                <w:iCs w:val="false"/>
                <w:color w:val="222629"/>
                <w:sz w:val="18"/>
                <w:szCs w:val="18"/>
              </w:rPr>
              <w:br/>
              <w:t xml:space="preserve">Volume 2, §2</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every capture stores the statement identifier, its version, the exact text shown to the customer and a cryptographic hash of that text; that published text can never be edited; and that only Compliance may classify a wording change as material or non-material.</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A.3</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Version change and journeys in flight</w:t>
            </w:r>
            <w:r>
              <w:rPr>
                <w:b/>
                <w:bCs/>
                <w:i w:val="false"/>
                <w:iCs w:val="false"/>
                <w:color w:val="222629"/>
                <w:sz w:val="18"/>
                <w:szCs w:val="18"/>
              </w:rPr>
              <w:br/>
              <w:t xml:space="preserve"/>
            </w:r>
            <w:r>
              <w:rPr>
                <w:b w:val="false"/>
                <w:bCs w:val="false"/>
                <w:i w:val="false"/>
                <w:iCs w:val="false"/>
                <w:color w:val="222629"/>
                <w:sz w:val="18"/>
                <w:szCs w:val="18"/>
              </w:rPr>
              <w:t xml:space="preserve">CNS-R05 – CNS-R07</w:t>
            </w:r>
            <w:r>
              <w:rPr>
                <w:b w:val="false"/>
                <w:bCs w:val="false"/>
                <w:i w:val="false"/>
                <w:iCs w:val="false"/>
                <w:color w:val="222629"/>
                <w:sz w:val="18"/>
                <w:szCs w:val="18"/>
              </w:rPr>
              <w:br/>
              <w:t xml:space="preserve">Volume 2, §3</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a material change re-prompts only journeys that have not yet passed the point the consent gates, and that journeys past that point continue under the version they captured.</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A.4</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Language</w:t>
            </w:r>
            <w:r>
              <w:rPr>
                <w:b/>
                <w:bCs/>
                <w:i w:val="false"/>
                <w:iCs w:val="false"/>
                <w:color w:val="222629"/>
                <w:sz w:val="18"/>
                <w:szCs w:val="18"/>
              </w:rPr>
              <w:br/>
              <w:t xml:space="preserve"/>
            </w:r>
            <w:r>
              <w:rPr>
                <w:b w:val="false"/>
                <w:bCs w:val="false"/>
                <w:i w:val="false"/>
                <w:iCs w:val="false"/>
                <w:color w:val="222629"/>
                <w:sz w:val="18"/>
                <w:szCs w:val="18"/>
              </w:rPr>
              <w:t xml:space="preserve">CNS-R08 – CNS-R09</w:t>
            </w:r>
            <w:r>
              <w:rPr>
                <w:b w:val="false"/>
                <w:bCs w:val="false"/>
                <w:i w:val="false"/>
                <w:iCs w:val="false"/>
                <w:color w:val="222629"/>
                <w:sz w:val="18"/>
                <w:szCs w:val="18"/>
              </w:rPr>
              <w:br/>
              <w:t xml:space="preserve">Volume 2, §4</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the language shown is recorded on the record, and that a translated statement is separately Compliance-approved rather than inheriting approval from its source language.</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A.5</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Capture mechanism</w:t>
            </w:r>
            <w:r>
              <w:rPr>
                <w:b/>
                <w:bCs/>
                <w:i w:val="false"/>
                <w:iCs w:val="false"/>
                <w:color w:val="222629"/>
                <w:sz w:val="18"/>
                <w:szCs w:val="18"/>
              </w:rPr>
              <w:br/>
              <w:t xml:space="preserve"/>
            </w:r>
            <w:r>
              <w:rPr>
                <w:b w:val="false"/>
                <w:bCs w:val="false"/>
                <w:i w:val="false"/>
                <w:iCs w:val="false"/>
                <w:color w:val="222629"/>
                <w:sz w:val="18"/>
                <w:szCs w:val="18"/>
              </w:rPr>
              <w:t xml:space="preserve">CNS-R10 – CNS-R15</w:t>
            </w:r>
            <w:r>
              <w:rPr>
                <w:b w:val="false"/>
                <w:bCs w:val="false"/>
                <w:i w:val="false"/>
                <w:iCs w:val="false"/>
                <w:color w:val="222629"/>
                <w:sz w:val="18"/>
                <w:szCs w:val="18"/>
              </w:rPr>
              <w:br/>
              <w:t xml:space="preserve">Volume 2, §5</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consent requires a verified one-time password sent to the customer’s bank-registered mobile number; that no acknowledgement control is pre-selected; that staff cannot complete a customer-device confirmation; and the 10-minute validity, 3-attempt and 5-issue limits.</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A.6</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evidence record</w:t>
            </w:r>
            <w:r>
              <w:rPr>
                <w:b/>
                <w:bCs/>
                <w:i w:val="false"/>
                <w:iCs w:val="false"/>
                <w:color w:val="222629"/>
                <w:sz w:val="18"/>
                <w:szCs w:val="18"/>
              </w:rPr>
              <w:br/>
              <w:t xml:space="preserve"/>
            </w:r>
            <w:r>
              <w:rPr>
                <w:b w:val="false"/>
                <w:bCs w:val="false"/>
                <w:i w:val="false"/>
                <w:iCs w:val="false"/>
                <w:color w:val="222629"/>
                <w:sz w:val="18"/>
                <w:szCs w:val="18"/>
              </w:rPr>
              <w:t xml:space="preserve">24 fields</w:t>
            </w:r>
            <w:r>
              <w:rPr>
                <w:b w:val="false"/>
                <w:bCs w:val="false"/>
                <w:i w:val="false"/>
                <w:iCs w:val="false"/>
                <w:color w:val="222629"/>
                <w:sz w:val="18"/>
                <w:szCs w:val="18"/>
              </w:rPr>
              <w:br/>
              <w:t xml:space="preserve">Volume 2, §6</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these 24 fields are sufficient to defend a single consent at audit three years after it was given, and that the classification of each field is correct.</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A.7</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Immutability</w:t>
            </w:r>
            <w:r>
              <w:rPr>
                <w:b/>
                <w:bCs/>
                <w:i w:val="false"/>
                <w:iCs w:val="false"/>
                <w:color w:val="222629"/>
                <w:sz w:val="18"/>
                <w:szCs w:val="18"/>
              </w:rPr>
              <w:br/>
              <w:t xml:space="preserve"/>
            </w:r>
            <w:r>
              <w:rPr>
                <w:b w:val="false"/>
                <w:bCs w:val="false"/>
                <w:i w:val="false"/>
                <w:iCs w:val="false"/>
                <w:color w:val="222629"/>
                <w:sz w:val="18"/>
                <w:szCs w:val="18"/>
              </w:rPr>
              <w:t xml:space="preserve">CNS-R16 – CNS-R20</w:t>
            </w:r>
            <w:r>
              <w:rPr>
                <w:b w:val="false"/>
                <w:bCs w:val="false"/>
                <w:i w:val="false"/>
                <w:iCs w:val="false"/>
                <w:color w:val="222629"/>
                <w:sz w:val="18"/>
                <w:szCs w:val="18"/>
              </w:rPr>
              <w:br/>
              <w:t xml:space="preserve">Volume 2, §7</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the store is append-only by database privilege; that expiry, withdrawal and supersession are recorded as new records rather than edits; and that no restricted or confidential field appears in system logs.</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A.8</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Validity, expiry and reuse</w:t>
            </w:r>
            <w:r>
              <w:rPr>
                <w:b/>
                <w:bCs/>
                <w:i w:val="false"/>
                <w:iCs w:val="false"/>
                <w:color w:val="222629"/>
                <w:sz w:val="18"/>
                <w:szCs w:val="18"/>
              </w:rPr>
              <w:br/>
              <w:t xml:space="preserve"/>
            </w:r>
            <w:r>
              <w:rPr>
                <w:b w:val="false"/>
                <w:bCs w:val="false"/>
                <w:i w:val="false"/>
                <w:iCs w:val="false"/>
                <w:color w:val="222629"/>
                <w:sz w:val="18"/>
                <w:szCs w:val="18"/>
              </w:rPr>
              <w:t xml:space="preserve">CNS-R21 – CNS-R26</w:t>
            </w:r>
            <w:r>
              <w:rPr>
                <w:b w:val="false"/>
                <w:bCs w:val="false"/>
                <w:i w:val="false"/>
                <w:iCs w:val="false"/>
                <w:color w:val="222629"/>
                <w:sz w:val="18"/>
                <w:szCs w:val="18"/>
              </w:rPr>
              <w:br/>
              <w:t xml:space="preserve">Volume 2, §8</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90-day window for data processing and solicitation, the 30-day insurer-scoped window for sharing, no expiry for servicing communications, and reuse across journeys bounded by customer, event, scope and window.</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A.9</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Withdrawal</w:t>
            </w:r>
            <w:r>
              <w:rPr>
                <w:b/>
                <w:bCs/>
                <w:i w:val="false"/>
                <w:iCs w:val="false"/>
                <w:color w:val="222629"/>
                <w:sz w:val="18"/>
                <w:szCs w:val="18"/>
              </w:rPr>
              <w:br/>
              <w:t xml:space="preserve"/>
            </w:r>
            <w:r>
              <w:rPr>
                <w:b w:val="false"/>
                <w:bCs w:val="false"/>
                <w:i w:val="false"/>
                <w:iCs w:val="false"/>
                <w:color w:val="222629"/>
                <w:sz w:val="18"/>
                <w:szCs w:val="18"/>
              </w:rPr>
              <w:t xml:space="preserve">CNS-R27 – CNS-R32</w:t>
            </w:r>
            <w:r>
              <w:rPr>
                <w:b w:val="false"/>
                <w:bCs w:val="false"/>
                <w:i w:val="false"/>
                <w:iCs w:val="false"/>
                <w:color w:val="222629"/>
                <w:sz w:val="18"/>
                <w:szCs w:val="18"/>
              </w:rPr>
              <w:br/>
              <w:t xml:space="preserve">Volume 2, §9</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withdrawal is available at any time on the same verification terms as capture; that withdrawing data-processing or solicitation consent halts the journey; and that withdrawal after a proposal has been sent to an insurer is never presented to the customer as cancelling that submission.</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A.10</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Retention and retrieval</w:t>
            </w:r>
            <w:r>
              <w:rPr>
                <w:b/>
                <w:bCs/>
                <w:i w:val="false"/>
                <w:iCs w:val="false"/>
                <w:color w:val="222629"/>
                <w:sz w:val="18"/>
                <w:szCs w:val="18"/>
              </w:rPr>
              <w:br/>
              <w:t xml:space="preserve"/>
            </w:r>
            <w:r>
              <w:rPr>
                <w:b w:val="false"/>
                <w:bCs w:val="false"/>
                <w:i w:val="false"/>
                <w:iCs w:val="false"/>
                <w:color w:val="222629"/>
                <w:sz w:val="18"/>
                <w:szCs w:val="18"/>
              </w:rPr>
              <w:t xml:space="preserve">CNS-R33 – CNS-R36</w:t>
            </w:r>
            <w:r>
              <w:rPr>
                <w:b w:val="false"/>
                <w:bCs w:val="false"/>
                <w:i w:val="false"/>
                <w:iCs w:val="false"/>
                <w:color w:val="222629"/>
                <w:sz w:val="18"/>
                <w:szCs w:val="18"/>
              </w:rPr>
              <w:br/>
              <w:t xml:space="preserve">Volume 2, §10</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Seven years from the journey’s terminal state, write-once storage in an India region, one record retrievable within 4 business hours and a full journey bundle within 1 business day, and retention that cannot be shortened by a configuration change.</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A.11</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Failure behaviour</w:t>
            </w:r>
            <w:r>
              <w:rPr>
                <w:b/>
                <w:bCs/>
                <w:i w:val="false"/>
                <w:iCs w:val="false"/>
                <w:color w:val="222629"/>
                <w:sz w:val="18"/>
                <w:szCs w:val="18"/>
              </w:rPr>
              <w:br/>
              <w:t xml:space="preserve"/>
            </w:r>
            <w:r>
              <w:rPr>
                <w:b w:val="false"/>
                <w:bCs w:val="false"/>
                <w:i w:val="false"/>
                <w:iCs w:val="false"/>
                <w:color w:val="222629"/>
                <w:sz w:val="18"/>
                <w:szCs w:val="18"/>
              </w:rPr>
              <w:t xml:space="preserve">CNS-R37 – CNS-R38</w:t>
            </w:r>
            <w:r>
              <w:rPr>
                <w:b w:val="false"/>
                <w:bCs w:val="false"/>
                <w:i w:val="false"/>
                <w:iCs w:val="false"/>
                <w:color w:val="222629"/>
                <w:sz w:val="18"/>
                <w:szCs w:val="18"/>
              </w:rPr>
              <w:br/>
              <w:t xml:space="preserve">Volume 2, §11</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consent capture fails closed, that a customer-identity mismatch is treated as a security event rather than a business error, and that the plain-language messages shown to staff are appropriate.</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bl>
    <w:p>
      <w:pPr>
        <w:spacing w:after="140"/>
      </w:pPr>
      <w:r>
        <w:t xml:space="preserve"/>
      </w:r>
    </w:p>
    <w:p>
      <w:pPr>
        <w:keepNext/>
        <w:keepLines/>
        <w:pBdr>
          <w:top w:val="single" w:color="F1F5F8" w:sz="2" w:space="8"/>
          <w:left w:val="single" w:color="8A5A00" w:sz="18" w:space="10"/>
          <w:right w:val="single" w:color="F1F5F8" w:sz="2" w:space="10"/>
        </w:pBdr>
        <w:shd w:fill="F1F5F8" w:color="auto" w:val="clear"/>
        <w:spacing w:after="100" w:before="140" w:line="276"/>
        <w:ind w:left="200" w:right="200"/>
      </w:pPr>
      <w:r>
        <w:rPr>
          <w:b/>
          <w:bCs/>
          <w:i w:val="false"/>
          <w:iCs w:val="false"/>
          <w:color w:val="8A5A00"/>
          <w:sz w:val="20"/>
          <w:szCs w:val="20"/>
        </w:rPr>
        <w:t xml:space="preserve">One rule in Schedule A that Product asks you to test hardest</w:t>
      </w:r>
    </w:p>
    <w:p>
      <w:pPr>
        <w:keepNext w:val="false"/>
        <w:keepLines/>
        <w:pBdr>
          <w:bottom w:val="single" w:color="F1F5F8" w:sz="2" w:space="8"/>
          <w:left w:val="single" w:color="8A5A00"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CNS-R37 settles, for consent specifically, a question the business requirements left open — whether a failure to write an audit record should stop the business action or let it through. The Product position is that consent evidence is the artefact that makes the sale lawful, so a sale that proceeds without it is worse than a sale that fails. If Compliance takes a different view, please say so explicitly. This is not a rule that should be carried by silence.</w:t>
      </w:r>
    </w:p>
    <w:p>
      <w:pPr>
        <w:pStyle w:val="Heading1"/>
        <w:keepNext/>
        <w:keepLines/>
        <w:pageBreakBefore/>
        <w:pBdr>
          <w:bottom w:val="single" w:color="0F6E6E" w:sz="8" w:space="6"/>
        </w:pBdr>
        <w:spacing w:after="160" w:before="0"/>
      </w:pPr>
      <w:r>
        <w:rPr>
          <w:b/>
          <w:bCs/>
          <w:color w:val="11304E"/>
          <w:sz w:val="30"/>
          <w:szCs w:val="30"/>
        </w:rPr>
        <w:t xml:space="preserve">9.  Decision Schedule B — Suitability Rule Pack</w:t>
      </w:r>
    </w:p>
    <w:p>
      <w:pPr>
        <w:spacing w:after="120" w:before="0" w:line="276"/>
        <w:jc w:val="left"/>
      </w:pPr>
      <w:r>
        <w:rPr>
          <w:b w:val="false"/>
          <w:bCs w:val="false"/>
          <w:i w:val="false"/>
          <w:iCs w:val="false"/>
          <w:color w:val="222629"/>
          <w:sz w:val="20"/>
          <w:szCs w:val="20"/>
        </w:rPr>
        <w:t xml:space="preserve">The last line of each subject cell gives the section of Volume 3 where those rules are written out in full. One row is marked separately: row B.2 is the arithmetic, and it is the whole of decision D2b. Every other row is decision D2a, the structure, and can be signed without settling OPEN-SUIT-01.</w:t>
      </w:r>
    </w:p>
    <w:p>
      <w:pPr>
        <w:spacing w:after="80"/>
      </w:pPr>
      <w:r>
        <w:t xml:space="preserve"/>
      </w:r>
    </w:p>
    <w:p>
      <w:pPr>
        <w:keepNext/>
        <w:keepLines/>
        <w:pBdr>
          <w:top w:val="single" w:color="F1F5F8" w:sz="2" w:space="8"/>
          <w:left w:val="single" w:color="8A5A00" w:sz="18" w:space="10"/>
          <w:right w:val="single" w:color="F1F5F8" w:sz="2" w:space="10"/>
        </w:pBdr>
        <w:shd w:fill="F1F5F8" w:color="auto" w:val="clear"/>
        <w:spacing w:after="100" w:before="140" w:line="276"/>
        <w:ind w:left="200" w:right="200"/>
      </w:pPr>
      <w:r>
        <w:rPr>
          <w:b/>
          <w:bCs/>
          <w:i w:val="false"/>
          <w:iCs w:val="false"/>
          <w:color w:val="8A5A00"/>
          <w:sz w:val="20"/>
          <w:szCs w:val="20"/>
        </w:rPr>
        <w:t xml:space="preserve">Reading this schedule against the split decision</w:t>
      </w:r>
    </w:p>
    <w:p>
      <w:pPr>
        <w:keepNext/>
        <w:keepLines/>
        <w:pBdr>
          <w:left w:val="single" w:color="8A5A00" w:sz="18" w:space="10"/>
          <w:right w:val="single" w:color="F1F5F8" w:sz="2" w:space="10"/>
        </w:pBdr>
        <w:shd w:fill="F1F5F8" w:color="auto" w:val="clear"/>
        <w:spacing w:after="100" w:before="0" w:line="276"/>
        <w:ind w:left="200" w:right="200"/>
      </w:pPr>
      <w:r>
        <w:rPr>
          <w:b w:val="false"/>
          <w:bCs w:val="false"/>
          <w:i w:val="false"/>
          <w:iCs w:val="false"/>
          <w:color w:val="222629"/>
          <w:sz w:val="20"/>
          <w:szCs w:val="20"/>
        </w:rPr>
        <w:t xml:space="preserve">D2a — the structure — is rows B.1 and B.3 to B.12. It approves the question set, the record, the gate, invalidation, reuse, the override policy and the disclosures. It is what releases the Suitability Service into construction and lets the gate be built in front of the existing quote path.</w:t>
      </w:r>
    </w:p>
    <w:p>
      <w:pPr>
        <w:keepNext w:val="false"/>
        <w:keepLines/>
        <w:pBdr>
          <w:bottom w:val="single" w:color="F1F5F8" w:sz="2" w:space="8"/>
          <w:left w:val="single" w:color="8A5A00"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D2b — the algorithm — is row B.2 alone: the income multiples, the age factors and the outcome thresholds. Product does not ask for that row to be signed until OPEN-SUIT-01 is answered with a source. Signing the structure now and the arithmetic later is the recommended path, because it unblocks the gate in front of a quote path that currently has none.</w:t>
      </w:r>
    </w:p>
    <w:p>
      <w:pPr>
        <w:spacing w:after="60"/>
      </w:pPr>
      <w:r>
        <w:t xml:space="preserve"/>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675"/>
        <w:gridCol w:w="2217"/>
        <w:gridCol w:w="4433"/>
        <w:gridCol w:w="2313"/>
      </w:tblGrid>
      <w:tr>
        <w:trPr>
          <w:cantSplit/>
          <w:tblHeader/>
        </w:trPr>
        <w:tc>
          <w:tcPr>
            <w:tcW w:type="dxa" w:w="67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Ref</w:t>
            </w:r>
          </w:p>
        </w:tc>
        <w:tc>
          <w:tcPr>
            <w:tcW w:type="dxa" w:w="221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Subject and rules</w:t>
            </w:r>
          </w:p>
        </w:tc>
        <w:tc>
          <w:tcPr>
            <w:tcW w:type="dxa" w:w="443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approval certifies</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Decision</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B.1</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question set</w:t>
            </w:r>
            <w:r>
              <w:rPr>
                <w:b/>
                <w:bCs/>
                <w:i w:val="false"/>
                <w:iCs w:val="false"/>
                <w:color w:val="222629"/>
                <w:sz w:val="18"/>
                <w:szCs w:val="18"/>
              </w:rPr>
              <w:br/>
              <w:t xml:space="preserve"/>
            </w:r>
            <w:r>
              <w:rPr>
                <w:b w:val="false"/>
                <w:bCs w:val="false"/>
                <w:i w:val="false"/>
                <w:iCs w:val="false"/>
                <w:color w:val="222629"/>
                <w:sz w:val="18"/>
                <w:szCs w:val="18"/>
              </w:rPr>
              <w:t xml:space="preserve">12 inputs, SUIT-R01 – SUIT-R04</w:t>
            </w:r>
            <w:r>
              <w:rPr>
                <w:b w:val="false"/>
                <w:bCs w:val="false"/>
                <w:i w:val="false"/>
                <w:iCs w:val="false"/>
                <w:color w:val="222629"/>
                <w:sz w:val="18"/>
                <w:szCs w:val="18"/>
              </w:rPr>
              <w:br/>
              <w:t xml:space="preserve">Volume 3, §2</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four inputs taken from bank records and eight asked of the customer constitute a documented need analysis; that a partial questionnaire produces no assessment at all; and that where a customer’s self-declared figure is lower than the figure the bank already holds, the higher figure is used and the discrepancy recorded.</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B.2</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computation</w:t>
            </w:r>
            <w:r>
              <w:rPr>
                <w:b/>
                <w:bCs/>
                <w:i w:val="false"/>
                <w:iCs w:val="false"/>
                <w:color w:val="222629"/>
                <w:sz w:val="18"/>
                <w:szCs w:val="18"/>
              </w:rPr>
              <w:br/>
              <w:t xml:space="preserve"/>
            </w:r>
            <w:r>
              <w:rPr>
                <w:b w:val="false"/>
                <w:bCs w:val="false"/>
                <w:i w:val="false"/>
                <w:iCs w:val="false"/>
                <w:color w:val="222629"/>
                <w:sz w:val="18"/>
                <w:szCs w:val="18"/>
              </w:rPr>
              <w:t xml:space="preserve">SUIT-R05 – SUIT-R08</w:t>
            </w:r>
            <w:r>
              <w:rPr>
                <w:b w:val="false"/>
                <w:bCs w:val="false"/>
                <w:i w:val="false"/>
                <w:iCs w:val="false"/>
                <w:color w:val="222629"/>
                <w:sz w:val="18"/>
                <w:szCs w:val="18"/>
              </w:rPr>
              <w:br/>
              <w:t xml:space="preserve">Volume 3, §3</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the model is arithmetic rather than judgement — 8 income bands, 5 age factors, a stated formula — reproducible by hand by two people to the same answer, with the algorithm version recorded on every assessment and frozen once published.</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B.3</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Product-class outcomes</w:t>
            </w:r>
            <w:r>
              <w:rPr>
                <w:b/>
                <w:bCs/>
                <w:i w:val="false"/>
                <w:iCs w:val="false"/>
                <w:color w:val="222629"/>
                <w:sz w:val="18"/>
                <w:szCs w:val="18"/>
              </w:rPr>
              <w:br/>
              <w:t xml:space="preserve"/>
            </w:r>
            <w:r>
              <w:rPr>
                <w:b w:val="false"/>
                <w:bCs w:val="false"/>
                <w:i w:val="false"/>
                <w:iCs w:val="false"/>
                <w:color w:val="222629"/>
                <w:sz w:val="18"/>
                <w:szCs w:val="18"/>
              </w:rPr>
              <w:t xml:space="preserve">SUIT-R09 – SUIT-R19a</w:t>
            </w:r>
            <w:r>
              <w:rPr>
                <w:b w:val="false"/>
                <w:bCs w:val="false"/>
                <w:i w:val="false"/>
                <w:iCs w:val="false"/>
                <w:color w:val="222629"/>
                <w:sz w:val="18"/>
                <w:szCs w:val="18"/>
              </w:rPr>
              <w:br/>
              <w:t xml:space="preserve">Volume 3, §4</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four-value outcome vocabulary; that an assessment produces one outcome per product class rather than one overall verdict; that where several rules fire the most restrictive outcome wins; and that every reason that fired is recorded, not only the one that decided.</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B.4</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assessment record</w:t>
            </w:r>
            <w:r>
              <w:rPr>
                <w:b/>
                <w:bCs/>
                <w:i w:val="false"/>
                <w:iCs w:val="false"/>
                <w:color w:val="222629"/>
                <w:sz w:val="18"/>
                <w:szCs w:val="18"/>
              </w:rPr>
              <w:br/>
              <w:t xml:space="preserve"/>
            </w:r>
            <w:r>
              <w:rPr>
                <w:b w:val="false"/>
                <w:bCs w:val="false"/>
                <w:i w:val="false"/>
                <w:iCs w:val="false"/>
                <w:color w:val="222629"/>
                <w:sz w:val="18"/>
                <w:szCs w:val="18"/>
              </w:rPr>
              <w:t xml:space="preserve">18 fields, SUIT-R21 – SUIT-R24</w:t>
            </w:r>
            <w:r>
              <w:rPr>
                <w:b w:val="false"/>
                <w:bCs w:val="false"/>
                <w:i w:val="false"/>
                <w:iCs w:val="false"/>
                <w:color w:val="222629"/>
                <w:sz w:val="18"/>
                <w:szCs w:val="18"/>
              </w:rPr>
              <w:br/>
              <w:t xml:space="preserve">Volume 3, §5</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no assessment may exist without a valid solicitation consent; that a human-readable suitability statement is produced and stored unalterably at the time of assessment; and append-only storage and seven-year retention on the same terms as consent.</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B.5</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gate before quote</w:t>
            </w:r>
            <w:r>
              <w:rPr>
                <w:b/>
                <w:bCs/>
                <w:i w:val="false"/>
                <w:iCs w:val="false"/>
                <w:color w:val="222629"/>
                <w:sz w:val="18"/>
                <w:szCs w:val="18"/>
              </w:rPr>
              <w:br/>
              <w:t xml:space="preserve"/>
            </w:r>
            <w:r>
              <w:rPr>
                <w:b w:val="false"/>
                <w:bCs w:val="false"/>
                <w:i w:val="false"/>
                <w:iCs w:val="false"/>
                <w:color w:val="222629"/>
                <w:sz w:val="18"/>
                <w:szCs w:val="18"/>
              </w:rPr>
              <w:t xml:space="preserve">SUIT-R20, SUIT-R25 – SUIT-R28</w:t>
            </w:r>
            <w:r>
              <w:rPr>
                <w:b w:val="false"/>
                <w:bCs w:val="false"/>
                <w:i w:val="false"/>
                <w:iCs w:val="false"/>
                <w:color w:val="222629"/>
                <w:sz w:val="18"/>
                <w:szCs w:val="18"/>
              </w:rPr>
              <w:br/>
              <w:t xml:space="preserve">Volume 3, §1 and §6</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the gate is enforced at the server-side quote interface and not in the screen; that it refuses rather than permits when the assessment service is unavailable; that its code carries complete branch coverage with no waiver; and that all nine refusal cases are correct, including the two added at v1.1 that check the caution and replacement acknowledgements.</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B.6</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Invalidation and re-assessment</w:t>
            </w:r>
            <w:r>
              <w:rPr>
                <w:b/>
                <w:bCs/>
                <w:i w:val="false"/>
                <w:iCs w:val="false"/>
                <w:color w:val="222629"/>
                <w:sz w:val="18"/>
                <w:szCs w:val="18"/>
              </w:rPr>
              <w:br/>
              <w:t xml:space="preserve"/>
            </w:r>
            <w:r>
              <w:rPr>
                <w:b w:val="false"/>
                <w:bCs w:val="false"/>
                <w:i w:val="false"/>
                <w:iCs w:val="false"/>
                <w:color w:val="222629"/>
                <w:sz w:val="18"/>
                <w:szCs w:val="18"/>
              </w:rPr>
              <w:t xml:space="preserve">SUIT-R29 – SUIT-R34</w:t>
            </w:r>
            <w:r>
              <w:rPr>
                <w:b w:val="false"/>
                <w:bCs w:val="false"/>
                <w:i w:val="false"/>
                <w:iCs w:val="false"/>
                <w:color w:val="222629"/>
                <w:sz w:val="18"/>
                <w:szCs w:val="18"/>
              </w:rPr>
              <w:br/>
              <w:t xml:space="preserve">Volume 3, §7</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30-day expiry, invalidation on consent withdrawal or a change of model version, supersession by a newer assessment, and the exception that a proposal already submitted is never retrospectively invalidated.</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B.7</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Reuse</w:t>
            </w:r>
            <w:r>
              <w:rPr>
                <w:b/>
                <w:bCs/>
                <w:i w:val="false"/>
                <w:iCs w:val="false"/>
                <w:color w:val="222629"/>
                <w:sz w:val="18"/>
                <w:szCs w:val="18"/>
              </w:rPr>
              <w:br/>
              <w:t xml:space="preserve"/>
            </w:r>
            <w:r>
              <w:rPr>
                <w:b w:val="false"/>
                <w:bCs w:val="false"/>
                <w:i w:val="false"/>
                <w:iCs w:val="false"/>
                <w:color w:val="222629"/>
                <w:sz w:val="18"/>
                <w:szCs w:val="18"/>
              </w:rPr>
              <w:t xml:space="preserve">SUIT-R35 – SUIT-R37</w:t>
            </w:r>
            <w:r>
              <w:rPr>
                <w:b w:val="false"/>
                <w:bCs w:val="false"/>
                <w:i w:val="false"/>
                <w:iCs w:val="false"/>
                <w:color w:val="222629"/>
                <w:sz w:val="18"/>
                <w:szCs w:val="18"/>
              </w:rPr>
              <w:br/>
              <w:t xml:space="preserve">Volume 3, §7</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an active assessment may be reused across journeys for the same customer inside its window, never across customers, and that each reuse is itself recorded.</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B.8</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 override</w:t>
            </w:r>
            <w:r>
              <w:rPr>
                <w:b/>
                <w:bCs/>
                <w:i w:val="false"/>
                <w:iCs w:val="false"/>
                <w:color w:val="222629"/>
                <w:sz w:val="18"/>
                <w:szCs w:val="18"/>
              </w:rPr>
              <w:br/>
              <w:t xml:space="preserve"/>
            </w:r>
            <w:r>
              <w:rPr>
                <w:b w:val="false"/>
                <w:bCs w:val="false"/>
                <w:i w:val="false"/>
                <w:iCs w:val="false"/>
                <w:color w:val="222629"/>
                <w:sz w:val="18"/>
                <w:szCs w:val="18"/>
              </w:rPr>
              <w:t xml:space="preserve">SUIT-R38 – SUIT-R40</w:t>
            </w:r>
            <w:r>
              <w:rPr>
                <w:b w:val="false"/>
                <w:bCs w:val="false"/>
                <w:i w:val="false"/>
                <w:iCs w:val="false"/>
                <w:color w:val="222629"/>
                <w:sz w:val="18"/>
                <w:szCs w:val="18"/>
              </w:rPr>
              <w:br/>
              <w:t xml:space="preserve">Volume 3, §8</w:t>
            </w:r>
          </w:p>
        </w:tc>
        <w:tc>
          <w:tcPr>
            <w:tcW w:type="dxa" w:w="443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That a NOT_SUITABLE outcome cannot be overridden by any actor at any level in the first release — no override route, no approval workflow, no configuration switch — and that the gate itself cannot be disabled by flag, configuration, environment setting or request header in any environment holding customer data.</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B.9</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Caution disclosure</w:t>
            </w:r>
            <w:r>
              <w:rPr>
                <w:b/>
                <w:bCs/>
                <w:i w:val="false"/>
                <w:iCs w:val="false"/>
                <w:color w:val="222629"/>
                <w:sz w:val="18"/>
                <w:szCs w:val="18"/>
              </w:rPr>
              <w:br/>
              <w:t xml:space="preserve"/>
            </w:r>
            <w:r>
              <w:rPr>
                <w:b w:val="false"/>
                <w:bCs w:val="false"/>
                <w:i w:val="false"/>
                <w:iCs w:val="false"/>
                <w:color w:val="222629"/>
                <w:sz w:val="18"/>
                <w:szCs w:val="18"/>
              </w:rPr>
              <w:t xml:space="preserve">SUIT-R41 – SUIT-R43</w:t>
            </w:r>
            <w:r>
              <w:rPr>
                <w:b w:val="false"/>
                <w:bCs w:val="false"/>
                <w:i w:val="false"/>
                <w:iCs w:val="false"/>
                <w:color w:val="222629"/>
                <w:sz w:val="18"/>
                <w:szCs w:val="18"/>
              </w:rPr>
              <w:br/>
              <w:t xml:space="preserve">Volume 3, §9</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a caution outcome permits the quote but obliges a specific, named, plain-language disclosure, acknowledged by the customer on their own device with the same verification as consent.</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B.10</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Customer-initiated deviation</w:t>
            </w:r>
            <w:r>
              <w:rPr>
                <w:b/>
                <w:bCs/>
                <w:i w:val="false"/>
                <w:iCs w:val="false"/>
                <w:color w:val="222629"/>
                <w:sz w:val="18"/>
                <w:szCs w:val="18"/>
              </w:rPr>
              <w:br/>
              <w:t xml:space="preserve"/>
            </w:r>
            <w:r>
              <w:rPr>
                <w:b w:val="false"/>
                <w:bCs w:val="false"/>
                <w:i w:val="false"/>
                <w:iCs w:val="false"/>
                <w:color w:val="222629"/>
                <w:sz w:val="18"/>
                <w:szCs w:val="18"/>
              </w:rPr>
              <w:t xml:space="preserve">SUIT-R44 – SUIT-R45</w:t>
            </w:r>
            <w:r>
              <w:rPr>
                <w:b w:val="false"/>
                <w:bCs w:val="false"/>
                <w:i w:val="false"/>
                <w:iCs w:val="false"/>
                <w:color w:val="222629"/>
                <w:sz w:val="18"/>
                <w:szCs w:val="18"/>
              </w:rPr>
              <w:br/>
              <w:t xml:space="preserve">Volume 3, §10</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a customer may choose any product whose class outcome permits it, including one the model did not rank first, recorded as a divergence with a stated reason — and that this is a customer choice, not an override of the assessment.</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B.11</w:t>
            </w:r>
          </w:p>
        </w:tc>
        <w:tc>
          <w:tcPr>
            <w:tcW w:type="dxa" w:w="221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Replacement of an existing policy</w:t>
            </w:r>
            <w:r>
              <w:rPr>
                <w:b/>
                <w:bCs/>
                <w:i w:val="false"/>
                <w:iCs w:val="false"/>
                <w:color w:val="222629"/>
                <w:sz w:val="18"/>
                <w:szCs w:val="18"/>
              </w:rPr>
              <w:br/>
              <w:t xml:space="preserve"/>
            </w:r>
            <w:r>
              <w:rPr>
                <w:b w:val="false"/>
                <w:bCs w:val="false"/>
                <w:i w:val="false"/>
                <w:iCs w:val="false"/>
                <w:color w:val="222629"/>
                <w:sz w:val="18"/>
                <w:szCs w:val="18"/>
              </w:rPr>
              <w:t xml:space="preserve">SUIT-R46 – SUIT-R47</w:t>
            </w:r>
            <w:r>
              <w:rPr>
                <w:b w:val="false"/>
                <w:bCs w:val="false"/>
                <w:i w:val="false"/>
                <w:iCs w:val="false"/>
                <w:color w:val="222629"/>
                <w:sz w:val="18"/>
                <w:szCs w:val="18"/>
              </w:rPr>
              <w:br/>
              <w:t xml:space="preserve">Volume 3, §11</w:t>
            </w:r>
          </w:p>
        </w:tc>
        <w:tc>
          <w:tcPr>
            <w:tcW w:type="dxa" w:w="443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a replacement case requires a disclosure covering lost accrued benefit, fresh waiting and contestability periods and the risk of re-underwriting, acknowledged before any quote, and is flagged for post-sale review.</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B.12</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one exception that exists</w:t>
            </w:r>
            <w:r>
              <w:rPr>
                <w:b/>
                <w:bCs/>
                <w:i w:val="false"/>
                <w:iCs w:val="false"/>
                <w:color w:val="222629"/>
                <w:sz w:val="18"/>
                <w:szCs w:val="18"/>
              </w:rPr>
              <w:br/>
              <w:t xml:space="preserve"/>
            </w:r>
            <w:r>
              <w:rPr>
                <w:b w:val="false"/>
                <w:bCs w:val="false"/>
                <w:i w:val="false"/>
                <w:iCs w:val="false"/>
                <w:color w:val="222629"/>
                <w:sz w:val="18"/>
                <w:szCs w:val="18"/>
              </w:rPr>
              <w:t xml:space="preserve">SUIT-R48</w:t>
            </w:r>
            <w:r>
              <w:rPr>
                <w:b w:val="false"/>
                <w:bCs w:val="false"/>
                <w:i w:val="false"/>
                <w:iCs w:val="false"/>
                <w:color w:val="222629"/>
                <w:sz w:val="18"/>
                <w:szCs w:val="18"/>
              </w:rPr>
              <w:br/>
              <w:t xml:space="preserve">Volume 3, §12</w:t>
            </w:r>
          </w:p>
        </w:tc>
        <w:tc>
          <w:tcPr>
            <w:tcW w:type="dxa" w:w="443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an assessment believed to be wrong is remedied by a defect report against the algorithm version, resolved by publishing a corrected version under change control, and never resolved for one customer in flight.</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bl>
    <w:p>
      <w:pPr>
        <w:spacing w:after="140"/>
      </w:pPr>
      <w:r>
        <w:t xml:space="preserve"/>
      </w:r>
    </w:p>
    <w:p>
      <w:pPr>
        <w:keepNext/>
        <w:keepLines/>
        <w:pBdr>
          <w:top w:val="single" w:color="F1F5F8" w:sz="2" w:space="8"/>
          <w:left w:val="single" w:color="9B2226" w:sz="18" w:space="10"/>
          <w:right w:val="single" w:color="F1F5F8" w:sz="2" w:space="10"/>
        </w:pBdr>
        <w:shd w:fill="F1F5F8" w:color="auto" w:val="clear"/>
        <w:spacing w:after="100" w:before="140" w:line="276"/>
        <w:ind w:left="200" w:right="200"/>
      </w:pPr>
      <w:r>
        <w:rPr>
          <w:b/>
          <w:bCs/>
          <w:i w:val="false"/>
          <w:iCs w:val="false"/>
          <w:color w:val="9B2226"/>
          <w:sz w:val="20"/>
          <w:szCs w:val="20"/>
        </w:rPr>
        <w:t xml:space="preserve">The rule Product will defend most strongly</w:t>
      </w:r>
    </w:p>
    <w:p>
      <w:pPr>
        <w:keepNext w:val="false"/>
        <w:keepLines/>
        <w:pBdr>
          <w:bottom w:val="single" w:color="F1F5F8" w:sz="2" w:space="8"/>
          <w:left w:val="single" w:color="9B2226"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SUIT-R38 — no override of a NOT_SUITABLE outcome in the first release. A bank that makes overriding easy has an advisory process with a bypass button, and per-case exceptions to a suitability model are indistinguishable, at audit, from mis-selling: a model that is wrong for one customer is wrong for a population, and the remedy has to operate on the population. If Compliance and the executive sponsor want a senior-authorisation path, the Product position is that it belongs in a later release with its own control design and its own evidence obligation, not as an amendment to this pack. The question is logged as OPEN-SUIT-02.</w:t>
      </w:r>
    </w:p>
    <w:p>
      <w:pPr>
        <w:pStyle w:val="Heading1"/>
        <w:keepNext/>
        <w:keepLines/>
        <w:pageBreakBefore/>
        <w:pBdr>
          <w:bottom w:val="single" w:color="0F6E6E" w:sz="8" w:space="6"/>
        </w:pBdr>
        <w:spacing w:after="160" w:before="0"/>
      </w:pPr>
      <w:r>
        <w:rPr>
          <w:b/>
          <w:bCs/>
          <w:color w:val="11304E"/>
          <w:sz w:val="30"/>
          <w:szCs w:val="30"/>
        </w:rPr>
        <w:t xml:space="preserve">10.  Open items requiring a Compliance determination</w:t>
      </w:r>
    </w:p>
    <w:p>
      <w:pPr>
        <w:spacing w:after="120" w:before="0" w:line="276"/>
        <w:jc w:val="left"/>
      </w:pPr>
      <w:r>
        <w:rPr>
          <w:b w:val="false"/>
          <w:bCs w:val="false"/>
          <w:i w:val="false"/>
          <w:iCs w:val="false"/>
          <w:color w:val="222629"/>
          <w:sz w:val="20"/>
          <w:szCs w:val="20"/>
        </w:rPr>
        <w:t xml:space="preserve">Items where the answer belongs to Compliance and not to Product. For each, the position Product would take is stated, so that Compliance is amending a proposal rather than starting from a blank page.</w:t>
      </w:r>
    </w:p>
    <w:p>
      <w:pPr>
        <w:spacing w:after="80"/>
      </w:pPr>
      <w:r>
        <w:t xml:space="preserve"/>
      </w:r>
    </w:p>
    <w:p>
      <w:pPr>
        <w:keepNext/>
        <w:keepLines/>
        <w:pBdr>
          <w:top w:val="single" w:color="F1F5F8" w:sz="2" w:space="8"/>
          <w:left w:val="single" w:color="9B2226" w:sz="18" w:space="10"/>
          <w:right w:val="single" w:color="F1F5F8" w:sz="2" w:space="10"/>
        </w:pBdr>
        <w:shd w:fill="F1F5F8" w:color="auto" w:val="clear"/>
        <w:spacing w:after="100" w:before="140" w:line="276"/>
        <w:ind w:left="200" w:right="200"/>
      </w:pPr>
      <w:r>
        <w:rPr>
          <w:b/>
          <w:bCs/>
          <w:i w:val="false"/>
          <w:iCs w:val="false"/>
          <w:color w:val="9B2226"/>
          <w:sz w:val="20"/>
          <w:szCs w:val="20"/>
        </w:rPr>
        <w:t xml:space="preserve">An earlier draft said none of these blocks approval. That was wrong for two of them</w:t>
      </w:r>
    </w:p>
    <w:p>
      <w:pPr>
        <w:keepNext w:val="false"/>
        <w:keepLines/>
        <w:pBdr>
          <w:bottom w:val="single" w:color="F1F5F8" w:sz="2" w:space="8"/>
          <w:left w:val="single" w:color="9B2226"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The test is not whether an item is inconvenient — it is whether the answer could change a control rather than only its wording. Applied honestly, two items fail that test. OPEN-SUIT-01 asks whether this model discharges the suitability obligation at all, which is the entirety of decision D2b. OPEN-CNS-06 asks whether a panel-scoped consent is permissible, and the answer decides whether six proposed rules exist. Both are marked blocking below. Everything else is a window, a wording or a sequencing question over a structure that does not change with the answer, and those genuinely do not block.</w:t>
      </w:r>
    </w:p>
    <w:p>
      <w:pPr>
        <w:spacing w:after="12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157"/>
        <w:gridCol w:w="2602"/>
        <w:gridCol w:w="3759"/>
        <w:gridCol w:w="2120"/>
      </w:tblGrid>
      <w:tr>
        <w:trPr>
          <w:cantSplit/>
          <w:tblHeader/>
        </w:trPr>
        <w:tc>
          <w:tcPr>
            <w:tcW w:type="dxa" w:w="115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Ref</w:t>
            </w:r>
          </w:p>
        </w:tc>
        <w:tc>
          <w:tcPr>
            <w:tcW w:type="dxa" w:w="260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Question</w:t>
            </w:r>
          </w:p>
        </w:tc>
        <w:tc>
          <w:tcPr>
            <w:tcW w:type="dxa" w:w="375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Product’s recommended position</w:t>
            </w:r>
          </w:p>
        </w:tc>
        <w:tc>
          <w:tcPr>
            <w:tcW w:type="dxa" w:w="212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Blocks approval?</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OPEN-CNS-01</w:t>
            </w:r>
          </w:p>
        </w:tc>
        <w:tc>
          <w:tcPr>
            <w:tcW w:type="dxa" w:w="260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May data-processing consent and solicitation consent share a single acknowledgement action, or must each have its own affirmative act?</w:t>
            </w:r>
          </w:p>
        </w:tc>
        <w:tc>
          <w:tcPr>
            <w:tcW w:type="dxa" w:w="375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acknowledgement action, three separately-recorded consents with three statement identifiers. If separation is required, the change is confined to the screen — the record structure already keeps them apart.</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 — the answer changes a screen, not a rule.</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OPEN-CNS-02</w:t>
            </w:r>
          </w:p>
        </w:tc>
        <w:tc>
          <w:tcPr>
            <w:tcW w:type="dxa" w:w="260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approved legal wording for each consent statement.</w:t>
            </w:r>
          </w:p>
        </w:tc>
        <w:tc>
          <w:tcPr>
            <w:tcW w:type="dxa" w:w="375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Compliance-authored. The pack defines structure, fields, identity and versioning; Product does not draft the legal text and has not attempted to.</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 for the schedules. Blocks the customer-facing wording, and therefore screen design.</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OPEN-CNS-03</w:t>
            </w:r>
          </w:p>
        </w:tc>
        <w:tc>
          <w:tcPr>
            <w:tcW w:type="dxa" w:w="260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Are the 90-day and 30-day validity windows acceptable, or must they be shorter?</w:t>
            </w:r>
          </w:p>
        </w:tc>
        <w:tc>
          <w:tcPr>
            <w:tcW w:type="dxa" w:w="375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Retain 90 and 30 days. Shorter windows increase how often a customer is re-prompted for identical permission, which teaches customers that consent is noise — the outcome the obligation exists to prevent.</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 — a parameter value, changeable without changing a rule.</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OPEN-CNS-04</w:t>
            </w:r>
          </w:p>
        </w:tc>
        <w:tc>
          <w:tcPr>
            <w:tcW w:type="dxa" w:w="260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Does a withdrawal after the policy is issued create an obligation on the bank towards the insurer?</w:t>
            </w:r>
          </w:p>
        </w:tc>
        <w:tc>
          <w:tcPr>
            <w:tcW w:type="dxa" w:w="375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Treat it as an operational obligation until determined: record the withdrawal, stop further sharing, raise a task, and contact the insurer through a person.</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 — the behaviour is defined either way; the answer adds an insurer-side step.</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OPEN-CNS-05</w:t>
            </w:r>
          </w:p>
        </w:tc>
        <w:tc>
          <w:tcPr>
            <w:tcW w:type="dxa" w:w="260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Interoperability with a statutory consent manager, if one is notified before go-live.</w:t>
            </w:r>
          </w:p>
        </w:tc>
        <w:tc>
          <w:tcPr>
            <w:tcW w:type="dxa" w:w="375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Design the evidence record so that it can be exported in full; do not build an integration against a specification that has not been notified.</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OPEN-CNS-06</w:t>
            </w:r>
          </w:p>
        </w:tc>
        <w:tc>
          <w:tcPr>
            <w:tcW w:type="dxa" w:w="2602"/>
            <w:shd w:fill="F1F5F8" w:color="auto" w:val="clear"/>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Raised in this document.</w:t>
            </w:r>
            <w:r>
              <w:rPr>
                <w:b w:val="false"/>
                <w:bCs w:val="false"/>
                <w:i w:val="false"/>
                <w:iCs w:val="false"/>
                <w:color w:val="222629"/>
                <w:sz w:val="18"/>
                <w:szCs w:val="18"/>
              </w:rPr>
              <w:t xml:space="preserve"> May insurer-sharing consent be captured up front as a panel-scoped consent naming every insurer on the approved panel, with the customer’s later product selection binding it to one of them? See §11.</w:t>
            </w:r>
          </w:p>
        </w:tc>
        <w:tc>
          <w:tcPr>
            <w:tcW w:type="dxa" w:w="3759"/>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Yes, subject to the controls proposed in §11.5.</w:t>
            </w:r>
            <w:r>
              <w:rPr>
                <w:b w:val="false"/>
                <w:bCs w:val="false"/>
                <w:i w:val="false"/>
                <w:iCs w:val="false"/>
                <w:color w:val="222629"/>
                <w:sz w:val="18"/>
                <w:szCs w:val="18"/>
              </w:rPr>
              <w:t xml:space="preserve"> This is the single change that would let the customer give consent once rather than twice.</w:t>
            </w:r>
          </w:p>
        </w:tc>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Yes — blocking.</w:t>
            </w:r>
            <w:r>
              <w:rPr>
                <w:b w:val="false"/>
                <w:bCs w:val="false"/>
                <w:i w:val="false"/>
                <w:iCs w:val="false"/>
                <w:color w:val="222629"/>
                <w:sz w:val="18"/>
                <w:szCs w:val="18"/>
              </w:rPr>
              <w:t xml:space="preserve"> The answer decides whether six proposed rules exist at all.</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OPEN-CNS-07</w:t>
            </w:r>
          </w:p>
        </w:tc>
        <w:tc>
          <w:tcPr>
            <w:tcW w:type="dxa" w:w="2602"/>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Raised in this document.</w:t>
            </w:r>
            <w:r>
              <w:rPr>
                <w:b w:val="false"/>
                <w:bCs w:val="false"/>
                <w:i w:val="false"/>
                <w:iCs w:val="false"/>
                <w:color w:val="222629"/>
                <w:sz w:val="18"/>
                <w:szCs w:val="18"/>
              </w:rPr>
              <w:t xml:space="preserve"> Where several statements are presented in one interaction, must each be separately declinable?</w:t>
            </w:r>
          </w:p>
        </w:tc>
        <w:tc>
          <w:tcPr>
            <w:tcW w:type="dxa" w:w="375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 — and Product proposes to make it a rule, CNS-R12a in §11.5. It is the control that distinguishes a consolidated interaction from a bundled consent.</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Not for D1, but the §11.6 fallback depends on it, so please rule on it either way.</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OPEN-SUIT-01</w:t>
            </w:r>
          </w:p>
        </w:tc>
        <w:tc>
          <w:tcPr>
            <w:tcW w:type="dxa" w:w="260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Does the income-multiple and age-factor model discharge the suitability obligation, or does a prescribed model apply?</w:t>
            </w:r>
          </w:p>
        </w:tc>
        <w:tc>
          <w:tcPr>
            <w:tcW w:type="dxa" w:w="375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Adopt the model as drafted, or direct a prescribed one. Product’s earlier claim that this does not block was wrong: it is precisely the permissibility question behind the algorithm.</w:t>
            </w:r>
          </w:p>
        </w:tc>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Yes — this is decision D2b.</w:t>
            </w:r>
            <w:r>
              <w:rPr>
                <w:b w:val="false"/>
                <w:bCs w:val="false"/>
                <w:i w:val="false"/>
                <w:iCs w:val="false"/>
                <w:color w:val="222629"/>
                <w:sz w:val="18"/>
                <w:szCs w:val="18"/>
              </w:rPr>
              <w:t xml:space="preserve"> The structural half, D2a, is unaffected and can be signed now.</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OPEN-SUIT-02</w:t>
            </w:r>
          </w:p>
        </w:tc>
        <w:tc>
          <w:tcPr>
            <w:tcW w:type="dxa" w:w="260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May a NOT_SUITABLE outcome ever be overridden with senior authorisation in a later release?</w:t>
            </w:r>
          </w:p>
        </w:tc>
        <w:tc>
          <w:tcPr>
            <w:tcW w:type="dxa" w:w="375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Never in the first release. Revisit later only with a designed control, a named authority, and its own evidence obligation.</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 — it concerns a later release.</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OPEN-SUIT-04</w:t>
            </w:r>
          </w:p>
        </w:tc>
        <w:tc>
          <w:tcPr>
            <w:tcW w:type="dxa" w:w="260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Is the 30-day assessment validity window acceptable?</w:t>
            </w:r>
          </w:p>
        </w:tc>
        <w:tc>
          <w:tcPr>
            <w:tcW w:type="dxa" w:w="375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Retain 30 days. It is deliberately shorter than the consent window, because advice ages faster than permission.</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 — a parameter value.</w:t>
            </w:r>
          </w:p>
        </w:tc>
      </w:tr>
    </w:tbl>
    <w:p>
      <w:pPr>
        <w:spacing w:after="120"/>
      </w:pPr>
      <w:r>
        <w:t xml:space="preserve"/>
      </w:r>
    </w:p>
    <w:p>
      <w:pPr>
        <w:spacing w:after="120" w:before="0" w:line="276"/>
        <w:jc w:val="left"/>
      </w:pPr>
      <w:r>
        <w:rPr>
          <w:b w:val="false"/>
          <w:bCs w:val="false"/>
          <w:i/>
          <w:iCs/>
          <w:color w:val="5A6570"/>
          <w:sz w:val="19"/>
          <w:szCs w:val="19"/>
        </w:rPr>
        <w:t xml:space="preserve">Two further items are open and do not require a determination in this sitting: the approved wording of the caution and replacement disclosures (OPEN-SUIT-03, with Legal), and whether any insurer on the panel imposes suitability requirements exceeding this model (OPEN-SUIT-05, with Bancassurance).</w:t>
      </w:r>
    </w:p>
    <w:p>
      <w:pPr>
        <w:pStyle w:val="Heading1"/>
        <w:keepNext/>
        <w:keepLines/>
        <w:pageBreakBefore/>
        <w:pBdr>
          <w:bottom w:val="single" w:color="0F6E6E" w:sz="8" w:space="6"/>
        </w:pBdr>
        <w:spacing w:after="160" w:before="0"/>
      </w:pPr>
      <w:r>
        <w:rPr>
          <w:b/>
          <w:bCs/>
          <w:color w:val="11304E"/>
          <w:sz w:val="30"/>
          <w:szCs w:val="30"/>
        </w:rPr>
        <w:t xml:space="preserve">11.  Product proposal — consolidating consent into a single up-front ceremony</w:t>
      </w:r>
    </w:p>
    <w:p>
      <w:pPr>
        <w:spacing w:after="120" w:before="0" w:line="276"/>
        <w:jc w:val="left"/>
      </w:pPr>
      <w:r>
        <w:rPr>
          <w:b w:val="false"/>
          <w:bCs w:val="false"/>
          <w:i w:val="false"/>
          <w:iCs w:val="false"/>
          <w:color w:val="222629"/>
          <w:sz w:val="20"/>
          <w:szCs w:val="20"/>
        </w:rPr>
        <w:t xml:space="preserve">This section is a proposal, not a settled decision. It is included because it changes what Compliance is approving, and it would be wrong to ask for approval of the sequence in the packs without saying that Product intends to change it.</w:t>
      </w:r>
    </w:p>
    <w:p>
      <w:pPr>
        <w:pStyle w:val="Heading2"/>
        <w:keepNext/>
        <w:keepLines/>
        <w:spacing w:after="120" w:before="300"/>
      </w:pPr>
      <w:r>
        <w:rPr>
          <w:b/>
          <w:bCs/>
          <w:color w:val="11304E"/>
          <w:sz w:val="24"/>
          <w:szCs w:val="24"/>
        </w:rPr>
        <w:t xml:space="preserve">11.1  The problem, stated plainly</w:t>
      </w:r>
    </w:p>
    <w:p>
      <w:pPr>
        <w:spacing w:after="120" w:before="0" w:line="276"/>
        <w:jc w:val="left"/>
      </w:pPr>
      <w:r>
        <w:rPr>
          <w:b w:val="false"/>
          <w:bCs w:val="false"/>
          <w:i w:val="false"/>
          <w:iCs w:val="false"/>
          <w:color w:val="222629"/>
          <w:sz w:val="20"/>
          <w:szCs w:val="20"/>
        </w:rPr>
        <w:t xml:space="preserve">Consent as currently specified is correct and scattered. Each individual placement is defensible; the sum of them is not a conversation a relationship manager can hold in a branch. In the worst case the customer is interrupted four separate times for a consent or a disclosure, each one stopping the meeting while a code travels to their phone and back.</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482"/>
        <w:gridCol w:w="2313"/>
        <w:gridCol w:w="3470"/>
        <w:gridCol w:w="1542"/>
        <w:gridCol w:w="1831"/>
      </w:tblGrid>
      <w:tr>
        <w:trPr>
          <w:cantSplit/>
          <w:tblHeader/>
        </w:trPr>
        <w:tc>
          <w:tcPr>
            <w:tcW w:type="dxa" w:w="48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Interaction</w:t>
            </w:r>
          </w:p>
        </w:tc>
        <w:tc>
          <w:tcPr>
            <w:tcW w:type="dxa" w:w="347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Where it falls in the specified journey</w:t>
            </w:r>
          </w:p>
        </w:tc>
        <w:tc>
          <w:tcPr>
            <w:tcW w:type="dxa" w:w="154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Always?</w:t>
            </w:r>
          </w:p>
        </w:tc>
        <w:tc>
          <w:tcPr>
            <w:tcW w:type="dxa" w:w="183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Customer-device code</w:t>
            </w:r>
          </w:p>
        </w:tc>
      </w:tr>
      <w:tr>
        <w:trPr>
          <w:cantSplit/>
        </w:trPr>
        <w:tc>
          <w:tcPr>
            <w:tcW w:type="dxa" w:w="48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Data processing, solicitation and servicing communications</w:t>
            </w:r>
          </w:p>
        </w:tc>
        <w:tc>
          <w:tcPr>
            <w:tcW w:type="dxa" w:w="347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Before any bank record is read and before the questionnaire is presented</w:t>
            </w:r>
          </w:p>
        </w:tc>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Always</w:t>
            </w:r>
          </w:p>
        </w:tc>
        <w:tc>
          <w:tcPr>
            <w:tcW w:type="dxa" w:w="183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 — 1</w:t>
            </w:r>
          </w:p>
        </w:tc>
      </w:tr>
      <w:tr>
        <w:trPr>
          <w:cantSplit/>
        </w:trPr>
        <w:tc>
          <w:tcPr>
            <w:tcW w:type="dxa" w:w="48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2</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Caution disclosure</w:t>
            </w:r>
          </w:p>
        </w:tc>
        <w:tc>
          <w:tcPr>
            <w:tcW w:type="dxa" w:w="347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After the assessment and before quote, whenever any product class returns a caution outcome</w:t>
            </w:r>
          </w:p>
        </w:tc>
        <w:tc>
          <w:tcPr>
            <w:tcW w:type="dxa" w:w="154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Conditional</w:t>
            </w:r>
          </w:p>
        </w:tc>
        <w:tc>
          <w:tcPr>
            <w:tcW w:type="dxa" w:w="183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 — 1</w:t>
            </w:r>
          </w:p>
        </w:tc>
      </w:tr>
      <w:tr>
        <w:trPr>
          <w:cantSplit/>
        </w:trPr>
        <w:tc>
          <w:tcPr>
            <w:tcW w:type="dxa" w:w="48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3</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Replacement disclosure</w:t>
            </w:r>
          </w:p>
        </w:tc>
        <w:tc>
          <w:tcPr>
            <w:tcW w:type="dxa" w:w="347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Before quote, whenever the customer is replacing an existing policy</w:t>
            </w:r>
          </w:p>
        </w:tc>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Conditional</w:t>
            </w:r>
          </w:p>
        </w:tc>
        <w:tc>
          <w:tcPr>
            <w:tcW w:type="dxa" w:w="183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 — 1</w:t>
            </w:r>
          </w:p>
        </w:tc>
      </w:tr>
      <w:tr>
        <w:trPr>
          <w:cantSplit/>
        </w:trPr>
        <w:tc>
          <w:tcPr>
            <w:tcW w:type="dxa" w:w="48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4</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Insurer sharing consent</w:t>
            </w:r>
          </w:p>
        </w:tc>
        <w:tc>
          <w:tcPr>
            <w:tcW w:type="dxa" w:w="347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At proposal, once the insurer is known</w:t>
            </w:r>
          </w:p>
        </w:tc>
        <w:tc>
          <w:tcPr>
            <w:tcW w:type="dxa" w:w="154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Always</w:t>
            </w:r>
          </w:p>
        </w:tc>
        <w:tc>
          <w:tcPr>
            <w:tcW w:type="dxa" w:w="183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 — 1</w:t>
            </w:r>
          </w:p>
        </w:tc>
      </w:tr>
      <w:tr>
        <w:trPr>
          <w:cantSplit/>
        </w:trPr>
        <w:tc>
          <w:tcPr>
            <w:tcW w:type="dxa" w:w="48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Payment authorisation</w:t>
            </w:r>
          </w:p>
        </w:tc>
        <w:tc>
          <w:tcPr>
            <w:tcW w:type="dxa" w:w="347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At payment, on the customer’s device</w:t>
            </w:r>
          </w:p>
        </w:tc>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Always</w:t>
            </w:r>
          </w:p>
        </w:tc>
        <w:tc>
          <w:tcPr>
            <w:tcW w:type="dxa" w:w="183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Outside these packs</w:t>
            </w:r>
          </w:p>
        </w:tc>
      </w:tr>
    </w:tbl>
    <w:p>
      <w:pPr>
        <w:spacing w:after="120"/>
      </w:pPr>
      <w:r>
        <w:t xml:space="preserve"/>
      </w:r>
    </w:p>
    <w:p>
      <w:pPr>
        <w:spacing w:after="120" w:before="0" w:line="276"/>
        <w:jc w:val="left"/>
      </w:pPr>
      <w:r>
        <w:rPr>
          <w:b/>
          <w:bCs/>
          <w:i w:val="false"/>
          <w:iCs w:val="false"/>
          <w:color w:val="222629"/>
          <w:sz w:val="20"/>
          <w:szCs w:val="20"/>
        </w:rPr>
        <w:t xml:space="preserve">A typical journey therefore stops the customer twice. The worst case stops them four times. </w:t>
      </w:r>
      <w:r>
        <w:rPr>
          <w:b w:val="false"/>
          <w:bCs w:val="false"/>
          <w:i w:val="false"/>
          <w:iCs w:val="false"/>
          <w:color w:val="222629"/>
          <w:sz w:val="20"/>
          <w:szCs w:val="20"/>
        </w:rPr>
        <w:t xml:space="preserve">The typical case is already one interruption more than the design needs, and the worst case is a branch conversation that stalls four times before a policy is bought.</w:t>
      </w:r>
    </w:p>
    <w:p>
      <w:pPr>
        <w:pStyle w:val="Heading2"/>
        <w:keepNext/>
        <w:keepLines/>
        <w:spacing w:after="120" w:before="300"/>
      </w:pPr>
      <w:r>
        <w:rPr>
          <w:b/>
          <w:bCs/>
          <w:color w:val="11304E"/>
          <w:sz w:val="24"/>
          <w:szCs w:val="24"/>
        </w:rPr>
        <w:t xml:space="preserve">11.2  What was asked for, and what is actually available</w:t>
      </w:r>
    </w:p>
    <w:p>
      <w:pPr>
        <w:spacing w:after="120" w:before="0" w:line="276"/>
        <w:jc w:val="left"/>
      </w:pPr>
      <w:r>
        <w:rPr>
          <w:b w:val="false"/>
          <w:bCs w:val="false"/>
          <w:i w:val="false"/>
          <w:iCs w:val="false"/>
          <w:color w:val="222629"/>
          <w:sz w:val="20"/>
          <w:szCs w:val="20"/>
        </w:rPr>
        <w:t xml:space="preserve">The instinct is right: put the consent where the customer is already stopped, rather than wherever the journey happens to need it. But the two obvious ways of doing that are not equally available, and one of them is not available at all.</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024"/>
        <w:gridCol w:w="2699"/>
        <w:gridCol w:w="4915"/>
      </w:tblGrid>
      <w:tr>
        <w:trPr>
          <w:cantSplit/>
          <w:tblHeader/>
        </w:trPr>
        <w:tc>
          <w:tcPr>
            <w:tcW w:type="dxa" w:w="202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Option</w:t>
            </w:r>
          </w:p>
        </w:tc>
        <w:tc>
          <w:tcPr>
            <w:tcW w:type="dxa" w:w="269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Description</w:t>
            </w:r>
          </w:p>
        </w:tc>
        <w:tc>
          <w:tcPr>
            <w:tcW w:type="dxa" w:w="491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Assessment</w:t>
            </w:r>
          </w:p>
        </w:tc>
      </w:tr>
      <w:tr>
        <w:trPr>
          <w:cantSplit/>
        </w:trPr>
        <w:tc>
          <w:tcPr>
            <w:tcW w:type="dxa" w:w="2024"/>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A — everything at the very start</w:t>
            </w:r>
          </w:p>
        </w:tc>
        <w:tc>
          <w:tcPr>
            <w:tcW w:type="dxa" w:w="269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single interaction at the beginning of the journey covering all four consents, before any customer data is read.</w:t>
            </w:r>
          </w:p>
        </w:tc>
        <w:tc>
          <w:tcPr>
            <w:tcW w:type="dxa" w:w="4915"/>
            <w:tcMar>
              <w:top w:type="dxa" w:w="90"/>
              <w:left w:type="dxa" w:w="130"/>
              <w:bottom w:type="dxa" w:w="90"/>
              <w:right w:type="dxa" w:w="130"/>
            </w:tcMar>
            <w:vAlign w:val="top"/>
          </w:tcPr>
          <w:p>
            <w:pPr>
              <w:spacing w:after="40" w:before="40" w:line="252"/>
              <w:jc w:val="left"/>
            </w:pPr>
            <w:r>
              <w:rPr>
                <w:b/>
                <w:bCs/>
                <w:i w:val="false"/>
                <w:iCs w:val="false"/>
                <w:color w:val="8A5A00"/>
                <w:sz w:val="18"/>
                <w:szCs w:val="18"/>
              </w:rPr>
              <w:t xml:space="preserve">Partly available.</w:t>
            </w:r>
            <w:r>
              <w:rPr>
                <w:b w:val="false"/>
                <w:bCs w:val="false"/>
                <w:i w:val="false"/>
                <w:iCs w:val="false"/>
                <w:color w:val="222629"/>
                <w:sz w:val="18"/>
                <w:szCs w:val="18"/>
              </w:rPr>
              <w:t xml:space="preserve"> Data processing, solicitation and servicing communications belong here and are already placed here. Insurer sharing is the difficulty: at the start of the journey no insurer has been selected, and the sharing consent is scoped to a named insurer so that the customer can see who receives their data. A consent to share with whoever the customer later chooses is a blanket consent, and blanket is the thing the scoping requirement exists to prevent — unless the panel is enumerated. That is the question raised as OPEN-CNS-06.</w:t>
            </w:r>
          </w:p>
        </w:tc>
      </w:tr>
      <w:tr>
        <w:trPr>
          <w:cantSplit/>
        </w:trPr>
        <w:tc>
          <w:tcPr>
            <w:tcW w:type="dxa" w:w="2024"/>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B — everything at the proposal stage</w:t>
            </w:r>
          </w:p>
        </w:tc>
        <w:tc>
          <w:tcPr>
            <w:tcW w:type="dxa" w:w="269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single interaction once the customer has chosen a product and the insurer is therefore known.</w:t>
            </w:r>
          </w:p>
        </w:tc>
        <w:tc>
          <w:tcPr>
            <w:tcW w:type="dxa" w:w="4915"/>
            <w:shd w:fill="F1F5F8" w:color="auto" w:val="clear"/>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Not available, and Product has to say so plainly.</w:t>
            </w:r>
            <w:r>
              <w:rPr>
                <w:b w:val="false"/>
                <w:bCs w:val="false"/>
                <w:i w:val="false"/>
                <w:iCs w:val="false"/>
                <w:color w:val="222629"/>
                <w:sz w:val="18"/>
                <w:szCs w:val="18"/>
              </w:rPr>
              <w:t xml:space="preserve"> Data-processing consent authorises reading the customer’s bank record to pre-fill the journey, and solicitation consent authorises the need analysis. By the proposal stage both of those things have already happened. Moving those consents to proposal means asking permission for processing that is already complete. That is retrospective consent; it is one of the first things an examiner looks for; and no improvement in the customer experience justifies it.</w:t>
            </w:r>
          </w:p>
        </w:tc>
      </w:tr>
      <w:tr>
        <w:trPr>
          <w:cantSplit/>
        </w:trPr>
        <w:tc>
          <w:tcPr>
            <w:tcW w:type="dxa" w:w="2024"/>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 — two interactions, front-loaded </w:t>
            </w:r>
            <w:r>
              <w:rPr>
                <w:b/>
                <w:bCs/>
                <w:i w:val="false"/>
                <w:iCs w:val="false"/>
                <w:color w:val="0F6E6E"/>
                <w:sz w:val="18"/>
                <w:szCs w:val="18"/>
              </w:rPr>
              <w:t xml:space="preserve">(recommended)</w:t>
            </w:r>
          </w:p>
        </w:tc>
        <w:tc>
          <w:tcPr>
            <w:tcW w:type="dxa" w:w="269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full consent interaction at the start of the journey, including a panel-scoped sharing consent; and one conditional acknowledgement at the moment the customer selects an offer, carrying whichever disclosures actually apply plus the binding of the sharing consent to the chosen insurer.</w:t>
            </w:r>
          </w:p>
        </w:tc>
        <w:tc>
          <w:tcPr>
            <w:tcW w:type="dxa" w:w="4915"/>
            <w:tcMar>
              <w:top w:type="dxa" w:w="90"/>
              <w:left w:type="dxa" w:w="130"/>
              <w:bottom w:type="dxa" w:w="90"/>
              <w:right w:type="dxa" w:w="130"/>
            </w:tcMar>
            <w:vAlign w:val="top"/>
          </w:tcPr>
          <w:p>
            <w:pPr>
              <w:spacing w:after="40" w:before="40" w:line="252"/>
              <w:jc w:val="left"/>
            </w:pPr>
            <w:r>
              <w:rPr>
                <w:b/>
                <w:bCs/>
                <w:i w:val="false"/>
                <w:iCs w:val="false"/>
                <w:color w:val="0F6E6E"/>
                <w:sz w:val="18"/>
                <w:szCs w:val="18"/>
              </w:rPr>
              <w:t xml:space="preserve">Recommended.</w:t>
            </w:r>
            <w:r>
              <w:rPr>
                <w:b w:val="false"/>
                <w:bCs w:val="false"/>
                <w:i w:val="false"/>
                <w:iCs w:val="false"/>
                <w:color w:val="222629"/>
                <w:sz w:val="18"/>
                <w:szCs w:val="18"/>
              </w:rPr>
              <w:t xml:space="preserve"> Delivers what Option A was reaching for — the customer consents once, at the start, before anything happens to their data — while keeping every consent specific at the moment it is relied upon. A typical journey drops to one interaction; the worst case drops to two.</w:t>
            </w:r>
          </w:p>
        </w:tc>
      </w:tr>
      <w:tr>
        <w:trPr>
          <w:cantSplit/>
        </w:trPr>
        <w:tc>
          <w:tcPr>
            <w:tcW w:type="dxa" w:w="2024"/>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D — leave the sequence as specified</w:t>
            </w:r>
          </w:p>
        </w:tc>
        <w:tc>
          <w:tcPr>
            <w:tcW w:type="dxa" w:w="269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Build the journey exactly as the packs describe it.</w:t>
            </w:r>
          </w:p>
        </w:tc>
        <w:tc>
          <w:tcPr>
            <w:tcW w:type="dxa" w:w="491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Compliant, and the fallback if OPEN-CNS-06 is declined. It costs the customer one avoidable interruption on every journey, and up to three on a replacement case that also carries a caution.</w:t>
            </w:r>
          </w:p>
        </w:tc>
      </w:tr>
    </w:tbl>
    <w:p>
      <w:pPr>
        <w:pStyle w:val="Heading2"/>
        <w:keepNext/>
        <w:keepLines/>
        <w:spacing w:after="120" w:before="300"/>
      </w:pPr>
      <w:r>
        <w:rPr>
          <w:b/>
          <w:bCs/>
          <w:color w:val="11304E"/>
          <w:sz w:val="24"/>
          <w:szCs w:val="24"/>
        </w:rPr>
        <w:t xml:space="preserve">11.3  The recommended design</w:t>
      </w:r>
    </w:p>
    <w:p>
      <w:pPr>
        <w:spacing w:after="120" w:before="0" w:line="276"/>
        <w:jc w:val="left"/>
      </w:pPr>
      <w:r>
        <w:rPr>
          <w:b w:val="false"/>
          <w:bCs w:val="false"/>
          <w:i w:val="false"/>
          <w:iCs w:val="false"/>
          <w:color w:val="222629"/>
          <w:sz w:val="20"/>
          <w:szCs w:val="20"/>
        </w:rPr>
        <w:t xml:space="preserve">Two named interactions, and nothing else in the journey asks the customer for anything.</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542"/>
        <w:gridCol w:w="4048"/>
        <w:gridCol w:w="4048"/>
      </w:tblGrid>
      <w:tr>
        <w:trPr>
          <w:cantSplit/>
          <w:tblHeader/>
        </w:trPr>
        <w:tc>
          <w:tcPr>
            <w:tcW w:type="dxa" w:w="154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
            </w:r>
          </w:p>
        </w:tc>
        <w:tc>
          <w:tcPr>
            <w:tcW w:type="dxa" w:w="404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Interaction 1 — Advice and Data Consent</w:t>
            </w:r>
          </w:p>
        </w:tc>
        <w:tc>
          <w:tcPr>
            <w:tcW w:type="dxa" w:w="404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Interaction 2 — Recommendation Acknowledgement</w:t>
            </w:r>
          </w:p>
        </w:tc>
      </w:tr>
      <w:tr>
        <w:trPr>
          <w:cantSplit/>
        </w:trPr>
        <w:tc>
          <w:tcPr>
            <w:tcW w:type="dxa" w:w="154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When</w:t>
            </w:r>
          </w:p>
        </w:tc>
        <w:tc>
          <w:tcPr>
            <w:tcW w:type="dxa" w:w="404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At the start of the journey, before any bank record is read and before the questionnaire is presented.</w:t>
            </w:r>
          </w:p>
        </w:tc>
        <w:tc>
          <w:tcPr>
            <w:tcW w:type="dxa" w:w="404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After the assessment and before the first quote is shown.</w:t>
            </w:r>
            <w:r>
              <w:rPr>
                <w:b w:val="false"/>
                <w:bCs w:val="false"/>
                <w:i w:val="false"/>
                <w:iCs w:val="false"/>
                <w:color w:val="222629"/>
                <w:sz w:val="18"/>
                <w:szCs w:val="18"/>
              </w:rPr>
              <w:t xml:space="preserve"> It cannot sit at offer selection: the caution and replacement disclosures must be acknowledged before a quote exists, and an offer cannot be selected before there is a quote to select. Correcting that ordering error is part of this proposal.</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Carries</w:t>
            </w:r>
          </w:p>
        </w:tc>
        <w:tc>
          <w:tcPr>
            <w:tcW w:type="dxa" w:w="404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Data processing, solicitation, servicing communications, and insurer sharing scoped to the named panel.</w:t>
            </w:r>
          </w:p>
        </w:tc>
        <w:tc>
          <w:tcPr>
            <w:tcW w:type="dxa" w:w="404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caution disclosure if any product class produced one, and the replacement disclosure if the customer is replacing a policy. Insurer scope binding is NOT carried here — it happens later, when the insurer is actually known.</w:t>
            </w:r>
          </w:p>
        </w:tc>
      </w:tr>
      <w:tr>
        <w:trPr>
          <w:cantSplit/>
        </w:trPr>
        <w:tc>
          <w:tcPr>
            <w:tcW w:type="dxa" w:w="154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Record written</w:t>
            </w:r>
          </w:p>
        </w:tc>
        <w:tc>
          <w:tcPr>
            <w:tcW w:type="dxa" w:w="404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Four separate consent records, four statement identifiers, four independent withdrawal handles — sharing one verification event.</w:t>
            </w:r>
          </w:p>
        </w:tc>
        <w:tc>
          <w:tcPr>
            <w:tcW w:type="dxa" w:w="404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acknowledgement record per disclosure, each naming the exact reason codes acknowledged and the assessment they belong to.</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When it fires</w:t>
            </w:r>
          </w:p>
        </w:tc>
        <w:tc>
          <w:tcPr>
            <w:tcW w:type="dxa" w:w="404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Always — unless valid consents already exist for this customer within their windows, in which case only the expired ones are re-taken.</w:t>
            </w:r>
          </w:p>
        </w:tc>
        <w:tc>
          <w:tcPr>
            <w:tcW w:type="dxa" w:w="404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Only when a caution or replacement disclosure actually applies. For a straightforward term purchase on a clean profile, it never fires.</w:t>
            </w:r>
          </w:p>
        </w:tc>
      </w:tr>
      <w:tr>
        <w:trPr>
          <w:cantSplit/>
        </w:trPr>
        <w:tc>
          <w:tcPr>
            <w:tcW w:type="dxa" w:w="154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Customer-device code</w:t>
            </w:r>
          </w:p>
        </w:tc>
        <w:tc>
          <w:tcPr>
            <w:tcW w:type="dxa" w:w="404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w:t>
            </w:r>
          </w:p>
        </w:tc>
        <w:tc>
          <w:tcPr>
            <w:tcW w:type="dxa" w:w="404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or none.</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Not an interaction</w:t>
            </w:r>
          </w:p>
        </w:tc>
        <w:tc>
          <w:tcPr>
            <w:tcW w:type="dxa" w:w="404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t>
            </w:r>
          </w:p>
        </w:tc>
        <w:tc>
          <w:tcPr>
            <w:tcW w:type="dxa" w:w="404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Scope binding happens on every sale</w:t>
            </w:r>
            <w:r>
              <w:rPr>
                <w:b w:val="false"/>
                <w:bCs w:val="false"/>
                <w:i w:val="false"/>
                <w:iCs w:val="false"/>
                <w:color w:val="222629"/>
                <w:sz w:val="18"/>
                <w:szCs w:val="18"/>
              </w:rPr>
              <w:t xml:space="preserve">, at offer selection, once the insurer is known. It is a recorded event and a notice to the customer naming the insurer — not a third ceremony and not a third code. See §11.5, CNS-R22c and CNS-R22d.</w:t>
            </w:r>
          </w:p>
        </w:tc>
      </w:tr>
    </w:tbl>
    <w:p>
      <w:pPr>
        <w:spacing w:after="140"/>
      </w:pPr>
      <w:r>
        <w:t xml:space="preserve"/>
      </w:r>
    </w:p>
    <w:p>
      <w:pPr>
        <w:pStyle w:val="Heading3"/>
        <w:keepNext/>
        <w:keepLines/>
        <w:spacing w:after="100" w:before="220"/>
      </w:pPr>
      <w:r>
        <w:rPr>
          <w:b/>
          <w:bCs/>
          <w:color w:val="0F6E6E"/>
          <w:sz w:val="21"/>
          <w:szCs w:val="21"/>
        </w:rPr>
        <w:t xml:space="preserve">What this changes for the customer</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4819"/>
        <w:gridCol w:w="2410"/>
        <w:gridCol w:w="2409"/>
      </w:tblGrid>
      <w:tr>
        <w:trPr>
          <w:cantSplit/>
          <w:tblHeader/>
        </w:trPr>
        <w:tc>
          <w:tcPr>
            <w:tcW w:type="dxa" w:w="481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Scenario</w:t>
            </w:r>
          </w:p>
        </w:tc>
        <w:tc>
          <w:tcPr>
            <w:tcW w:type="dxa" w:w="2410"/>
            <w:shd w:fill="11304E" w:color="auto" w:val="clear"/>
            <w:tcMar>
              <w:top w:type="dxa" w:w="90"/>
              <w:left w:type="dxa" w:w="130"/>
              <w:bottom w:type="dxa" w:w="90"/>
              <w:right w:type="dxa" w:w="130"/>
            </w:tcMar>
            <w:vAlign w:val="center"/>
          </w:tcPr>
          <w:p>
            <w:pPr>
              <w:spacing w:after="40" w:before="40" w:line="252"/>
              <w:jc w:val="center"/>
            </w:pPr>
            <w:r>
              <w:rPr>
                <w:b/>
                <w:bCs/>
                <w:i w:val="false"/>
                <w:iCs w:val="false"/>
                <w:color w:val="FFFFFF"/>
                <w:sz w:val="18"/>
                <w:szCs w:val="18"/>
              </w:rPr>
              <w:t xml:space="preserve">As specified</w:t>
            </w:r>
          </w:p>
        </w:tc>
        <w:tc>
          <w:tcPr>
            <w:tcW w:type="dxa" w:w="2409"/>
            <w:shd w:fill="11304E" w:color="auto" w:val="clear"/>
            <w:tcMar>
              <w:top w:type="dxa" w:w="90"/>
              <w:left w:type="dxa" w:w="130"/>
              <w:bottom w:type="dxa" w:w="90"/>
              <w:right w:type="dxa" w:w="130"/>
            </w:tcMar>
            <w:vAlign w:val="center"/>
          </w:tcPr>
          <w:p>
            <w:pPr>
              <w:spacing w:after="40" w:before="40" w:line="252"/>
              <w:jc w:val="center"/>
            </w:pPr>
            <w:r>
              <w:rPr>
                <w:b/>
                <w:bCs/>
                <w:i w:val="false"/>
                <w:iCs w:val="false"/>
                <w:color w:val="FFFFFF"/>
                <w:sz w:val="18"/>
                <w:szCs w:val="18"/>
              </w:rPr>
              <w:t xml:space="preserve">Proposed</w:t>
            </w:r>
          </w:p>
        </w:tc>
      </w:tr>
      <w:tr>
        <w:trPr>
          <w:cantSplit/>
        </w:trPr>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New customer, clean profile, straightforward term purchase</w:t>
            </w:r>
          </w:p>
        </w:tc>
        <w:tc>
          <w:tcPr>
            <w:tcW w:type="dxa" w:w="2410"/>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2 interactions</w:t>
            </w:r>
          </w:p>
        </w:tc>
        <w:tc>
          <w:tcPr>
            <w:tcW w:type="dxa" w:w="2409"/>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 interaction</w:t>
            </w:r>
          </w:p>
        </w:tc>
      </w:tr>
      <w:tr>
        <w:trPr>
          <w:cantSplit/>
        </w:trPr>
        <w:tc>
          <w:tcPr>
            <w:tcW w:type="dxa" w:w="481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Customer whose premium is high relative to income</w:t>
            </w:r>
          </w:p>
        </w:tc>
        <w:tc>
          <w:tcPr>
            <w:tcW w:type="dxa" w:w="2410"/>
            <w:shd w:fill="F1F5F8" w:color="auto" w:val="clear"/>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3 interactions</w:t>
            </w:r>
          </w:p>
        </w:tc>
        <w:tc>
          <w:tcPr>
            <w:tcW w:type="dxa" w:w="2409"/>
            <w:shd w:fill="F1F5F8" w:color="auto" w:val="clear"/>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2 interactions</w:t>
            </w:r>
          </w:p>
        </w:tc>
      </w:tr>
      <w:tr>
        <w:trPr>
          <w:cantSplit/>
        </w:trPr>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Customer replacing an existing policy, also carrying a caution</w:t>
            </w:r>
          </w:p>
        </w:tc>
        <w:tc>
          <w:tcPr>
            <w:tcW w:type="dxa" w:w="2410"/>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4 interactions</w:t>
            </w:r>
          </w:p>
        </w:tc>
        <w:tc>
          <w:tcPr>
            <w:tcW w:type="dxa" w:w="2409"/>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2 interactions</w:t>
            </w:r>
          </w:p>
        </w:tc>
      </w:tr>
      <w:tr>
        <w:trPr>
          <w:cantSplit/>
        </w:trPr>
        <w:tc>
          <w:tcPr>
            <w:tcW w:type="dxa" w:w="481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Returning customer inside 30 days, clean profile — every consent and the assessment are still valid</w:t>
            </w:r>
          </w:p>
        </w:tc>
        <w:tc>
          <w:tcPr>
            <w:tcW w:type="dxa" w:w="2410"/>
            <w:shd w:fill="F1F5F8" w:color="auto" w:val="clear"/>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1–2 interactions</w:t>
            </w:r>
          </w:p>
        </w:tc>
        <w:tc>
          <w:tcPr>
            <w:tcW w:type="dxa" w:w="2409"/>
            <w:shd w:fill="F1F5F8" w:color="auto" w:val="clear"/>
            <w:tcMar>
              <w:top w:type="dxa" w:w="90"/>
              <w:left w:type="dxa" w:w="130"/>
              <w:bottom w:type="dxa" w:w="90"/>
              <w:right w:type="dxa" w:w="130"/>
            </w:tcMar>
            <w:vAlign w:val="top"/>
          </w:tcPr>
          <w:p>
            <w:pPr>
              <w:spacing w:after="40" w:before="40" w:line="252"/>
              <w:jc w:val="center"/>
            </w:pPr>
            <w:r>
              <w:rPr>
                <w:b/>
                <w:bCs/>
                <w:i w:val="false"/>
                <w:iCs w:val="false"/>
                <w:color w:val="0F6E6E"/>
                <w:sz w:val="18"/>
                <w:szCs w:val="18"/>
              </w:rPr>
              <w:t xml:space="preserve">none</w:t>
            </w:r>
          </w:p>
        </w:tc>
      </w:tr>
      <w:tr>
        <w:trPr>
          <w:cantSplit/>
        </w:trPr>
        <w:tc>
          <w:tcPr>
            <w:tcW w:type="dxa" w:w="481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Returning customer at 31–90 days, clean profile — data-processing and solicitation consent still valid, but sharing consent and the assessment have expired</w:t>
            </w:r>
          </w:p>
        </w:tc>
        <w:tc>
          <w:tcPr>
            <w:tcW w:type="dxa" w:w="2410"/>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1–2 interactions</w:t>
            </w:r>
          </w:p>
        </w:tc>
        <w:tc>
          <w:tcPr>
            <w:tcW w:type="dxa" w:w="2409"/>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 interaction (a fresh assessment and a fresh sharing consent; the other consents are reused)</w:t>
            </w:r>
          </w:p>
        </w:tc>
      </w:tr>
    </w:tbl>
    <w:p>
      <w:pPr>
        <w:spacing w:after="120"/>
      </w:pPr>
      <w:r>
        <w:t xml:space="preserve"/>
      </w:r>
    </w:p>
    <w:p>
      <w:pPr>
        <w:spacing w:after="120" w:before="0" w:line="276"/>
        <w:jc w:val="left"/>
      </w:pPr>
      <w:r>
        <w:rPr>
          <w:b w:val="false"/>
          <w:bCs w:val="false"/>
          <w:i w:val="false"/>
          <w:iCs w:val="false"/>
          <w:color w:val="222629"/>
          <w:sz w:val="20"/>
          <w:szCs w:val="20"/>
        </w:rPr>
        <w:t xml:space="preserve">The two returning-customer rows are set out separately because the windows differ and it would be misleading to average them. Data-processing and solicitation consent last 90 days; sharing consent lasts 30, and a suitability assessment lasts 30. A customer returning inside 30 days meets no interaction at all. A customer returning on day 45 is re-assessed and gives a fresh sharing consent, but is not asked again for permission the bank already holds. The rule that produces this is already in the pack: reuse is bounded by customer, event, scope and window together — all four.</w:t>
      </w:r>
    </w:p>
    <w:p>
      <w:pPr>
        <w:pStyle w:val="Heading2"/>
        <w:keepNext/>
        <w:keepLines/>
        <w:pageBreakBefore/>
        <w:spacing w:after="120" w:before="0"/>
      </w:pPr>
      <w:r>
        <w:rPr>
          <w:b/>
          <w:bCs/>
          <w:color w:val="11304E"/>
          <w:sz w:val="24"/>
          <w:szCs w:val="24"/>
        </w:rPr>
        <w:t xml:space="preserve">11.4  Why this is a compliance improvement and not only an experience improvement</w:t>
      </w:r>
    </w:p>
    <w:p>
      <w:pPr>
        <w:pStyle w:val="ListParagraph"/>
        <w:numPr>
          <w:ilvl w:val="0"/>
          <w:numId w:val="2"/>
        </w:numPr>
        <w:spacing w:after="80" w:line="276"/>
      </w:pPr>
      <w:r>
        <w:rPr>
          <w:b/>
          <w:bCs/>
          <w:i w:val="false"/>
          <w:iCs w:val="false"/>
          <w:color w:val="222629"/>
          <w:sz w:val="20"/>
          <w:szCs w:val="20"/>
        </w:rPr>
        <w:t xml:space="preserve">Consent precedes processing, visibly. </w:t>
      </w:r>
      <w:r>
        <w:rPr>
          <w:b w:val="false"/>
          <w:bCs w:val="false"/>
          <w:i w:val="false"/>
          <w:iCs w:val="false"/>
          <w:color w:val="222629"/>
          <w:sz w:val="20"/>
          <w:szCs w:val="20"/>
        </w:rPr>
        <w:t xml:space="preserve">Every consent in the first interaction is captured before the act it authorises. An examiner walking the journey sees permission first and processing second, with no ordering argument needed.</w:t>
      </w:r>
    </w:p>
    <w:p>
      <w:pPr>
        <w:pStyle w:val="ListParagraph"/>
        <w:numPr>
          <w:ilvl w:val="0"/>
          <w:numId w:val="2"/>
        </w:numPr>
        <w:spacing w:after="80" w:line="276"/>
      </w:pPr>
      <w:r>
        <w:rPr>
          <w:b/>
          <w:bCs/>
          <w:i w:val="false"/>
          <w:iCs w:val="false"/>
          <w:color w:val="222629"/>
          <w:sz w:val="20"/>
          <w:szCs w:val="20"/>
        </w:rPr>
        <w:t xml:space="preserve">One verification event, four separate records. </w:t>
      </w:r>
      <w:r>
        <w:rPr>
          <w:b w:val="false"/>
          <w:bCs w:val="false"/>
          <w:i w:val="false"/>
          <w:iCs w:val="false"/>
          <w:color w:val="222629"/>
          <w:sz w:val="20"/>
          <w:szCs w:val="20"/>
        </w:rPr>
        <w:t xml:space="preserve">The evidence does not degrade. Each consent keeps its own statement identifier, version, exact text, hash, validity window and withdrawal handle. What is shared between them is the verification, not the grant.</w:t>
      </w:r>
    </w:p>
    <w:p>
      <w:pPr>
        <w:pStyle w:val="ListParagraph"/>
        <w:numPr>
          <w:ilvl w:val="0"/>
          <w:numId w:val="2"/>
        </w:numPr>
        <w:spacing w:after="80" w:line="276"/>
      </w:pPr>
      <w:r>
        <w:rPr>
          <w:b/>
          <w:bCs/>
          <w:i w:val="false"/>
          <w:iCs w:val="false"/>
          <w:color w:val="222629"/>
          <w:sz w:val="20"/>
          <w:szCs w:val="20"/>
        </w:rPr>
        <w:t xml:space="preserve">Fewer interruptions means fewer workarounds. </w:t>
      </w:r>
      <w:r>
        <w:rPr>
          <w:b w:val="false"/>
          <w:bCs w:val="false"/>
          <w:i w:val="false"/>
          <w:iCs w:val="false"/>
          <w:color w:val="222629"/>
          <w:sz w:val="20"/>
          <w:szCs w:val="20"/>
        </w:rPr>
        <w:t xml:space="preserve">A control that stops a branch conversation four times teaches staff to find ways around it — to warm up the code in advance, to hold the customer’s phone, to run the interaction before the customer has arrived. Control integrity and interaction cost are not separate problems.</w:t>
      </w:r>
    </w:p>
    <w:p>
      <w:pPr>
        <w:pStyle w:val="ListParagraph"/>
        <w:numPr>
          <w:ilvl w:val="0"/>
          <w:numId w:val="2"/>
        </w:numPr>
        <w:spacing w:after="80" w:line="276"/>
      </w:pPr>
      <w:r>
        <w:rPr>
          <w:b/>
          <w:bCs/>
          <w:i w:val="false"/>
          <w:iCs w:val="false"/>
          <w:color w:val="222629"/>
          <w:sz w:val="20"/>
          <w:szCs w:val="20"/>
        </w:rPr>
        <w:t xml:space="preserve">Disclosures land where the decision is made. </w:t>
      </w:r>
      <w:r>
        <w:rPr>
          <w:b w:val="false"/>
          <w:bCs w:val="false"/>
          <w:i w:val="false"/>
          <w:iCs w:val="false"/>
          <w:color w:val="222629"/>
          <w:sz w:val="20"/>
          <w:szCs w:val="20"/>
        </w:rPr>
        <w:t xml:space="preserve">A caution about affordability means more at the moment the customer is choosing a premium than it does earlier, in the abstract.</w:t>
      </w:r>
    </w:p>
    <w:p>
      <w:pPr>
        <w:spacing w:after="100"/>
      </w:pPr>
      <w:r>
        <w:t xml:space="preserve"/>
      </w:r>
    </w:p>
    <w:p>
      <w:pPr>
        <w:keepNext/>
        <w:keepLines/>
        <w:pBdr>
          <w:top w:val="single" w:color="F1F5F8" w:sz="2" w:space="8"/>
          <w:left w:val="single" w:color="8A5A00" w:sz="18" w:space="10"/>
          <w:right w:val="single" w:color="F1F5F8" w:sz="2" w:space="10"/>
        </w:pBdr>
        <w:shd w:fill="F1F5F8" w:color="auto" w:val="clear"/>
        <w:spacing w:after="100" w:before="140" w:line="276"/>
        <w:ind w:left="200" w:right="200"/>
      </w:pPr>
      <w:r>
        <w:rPr>
          <w:b/>
          <w:bCs/>
          <w:i w:val="false"/>
          <w:iCs w:val="false"/>
          <w:color w:val="8A5A00"/>
          <w:sz w:val="20"/>
          <w:szCs w:val="20"/>
        </w:rPr>
        <w:t xml:space="preserve">The risk this creates, named</w:t>
      </w:r>
    </w:p>
    <w:p>
      <w:pPr>
        <w:keepNext w:val="false"/>
        <w:keepLines/>
        <w:pBdr>
          <w:bottom w:val="single" w:color="F1F5F8" w:sz="2" w:space="8"/>
          <w:left w:val="single" w:color="8A5A00"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Consolidation moves the design closer to a bundled consent, which is precisely what separate capture was protecting against. Product’s answer is not that it will be fine — it is CNS-R12a below, which makes each statement independently declinable. If that rule is not approved, the consolidation should not proceed and Option D stands.</w:t>
      </w:r>
    </w:p>
    <w:p>
      <w:pPr>
        <w:pStyle w:val="Heading2"/>
        <w:keepNext/>
        <w:keepLines/>
        <w:spacing w:after="120" w:before="300"/>
      </w:pPr>
      <w:r>
        <w:rPr>
          <w:b/>
          <w:bCs/>
          <w:color w:val="11304E"/>
          <w:sz w:val="24"/>
          <w:szCs w:val="24"/>
        </w:rPr>
        <w:t xml:space="preserve">11.5  Rule changes required, if approved</w:t>
      </w:r>
    </w:p>
    <w:p>
      <w:pPr>
        <w:spacing w:after="120" w:before="0" w:line="276"/>
        <w:jc w:val="left"/>
      </w:pPr>
      <w:r>
        <w:rPr>
          <w:b w:val="false"/>
          <w:bCs w:val="false"/>
          <w:i w:val="false"/>
          <w:iCs w:val="false"/>
          <w:color w:val="222629"/>
          <w:sz w:val="20"/>
          <w:szCs w:val="20"/>
        </w:rPr>
        <w:t xml:space="preserve">Six changes. Five are new rules; one amends a rule in the pack. Each is drafted so that Compliance can rule on it individually.</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3662"/>
        <w:gridCol w:w="2988"/>
        <w:gridCol w:w="1735"/>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298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c>
          <w:tcPr>
            <w:tcW w:type="dxa" w:w="173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Decision</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CNS-R12a</w:t>
            </w:r>
            <w:r>
              <w:rPr>
                <w:b/>
                <w:bCs/>
                <w:i w:val="false"/>
                <w:iCs w:val="false"/>
                <w:color w:val="222629"/>
                <w:sz w:val="18"/>
                <w:szCs w:val="18"/>
              </w:rPr>
              <w:br/>
              <w:t xml:space="preserve"/>
            </w:r>
            <w:r>
              <w:rPr>
                <w:b w:val="false"/>
                <w:bCs w:val="false"/>
                <w:i/>
                <w:iCs/>
                <w:color w:val="0F6E6E"/>
                <w:sz w:val="18"/>
                <w:szCs w:val="18"/>
              </w:rPr>
              <w:t xml:space="preserve">new</w:t>
            </w:r>
            <w:r>
              <w:rPr>
                <w:b w:val="false"/>
                <w:bCs w:val="false"/>
                <w:i w:val="false"/>
                <w:iCs w:val="false"/>
                <w:color w:val="0F6E6E"/>
                <w:sz w:val="15"/>
                <w:szCs w:val="15"/>
              </w:rPr>
              <w:t xml:space="preserve"/>
            </w:r>
            <w:r>
              <w:rPr>
                <w:b w:val="false"/>
                <w:bCs w:val="false"/>
                <w:i w:val="false"/>
                <w:iCs w:val="false"/>
                <w:color w:val="0F6E6E"/>
                <w:sz w:val="15"/>
                <w:szCs w:val="15"/>
              </w:rPr>
              <w:br/>
              <w:t xml:space="preserve">OBL-DP-02</w:t>
            </w:r>
            <w:r>
              <w:rPr>
                <w:b w:val="false"/>
                <w:bCs w:val="false"/>
                <w:i w:val="false"/>
                <w:iCs w:val="false"/>
                <w:color w:val="0F6E6E"/>
                <w:sz w:val="15"/>
                <w:szCs w:val="15"/>
              </w:rPr>
              <w:br/>
              <w:t xml:space="preserve">OBL-INS-05</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more than one consent statement is presented in a single interaction, each statement MUST be independently declinable. Declining servicing communications MUST NOT block the journey. Declining data processing or solicitation MUST stop it, with the reason named to the customer.</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Decline one statement and accept the rest. The accepted consents exist as separate valid records; the declined statement produces a decline record under CNS-R12b; and the journey behaves as the decline matrix specifies.</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CNS-R12b</w:t>
            </w:r>
            <w:r>
              <w:rPr>
                <w:b/>
                <w:bCs/>
                <w:i w:val="false"/>
                <w:iCs w:val="false"/>
                <w:color w:val="222629"/>
                <w:sz w:val="18"/>
                <w:szCs w:val="18"/>
              </w:rPr>
              <w:br/>
              <w:t xml:space="preserve"/>
            </w:r>
            <w:r>
              <w:rPr>
                <w:b w:val="false"/>
                <w:bCs w:val="false"/>
                <w:i/>
                <w:iCs/>
                <w:color w:val="0F6E6E"/>
                <w:sz w:val="18"/>
                <w:szCs w:val="18"/>
              </w:rPr>
              <w:t xml:space="preserve">new</w:t>
            </w:r>
            <w:r>
              <w:rPr>
                <w:b w:val="false"/>
                <w:bCs w:val="false"/>
                <w:i w:val="false"/>
                <w:iCs w:val="false"/>
                <w:color w:val="0F6E6E"/>
                <w:sz w:val="15"/>
                <w:szCs w:val="15"/>
              </w:rPr>
              <w:t xml:space="preserve"/>
            </w:r>
            <w:r>
              <w:rPr>
                <w:b w:val="false"/>
                <w:bCs w:val="false"/>
                <w:i w:val="false"/>
                <w:iCs w:val="false"/>
                <w:color w:val="0F6E6E"/>
                <w:sz w:val="15"/>
                <w:szCs w:val="15"/>
              </w:rPr>
              <w:br/>
              <w:t xml:space="preserve">OBL-DP-02</w:t>
            </w:r>
            <w:r>
              <w:rPr>
                <w:b w:val="false"/>
                <w:bCs w:val="false"/>
                <w:i w:val="false"/>
                <w:iCs w:val="false"/>
                <w:color w:val="0F6E6E"/>
                <w:sz w:val="15"/>
                <w:szCs w:val="15"/>
              </w:rPr>
              <w:br/>
              <w:t xml:space="preserve">OBL-INS-05</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declined statement MUST produce its own evidence record, carrying the statement identifier and version, the exact text shown, the time, the channel, the acting identity and the outcome DECLINED. A decline is a customer decision and MUST be as evidenced as an acceptance. A declined statement MUST NOT be represented anywhere as an absent or pending consent, and MUST NOT be re-presented within the same interaction.</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Decline one statement: a record exists with outcome DECLINED carrying all six fields. Query the customer’s consent position: the statement reads as declined, not as missing. Attempt to re-present it in the same interaction: refused.</w:t>
            </w:r>
          </w:p>
        </w:tc>
        <w:tc>
          <w:tcPr>
            <w:tcW w:type="dxa" w:w="173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CNS-R22</w:t>
            </w:r>
            <w:r>
              <w:rPr>
                <w:b/>
                <w:bCs/>
                <w:i w:val="false"/>
                <w:iCs w:val="false"/>
                <w:color w:val="222629"/>
                <w:sz w:val="18"/>
                <w:szCs w:val="18"/>
              </w:rPr>
              <w:br/>
              <w:t xml:space="preserve"/>
            </w:r>
            <w:r>
              <w:rPr>
                <w:b w:val="false"/>
                <w:bCs w:val="false"/>
                <w:i/>
                <w:iCs/>
                <w:color w:val="8A5A00"/>
                <w:sz w:val="18"/>
                <w:szCs w:val="18"/>
              </w:rPr>
              <w:t xml:space="preserve">amended</w:t>
            </w:r>
            <w:r>
              <w:rPr>
                <w:b w:val="false"/>
                <w:bCs w:val="false"/>
                <w:i w:val="false"/>
                <w:iCs w:val="false"/>
                <w:color w:val="0F6E6E"/>
                <w:sz w:val="15"/>
                <w:szCs w:val="15"/>
              </w:rPr>
              <w:t xml:space="preserve"/>
            </w:r>
            <w:r>
              <w:rPr>
                <w:b w:val="false"/>
                <w:bCs w:val="false"/>
                <w:i w:val="false"/>
                <w:iCs w:val="false"/>
                <w:color w:val="0F6E6E"/>
                <w:sz w:val="15"/>
                <w:szCs w:val="15"/>
              </w:rPr>
              <w:br/>
              <w:t xml:space="preserve">OBL-DP-02</w:t>
            </w:r>
            <w:r>
              <w:rPr>
                <w:b w:val="false"/>
                <w:bCs w:val="false"/>
                <w:i w:val="false"/>
                <w:iCs w:val="false"/>
                <w:color w:val="0F6E6E"/>
                <w:sz w:val="15"/>
                <w:szCs w:val="15"/>
              </w:rPr>
              <w:br/>
              <w:t xml:space="preserve">OBL-DP-09</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Insurer-sharing consent MAY be captured as a panel-scoped consent that names every insurer on the approved panel by legal entity name within the statement text, provided the scope is subsequently bound to exactly one of them by an explicit customer selection.</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text shown to the customer contains each panel entity’s legal name verbatim. Adding an insurer to the panel requires a new material statement version and does not extend the scope of any consent already captured.</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CNS-R22b</w:t>
            </w:r>
            <w:r>
              <w:rPr>
                <w:b/>
                <w:bCs/>
                <w:i w:val="false"/>
                <w:iCs w:val="false"/>
                <w:color w:val="222629"/>
                <w:sz w:val="18"/>
                <w:szCs w:val="18"/>
              </w:rPr>
              <w:br/>
              <w:t xml:space="preserve"/>
            </w:r>
            <w:r>
              <w:rPr>
                <w:b w:val="false"/>
                <w:bCs w:val="false"/>
                <w:i/>
                <w:iCs/>
                <w:color w:val="0F6E6E"/>
                <w:sz w:val="18"/>
                <w:szCs w:val="18"/>
              </w:rPr>
              <w:t xml:space="preserve">new</w:t>
            </w:r>
            <w:r>
              <w:rPr>
                <w:b w:val="false"/>
                <w:bCs w:val="false"/>
                <w:i w:val="false"/>
                <w:iCs w:val="false"/>
                <w:color w:val="0F6E6E"/>
                <w:sz w:val="15"/>
                <w:szCs w:val="15"/>
              </w:rPr>
              <w:t xml:space="preserve"/>
            </w:r>
            <w:r>
              <w:rPr>
                <w:b w:val="false"/>
                <w:bCs w:val="false"/>
                <w:i w:val="false"/>
                <w:iCs w:val="false"/>
                <w:color w:val="0F6E6E"/>
                <w:sz w:val="15"/>
                <w:szCs w:val="15"/>
              </w:rPr>
              <w:br/>
              <w:t xml:space="preserve">OBL-DP-02</w:t>
            </w:r>
            <w:r>
              <w:rPr>
                <w:b w:val="false"/>
                <w:bCs w:val="false"/>
                <w:i w:val="false"/>
                <w:iCs w:val="false"/>
                <w:color w:val="0F6E6E"/>
                <w:sz w:val="15"/>
                <w:szCs w:val="15"/>
              </w:rPr>
              <w:br/>
              <w:t xml:space="preserve">OBL-DP-09</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Customer data MUST NOT be transmitted to any insurer on the panel other than the one bound by the selection, notwithstanding that the consent enumerates several.</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Bind the scope to one insurer, then attempt a submission to another. The attempt is refused with a scope-mismatch error and no outbound transmission occurs.</w:t>
            </w:r>
          </w:p>
        </w:tc>
        <w:tc>
          <w:tcPr>
            <w:tcW w:type="dxa" w:w="173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CNS-R22c</w:t>
            </w:r>
            <w:r>
              <w:rPr>
                <w:b/>
                <w:bCs/>
                <w:i w:val="false"/>
                <w:iCs w:val="false"/>
                <w:color w:val="222629"/>
                <w:sz w:val="18"/>
                <w:szCs w:val="18"/>
              </w:rPr>
              <w:br/>
              <w:t xml:space="preserve"/>
            </w:r>
            <w:r>
              <w:rPr>
                <w:b w:val="false"/>
                <w:bCs w:val="false"/>
                <w:i/>
                <w:iCs/>
                <w:color w:val="0F6E6E"/>
                <w:sz w:val="18"/>
                <w:szCs w:val="18"/>
              </w:rPr>
              <w:t xml:space="preserve">new</w:t>
            </w:r>
            <w:r>
              <w:rPr>
                <w:b w:val="false"/>
                <w:bCs w:val="false"/>
                <w:i w:val="false"/>
                <w:iCs w:val="false"/>
                <w:color w:val="0F6E6E"/>
                <w:sz w:val="15"/>
                <w:szCs w:val="15"/>
              </w:rPr>
              <w:t xml:space="preserve"/>
            </w:r>
            <w:r>
              <w:rPr>
                <w:b w:val="false"/>
                <w:bCs w:val="false"/>
                <w:i w:val="false"/>
                <w:iCs w:val="false"/>
                <w:color w:val="0F6E6E"/>
                <w:sz w:val="15"/>
                <w:szCs w:val="15"/>
              </w:rPr>
              <w:br/>
              <w:t xml:space="preserve">OBL-DP-02</w:t>
            </w:r>
            <w:r>
              <w:rPr>
                <w:b w:val="false"/>
                <w:bCs w:val="false"/>
                <w:i w:val="false"/>
                <w:iCs w:val="false"/>
                <w:color w:val="0F6E6E"/>
                <w:sz w:val="15"/>
                <w:szCs w:val="15"/>
              </w:rPr>
              <w:br/>
              <w:t xml:space="preserve">OBL-DP-09</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binding MUST be recorded as a new record referencing the panel consent, carrying the selected insurer, the offer, the time, the acting staff identity and a reference to the customer’s selection. No further one-time password is required for the binding itself.</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Perform a binding; one new record exists carrying all six items, chained to the original consent, and the original record is unaltered.</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CNS-R22d</w:t>
            </w:r>
            <w:r>
              <w:rPr>
                <w:b/>
                <w:bCs/>
                <w:i w:val="false"/>
                <w:iCs w:val="false"/>
                <w:color w:val="222629"/>
                <w:sz w:val="18"/>
                <w:szCs w:val="18"/>
              </w:rPr>
              <w:br/>
              <w:t xml:space="preserve"/>
            </w:r>
            <w:r>
              <w:rPr>
                <w:b w:val="false"/>
                <w:bCs w:val="false"/>
                <w:i/>
                <w:iCs/>
                <w:color w:val="0F6E6E"/>
                <w:sz w:val="18"/>
                <w:szCs w:val="18"/>
              </w:rPr>
              <w:t xml:space="preserve">new</w:t>
            </w:r>
            <w:r>
              <w:rPr>
                <w:b w:val="false"/>
                <w:bCs w:val="false"/>
                <w:i w:val="false"/>
                <w:iCs w:val="false"/>
                <w:color w:val="0F6E6E"/>
                <w:sz w:val="15"/>
                <w:szCs w:val="15"/>
              </w:rPr>
              <w:t xml:space="preserve"/>
            </w:r>
            <w:r>
              <w:rPr>
                <w:b w:val="false"/>
                <w:bCs w:val="false"/>
                <w:i w:val="false"/>
                <w:iCs w:val="false"/>
                <w:color w:val="0F6E6E"/>
                <w:sz w:val="15"/>
                <w:szCs w:val="15"/>
              </w:rPr>
              <w:br/>
              <w:t xml:space="preserve">OBL-DP-01</w:t>
            </w:r>
            <w:r>
              <w:rPr>
                <w:b w:val="false"/>
                <w:bCs w:val="false"/>
                <w:i w:val="false"/>
                <w:iCs w:val="false"/>
                <w:color w:val="0F6E6E"/>
                <w:sz w:val="15"/>
                <w:szCs w:val="15"/>
              </w:rPr>
              <w:br/>
              <w:t xml:space="preserve">OBL-DP-02</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Before any data reaches the insurer, the customer MUST be shown on their own device the legal entity name of the insurer their data will be sent to, together with an instruction on how to stop the submission. The submission MUST then be held for a defined notice interval, during which a stop instruction from the customer prevents it. Product proposes 15 minutes, and the interval is a Compliance-set parameter: Compliance may set any value, and setting it to zero means the notice is informational only and the submission proceeds at once.</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Perform a binding. A message naming the insurer by legal entity name is dispatched to the customer’s registered number and the submission is held. Submit a stop instruction inside the interval: the submission does not occur and the reason is recorded. Let the interval elapse with no instruction: the submission proceeds. Assert the interval in force is the configured value and that changing it is an audited configuration change, not a code change.</w:t>
            </w:r>
          </w:p>
        </w:tc>
        <w:tc>
          <w:tcPr>
            <w:tcW w:type="dxa" w:w="173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 Accept</w:t>
            </w:r>
            <w:r>
              <w:rPr>
                <w:b w:val="false"/>
                <w:bCs w:val="false"/>
                <w:i w:val="false"/>
                <w:iCs w:val="false"/>
                <w:color w:val="222629"/>
                <w:sz w:val="18"/>
                <w:szCs w:val="18"/>
              </w:rPr>
              <w:br/>
              <w:t xml:space="preserve">☐ Amend</w:t>
            </w:r>
            <w:r>
              <w:rPr>
                <w:b w:val="false"/>
                <w:bCs w:val="false"/>
                <w:i w:val="false"/>
                <w:iCs w:val="false"/>
                <w:color w:val="222629"/>
                <w:sz w:val="18"/>
                <w:szCs w:val="18"/>
              </w:rPr>
              <w:br/>
              <w:t xml:space="preserve">☐ Reject</w:t>
            </w:r>
          </w:p>
        </w:tc>
      </w:tr>
    </w:tbl>
    <w:p>
      <w:pPr>
        <w:spacing w:after="120"/>
      </w:pPr>
      <w:r>
        <w:t xml:space="preserve"/>
      </w:r>
    </w:p>
    <w:p>
      <w:pPr>
        <w:keepNext/>
        <w:keepLines/>
        <w:pBdr>
          <w:top w:val="single" w:color="F1F5F8" w:sz="2" w:space="8"/>
          <w:left w:val="single" w:color="9B2226" w:sz="18" w:space="10"/>
          <w:right w:val="single" w:color="F1F5F8" w:sz="2" w:space="10"/>
        </w:pBdr>
        <w:shd w:fill="F1F5F8" w:color="auto" w:val="clear"/>
        <w:spacing w:after="100" w:before="140" w:line="276"/>
        <w:ind w:left="200" w:right="200"/>
      </w:pPr>
      <w:r>
        <w:rPr>
          <w:b/>
          <w:bCs/>
          <w:i w:val="false"/>
          <w:iCs w:val="false"/>
          <w:color w:val="9B2226"/>
          <w:sz w:val="20"/>
          <w:szCs w:val="20"/>
        </w:rPr>
        <w:t xml:space="preserve">CNS-R22d is where this design is thinnest, and Product says so</w:t>
      </w:r>
    </w:p>
    <w:p>
      <w:pPr>
        <w:keepNext w:val="false"/>
        <w:keepLines/>
        <w:pBdr>
          <w:bottom w:val="single" w:color="F1F5F8" w:sz="2" w:space="8"/>
          <w:left w:val="single" w:color="9B2226"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A notice naming the insurer, with an instruction on how to stop, is not the same thing as a fresh affirmative act. Reasonable people will differ on whether an enumerated-panel consent plus the customer’s own product selection together carry the specificity that a separate sharing consent carries today. Product’s view is that they do: the customer chose the insurer themselves, and the panel was named to them in writing at the point of capture. If Compliance’s view is that they do not, the fallback in §11.6 costs the customer very little.</w:t>
      </w:r>
    </w:p>
    <w:p>
      <w:pPr>
        <w:pStyle w:val="Heading2"/>
        <w:keepNext/>
        <w:keepLines/>
        <w:spacing w:after="120" w:before="300"/>
      </w:pPr>
      <w:r>
        <w:rPr>
          <w:b/>
          <w:bCs/>
          <w:color w:val="11304E"/>
          <w:sz w:val="24"/>
          <w:szCs w:val="24"/>
        </w:rPr>
        <w:t xml:space="preserve">11.6  If Compliance declines the panel-scoped consent</w:t>
      </w:r>
    </w:p>
    <w:p>
      <w:pPr>
        <w:spacing w:after="120" w:before="0" w:line="276"/>
        <w:jc w:val="left"/>
      </w:pPr>
      <w:r>
        <w:rPr>
          <w:b w:val="false"/>
          <w:bCs w:val="false"/>
          <w:i w:val="false"/>
          <w:iCs w:val="false"/>
          <w:color w:val="222629"/>
          <w:sz w:val="20"/>
          <w:szCs w:val="20"/>
        </w:rPr>
        <w:t xml:space="preserve">The proposal degrades gracefully, and Product will implement the fallback without further argument.</w:t>
      </w:r>
    </w:p>
    <w:p>
      <w:pPr>
        <w:pStyle w:val="ListParagraph"/>
        <w:numPr>
          <w:ilvl w:val="0"/>
          <w:numId w:val="3"/>
        </w:numPr>
        <w:spacing w:after="80" w:line="276"/>
      </w:pPr>
      <w:r>
        <w:rPr>
          <w:sz w:val="20"/>
          <w:szCs w:val="20"/>
        </w:rPr>
        <w:t xml:space="preserve">Insurer-sharing consent reverts to capture at the point the insurer is known, with its own verification, exactly as the pack specifies today.</w:t>
      </w:r>
    </w:p>
    <w:p>
      <w:pPr>
        <w:pStyle w:val="ListParagraph"/>
        <w:numPr>
          <w:ilvl w:val="0"/>
          <w:numId w:val="3"/>
        </w:numPr>
        <w:spacing w:after="80" w:line="276"/>
      </w:pPr>
      <w:r>
        <w:rPr>
          <w:sz w:val="20"/>
          <w:szCs w:val="20"/>
        </w:rPr>
        <w:t xml:space="preserve">That capture is merged into the second interaction rather than held as a separate step at proposal — the same screen, the same verification event, alongside whichever disclosures apply.</w:t>
      </w:r>
    </w:p>
    <w:p>
      <w:pPr>
        <w:pStyle w:val="ListParagraph"/>
        <w:numPr>
          <w:ilvl w:val="0"/>
          <w:numId w:val="3"/>
        </w:numPr>
        <w:spacing w:after="80" w:line="276"/>
      </w:pPr>
      <w:r>
        <w:rPr>
          <w:sz w:val="20"/>
          <w:szCs w:val="20"/>
        </w:rPr>
        <w:t xml:space="preserve">The first interaction keeps data processing, solicitation and servicing communications as one interaction with three separately-recorded, independently-declinable consents.</w:t>
      </w:r>
    </w:p>
    <w:p>
      <w:pPr>
        <w:spacing w:after="100"/>
      </w:pPr>
      <w:r>
        <w:t xml:space="preserve"/>
      </w:r>
    </w:p>
    <w:p>
      <w:pPr>
        <w:spacing w:after="120" w:before="0" w:line="276"/>
        <w:jc w:val="left"/>
      </w:pPr>
      <w:r>
        <w:rPr>
          <w:b/>
          <w:bCs/>
          <w:i w:val="false"/>
          <w:iCs w:val="false"/>
          <w:color w:val="222629"/>
          <w:sz w:val="20"/>
          <w:szCs w:val="20"/>
        </w:rPr>
        <w:t xml:space="preserve">The fallback yields exactly two interactions in every case, instead of two to four. </w:t>
      </w:r>
      <w:r>
        <w:rPr>
          <w:b w:val="false"/>
          <w:bCs w:val="false"/>
          <w:i w:val="false"/>
          <w:iCs w:val="false"/>
          <w:color w:val="222629"/>
          <w:sz w:val="20"/>
          <w:szCs w:val="20"/>
        </w:rPr>
        <w:t xml:space="preserve">That is still an improvement, and it needs only CNS-R12a and none of the panel-scoping rules. If Compliance is minded to decline OPEN-CNS-06, please still rule on CNS-R12a, because the fallback depends on it.</w:t>
      </w:r>
    </w:p>
    <w:p>
      <w:pPr>
        <w:pStyle w:val="Heading2"/>
        <w:keepNext/>
        <w:keepLines/>
        <w:spacing w:after="120" w:before="300"/>
      </w:pPr>
      <w:r>
        <w:rPr>
          <w:b/>
          <w:bCs/>
          <w:color w:val="11304E"/>
          <w:sz w:val="24"/>
          <w:szCs w:val="24"/>
        </w:rPr>
        <w:t xml:space="preserve">11.7  What this changes in the work ahead</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928"/>
        <w:gridCol w:w="7710"/>
      </w:tblGrid>
      <w:tr>
        <w:trPr>
          <w:cantSplit/>
          <w:tblHeader/>
        </w:trPr>
        <w:tc>
          <w:tcPr>
            <w:tcW w:type="dxa" w:w="192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Area</w:t>
            </w:r>
          </w:p>
        </w:tc>
        <w:tc>
          <w:tcPr>
            <w:tcW w:type="dxa" w:w="771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Impact if §11 is approved</w:t>
            </w:r>
          </w:p>
        </w:tc>
      </w:tr>
      <w:tr>
        <w:trPr>
          <w:cantSplit/>
        </w:trPr>
        <w:tc>
          <w:tcPr>
            <w:tcW w:type="dxa" w:w="192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Record structure</w:t>
            </w:r>
          </w:p>
        </w:tc>
        <w:tc>
          <w:tcPr>
            <w:tcW w:type="dxa" w:w="771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None. The consent record already carries statement-level identity, and reuse and supersession chains are already specified. The binding record is a new record type, not a redesign.</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Consent Service</w:t>
            </w:r>
          </w:p>
        </w:tc>
        <w:tc>
          <w:tcPr>
            <w:tcW w:type="dxa" w:w="771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Small. One additional operation to bind a scope, and one additional validation that the bound insurer matches the submission target.</w:t>
            </w:r>
          </w:p>
        </w:tc>
      </w:tr>
      <w:tr>
        <w:trPr>
          <w:cantSplit/>
        </w:trPr>
        <w:tc>
          <w:tcPr>
            <w:tcW w:type="dxa" w:w="192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Journey sequencing</w:t>
            </w:r>
          </w:p>
        </w:tc>
        <w:tc>
          <w:tcPr>
            <w:tcW w:type="dxa" w:w="771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Moderate. The second interaction becomes conditional, so the journey has to determine whether any disclosure applies before deciding whether to present it at all.</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Screen design</w:t>
            </w:r>
          </w:p>
        </w:tc>
        <w:tc>
          <w:tcPr>
            <w:tcW w:type="dxa" w:w="771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Two screens change shape: the opening consent screen gains the sharing statement, and the proposal step loses its consent step.</w:t>
            </w:r>
          </w:p>
        </w:tc>
      </w:tr>
      <w:tr>
        <w:trPr>
          <w:cantSplit/>
        </w:trPr>
        <w:tc>
          <w:tcPr>
            <w:tcW w:type="dxa" w:w="192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Customer-facing wording</w:t>
            </w:r>
          </w:p>
        </w:tc>
        <w:tc>
          <w:tcPr>
            <w:tcW w:type="dxa" w:w="771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Direct dependency. The panel statement cannot be drafted until OPEN-CNS-06 is answered, because the statement either enumerates the panel or names a single insurer.</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Schedule</w:t>
            </w:r>
          </w:p>
        </w:tc>
        <w:tc>
          <w:tcPr>
            <w:tcW w:type="dxa" w:w="771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Absorbed within the current design window if the determination arrives by 29 August. After that it becomes rework on design already signed off.</w:t>
            </w:r>
          </w:p>
        </w:tc>
      </w:tr>
    </w:tbl>
    <w:p>
      <w:pPr>
        <w:pStyle w:val="Heading1"/>
        <w:keepNext/>
        <w:keepLines/>
        <w:pageBreakBefore/>
        <w:pBdr>
          <w:bottom w:val="single" w:color="0F6E6E" w:sz="8" w:space="6"/>
        </w:pBdr>
        <w:spacing w:after="160" w:before="0"/>
      </w:pPr>
      <w:r>
        <w:rPr>
          <w:b/>
          <w:bCs/>
          <w:color w:val="11304E"/>
          <w:sz w:val="30"/>
          <w:szCs w:val="30"/>
        </w:rPr>
        <w:t xml:space="preserve">12.  Conditions that carry forward into build and run</w:t>
      </w:r>
    </w:p>
    <w:p>
      <w:pPr>
        <w:spacing w:after="120" w:before="0" w:line="276"/>
        <w:jc w:val="left"/>
      </w:pPr>
      <w:r>
        <w:rPr>
          <w:b w:val="false"/>
          <w:bCs w:val="false"/>
          <w:i w:val="false"/>
          <w:iCs w:val="false"/>
          <w:color w:val="222629"/>
          <w:sz w:val="20"/>
          <w:szCs w:val="20"/>
        </w:rPr>
        <w:t xml:space="preserve">Approval of D1 and D2 does not discharge every obligation in the two packs. Three are conditions on later stages, and they are recorded here so that they are not lost when the two blocking issues close.</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4241"/>
        <w:gridCol w:w="1542"/>
        <w:gridCol w:w="1638"/>
        <w:gridCol w:w="2217"/>
      </w:tblGrid>
      <w:tr>
        <w:trPr>
          <w:cantSplit/>
          <w:tblHeader/>
        </w:trPr>
        <w:tc>
          <w:tcPr>
            <w:tcW w:type="dxa" w:w="424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Condition</w:t>
            </w:r>
          </w:p>
        </w:tc>
        <w:tc>
          <w:tcPr>
            <w:tcW w:type="dxa" w:w="154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Rules</w:t>
            </w:r>
          </w:p>
        </w:tc>
        <w:tc>
          <w:tcPr>
            <w:tcW w:type="dxa" w:w="163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Owner</w:t>
            </w:r>
          </w:p>
        </w:tc>
        <w:tc>
          <w:tcPr>
            <w:tcW w:type="dxa" w:w="221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When it must be met</w:t>
            </w:r>
          </w:p>
        </w:tc>
      </w:tr>
      <w:tr>
        <w:trPr>
          <w:cantSplit/>
        </w:trPr>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Append-only enforced by database privilege rather than by application code. The application’s database account must hold no update or delete right on either the consent records or the assessment records.</w:t>
            </w:r>
          </w:p>
        </w:tc>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CNS-R16 – R20, SUIT-R23</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Data and Database</w:t>
            </w:r>
          </w:p>
        </w:tc>
        <w:tc>
          <w:tcPr>
            <w:tcW w:type="dxa" w:w="221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Infrastructure stage, before the first customer record exists</w:t>
            </w:r>
          </w:p>
        </w:tc>
      </w:tr>
      <w:tr>
        <w:trPr>
          <w:cantSplit/>
        </w:trPr>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Write-once retention for seven years in an India region, not shortenable by any application configuration change. Data residency is on the agreed non-waivable list.</w:t>
            </w:r>
          </w:p>
        </w:tc>
        <w:tc>
          <w:tcPr>
            <w:tcW w:type="dxa" w:w="154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CNS-R33 – R36, SUIT-R24</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Information Security, with Infrastructure</w:t>
            </w:r>
          </w:p>
        </w:tc>
        <w:tc>
          <w:tcPr>
            <w:tcW w:type="dxa" w:w="221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Infrastructure stage — cannot be deferred to the build stage</w:t>
            </w:r>
          </w:p>
        </w:tc>
      </w:tr>
      <w:tr>
        <w:trPr>
          <w:cantSplit/>
        </w:trPr>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Complete branch coverage on the code implementing the suitability gate, with no waiver available to any authority.</w:t>
            </w:r>
          </w:p>
        </w:tc>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SUIT-R27</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Quality Assurance</w:t>
            </w:r>
          </w:p>
        </w:tc>
        <w:tc>
          <w:tcPr>
            <w:tcW w:type="dxa" w:w="221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Before the gate code is accepted, and again when the first end-to-end journey is tested</w:t>
            </w:r>
          </w:p>
        </w:tc>
      </w:tr>
    </w:tbl>
    <w:p>
      <w:pPr>
        <w:spacing w:after="140"/>
      </w:pPr>
      <w:r>
        <w:t xml:space="preserve"/>
      </w:r>
    </w:p>
    <w:p>
      <w:pPr>
        <w:pStyle w:val="Heading2"/>
        <w:keepNext/>
        <w:keepLines/>
        <w:spacing w:after="100" w:before="220"/>
      </w:pPr>
      <w:r>
        <w:rPr>
          <w:b/>
          <w:bCs/>
          <w:color w:val="0F6E6E"/>
          <w:sz w:val="21"/>
          <w:szCs w:val="21"/>
        </w:rPr>
        <w:t xml:space="preserve">Other approvals still required</w:t>
      </w:r>
    </w:p>
    <w:p>
      <w:pPr>
        <w:spacing w:after="120" w:before="0" w:line="276"/>
        <w:jc w:val="left"/>
      </w:pPr>
      <w:r>
        <w:rPr>
          <w:b w:val="false"/>
          <w:bCs w:val="false"/>
          <w:i w:val="false"/>
          <w:iCs w:val="false"/>
          <w:color w:val="222629"/>
          <w:sz w:val="20"/>
          <w:szCs w:val="20"/>
        </w:rPr>
        <w:t xml:space="preserve">Compliance approval is necessary but not sufficient. The following are being pursued in parallel and none of them blocks the Compliance signature.</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313"/>
        <w:gridCol w:w="5590"/>
        <w:gridCol w:w="1735"/>
      </w:tblGrid>
      <w:tr>
        <w:trPr>
          <w:cantSplit/>
          <w:tblHeader/>
        </w:trPr>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Approver</w:t>
            </w:r>
          </w:p>
        </w:tc>
        <w:tc>
          <w:tcPr>
            <w:tcW w:type="dxa" w:w="559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their conclusion covers</w:t>
            </w:r>
          </w:p>
        </w:tc>
        <w:tc>
          <w:tcPr>
            <w:tcW w:type="dxa" w:w="173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Status</w:t>
            </w:r>
          </w:p>
        </w:tc>
      </w:tr>
      <w:tr>
        <w:trPr>
          <w:cantSplit/>
        </w:trPr>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Information Security</w:t>
            </w:r>
          </w:p>
        </w:tc>
        <w:tc>
          <w:tcPr>
            <w:tcW w:type="dxa" w:w="559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One-time password handling; confidentiality of network address and staff licence identifiers; routing of the security event on a customer-identity mismatch; server-side enforcement and refuse-on-unavailable behaviour for the suitability gate</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Pending</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Data and Database</w:t>
            </w:r>
          </w:p>
        </w:tc>
        <w:tc>
          <w:tcPr>
            <w:tcW w:type="dxa" w:w="559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Append-only enforced by privilege on both record stores</w:t>
            </w:r>
          </w:p>
        </w:tc>
        <w:tc>
          <w:tcPr>
            <w:tcW w:type="dxa" w:w="173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Pending</w:t>
            </w:r>
          </w:p>
        </w:tc>
      </w:tr>
      <w:tr>
        <w:trPr>
          <w:cantSplit/>
        </w:trPr>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Quality Assurance</w:t>
            </w:r>
          </w:p>
        </w:tc>
        <w:tc>
          <w:tcPr>
            <w:tcW w:type="dxa" w:w="559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every rule’s conformance test is executable as written, that all nine gate refusal cases can be automated, and that the SUIT-R19b totality enumeration is practical to run in the pipeline</w:t>
            </w:r>
          </w:p>
        </w:tc>
        <w:tc>
          <w:tcPr>
            <w:tcW w:type="dxa" w:w="173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Pending</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Solution Architecture</w:t>
            </w:r>
          </w:p>
        </w:tc>
        <w:tc>
          <w:tcPr>
            <w:tcW w:type="dxa" w:w="559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Placement of the gate at the quote interface, and the availability coupling that refusing-on-unavailable implies</w:t>
            </w:r>
          </w:p>
        </w:tc>
        <w:tc>
          <w:tcPr>
            <w:tcW w:type="dxa" w:w="173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Pending</w:t>
            </w:r>
          </w:p>
        </w:tc>
      </w:tr>
      <w:tr>
        <w:trPr>
          <w:cantSplit/>
        </w:trPr>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Operations</w:t>
            </w:r>
          </w:p>
        </w:tc>
        <w:tc>
          <w:tcPr>
            <w:tcW w:type="dxa" w:w="559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Whether the operational load these rules create can actually be carried: retrieval service levels, the tasks raised by post-submission withdrawal and by replacement cases, the stopped-submission path, and the handling of in-flight journeys when the assessment service is unavailable</w:t>
            </w:r>
          </w:p>
        </w:tc>
        <w:tc>
          <w:tcPr>
            <w:tcW w:type="dxa" w:w="1735"/>
            <w:tcMar>
              <w:top w:type="dxa" w:w="90"/>
              <w:left w:type="dxa" w:w="130"/>
              <w:bottom w:type="dxa" w:w="90"/>
              <w:right w:type="dxa" w:w="130"/>
            </w:tcMar>
            <w:vAlign w:val="top"/>
          </w:tcPr>
          <w:p>
            <w:pPr>
              <w:spacing w:after="40" w:before="40" w:line="252"/>
              <w:jc w:val="left"/>
            </w:pPr>
            <w:r>
              <w:rPr>
                <w:b/>
                <w:bCs/>
                <w:i w:val="false"/>
                <w:iCs w:val="false"/>
                <w:color w:val="8A5A00"/>
                <w:sz w:val="18"/>
                <w:szCs w:val="18"/>
              </w:rPr>
              <w:t xml:space="preserve">Pending — added at v1.1</w:t>
            </w:r>
            <w:r>
              <w:rPr>
                <w:b w:val="false"/>
                <w:bCs w:val="false"/>
                <w:i w:val="false"/>
                <w:iCs w:val="false"/>
                <w:color w:val="222629"/>
                <w:sz w:val="18"/>
                <w:szCs w:val="18"/>
              </w:rPr>
              <w:t xml:space="preserve">, after review found that fail-closed behaviour, retrieval commitments and operational tasks were all material and no Operations conclusion had been sought</w:t>
            </w:r>
          </w:p>
        </w:tc>
      </w:tr>
    </w:tbl>
    <w:p>
      <w:pPr>
        <w:pStyle w:val="Heading1"/>
        <w:keepNext/>
        <w:keepLines/>
        <w:pBdr>
          <w:bottom w:val="single" w:color="0F6E6E" w:sz="8" w:space="6"/>
        </w:pBdr>
        <w:spacing w:after="160" w:before="400"/>
      </w:pPr>
      <w:r>
        <w:rPr>
          <w:b/>
          <w:bCs/>
          <w:color w:val="11304E"/>
          <w:sz w:val="30"/>
          <w:szCs w:val="30"/>
        </w:rPr>
        <w:t xml:space="preserve">13.  What happens after approval</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867"/>
        <w:gridCol w:w="5108"/>
        <w:gridCol w:w="2120"/>
        <w:gridCol w:w="1543"/>
      </w:tblGrid>
      <w:tr>
        <w:trPr>
          <w:cantSplit/>
          <w:tblHeader/>
        </w:trPr>
        <w:tc>
          <w:tcPr>
            <w:tcW w:type="dxa" w:w="86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Step</w:t>
            </w:r>
          </w:p>
        </w:tc>
        <w:tc>
          <w:tcPr>
            <w:tcW w:type="dxa" w:w="510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Action</w:t>
            </w:r>
          </w:p>
        </w:tc>
        <w:tc>
          <w:tcPr>
            <w:tcW w:type="dxa" w:w="212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Owner</w:t>
            </w:r>
          </w:p>
        </w:tc>
        <w:tc>
          <w:tcPr>
            <w:tcW w:type="dxa" w:w="154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Timing</w:t>
            </w:r>
          </w:p>
        </w:tc>
      </w:tr>
      <w:tr>
        <w:trPr>
          <w:cantSplit/>
        </w:trPr>
        <w:tc>
          <w:tcPr>
            <w:tcW w:type="dxa" w:w="86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1</w:t>
            </w:r>
          </w:p>
        </w:tc>
        <w:tc>
          <w:tcPr>
            <w:tcW w:type="dxa" w:w="510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Schedules A and B returned with a decision recorded against every row, and the sign-off sheet at §14 completed</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w:t>
            </w:r>
          </w:p>
        </w:tc>
        <w:tc>
          <w:tcPr>
            <w:tcW w:type="dxa" w:w="154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By 29 August 2026</w:t>
            </w:r>
          </w:p>
        </w:tc>
      </w:tr>
      <w:tr>
        <w:trPr>
          <w:cantSplit/>
        </w:trPr>
        <w:tc>
          <w:tcPr>
            <w:tcW w:type="dxa" w:w="86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2</w:t>
            </w:r>
          </w:p>
        </w:tc>
        <w:tc>
          <w:tcPr>
            <w:tcW w:type="dxa" w:w="510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Any amendments incorporated and the packs reissued at v1.2 with a change log naming the amending authority</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Product Owner</w:t>
            </w:r>
          </w:p>
        </w:tc>
        <w:tc>
          <w:tcPr>
            <w:tcW w:type="dxa" w:w="154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Within 2 working days of return</w:t>
            </w:r>
          </w:p>
        </w:tc>
      </w:tr>
      <w:tr>
        <w:trPr>
          <w:cantSplit/>
        </w:trPr>
        <w:tc>
          <w:tcPr>
            <w:tcW w:type="dxa" w:w="86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3</w:t>
            </w:r>
          </w:p>
        </w:tc>
        <w:tc>
          <w:tcPr>
            <w:tcW w:type="dxa" w:w="510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two blocking issues recorded as closed in the programme’s issue register</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Product Owner</w:t>
            </w:r>
          </w:p>
        </w:tc>
        <w:tc>
          <w:tcPr>
            <w:tcW w:type="dxa" w:w="154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Same day as v1.2</w:t>
            </w:r>
          </w:p>
        </w:tc>
      </w:tr>
      <w:tr>
        <w:trPr>
          <w:cantSplit/>
        </w:trPr>
        <w:tc>
          <w:tcPr>
            <w:tcW w:type="dxa" w:w="86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4</w:t>
            </w:r>
          </w:p>
        </w:tc>
        <w:tc>
          <w:tcPr>
            <w:tcW w:type="dxa" w:w="510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Both approval checkpoints recorded as met, citing the signed packs as the evidence</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Delivery</w:t>
            </w:r>
          </w:p>
        </w:tc>
        <w:tc>
          <w:tcPr>
            <w:tcW w:type="dxa" w:w="154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Same week</w:t>
            </w:r>
          </w:p>
        </w:tc>
      </w:tr>
      <w:tr>
        <w:trPr>
          <w:cantSplit/>
        </w:trPr>
        <w:tc>
          <w:tcPr>
            <w:tcW w:type="dxa" w:w="86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5</w:t>
            </w:r>
          </w:p>
        </w:tc>
        <w:tc>
          <w:tcPr>
            <w:tcW w:type="dxa" w:w="510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Consent Service and the Suitability Service released from the build freeze into construction</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Solution Architecture, with Delivery</w:t>
            </w:r>
          </w:p>
        </w:tc>
        <w:tc>
          <w:tcPr>
            <w:tcW w:type="dxa" w:w="154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 the stage transition</w:t>
            </w:r>
          </w:p>
        </w:tc>
      </w:tr>
      <w:tr>
        <w:trPr>
          <w:cantSplit/>
        </w:trPr>
        <w:tc>
          <w:tcPr>
            <w:tcW w:type="dxa" w:w="86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6</w:t>
            </w:r>
          </w:p>
        </w:tc>
        <w:tc>
          <w:tcPr>
            <w:tcW w:type="dxa" w:w="510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statement and disclosure wording drafted against the approved structure and folded into the customer-facing design</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 and Legal, with Product</w:t>
            </w:r>
          </w:p>
        </w:tc>
        <w:tc>
          <w:tcPr>
            <w:tcW w:type="dxa" w:w="154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Experience design stage</w:t>
            </w:r>
          </w:p>
        </w:tc>
      </w:tr>
      <w:tr>
        <w:trPr>
          <w:cantSplit/>
        </w:trPr>
        <w:tc>
          <w:tcPr>
            <w:tcW w:type="dxa" w:w="86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7</w:t>
            </w:r>
          </w:p>
        </w:tc>
        <w:tc>
          <w:tcPr>
            <w:tcW w:type="dxa" w:w="510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Every rule re-proven as executed evidence once the services are built and tested</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Quality Assurance function</w:t>
            </w:r>
          </w:p>
        </w:tc>
        <w:tc>
          <w:tcPr>
            <w:tcW w:type="dxa" w:w="154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When the first end-to-end journey runs</w:t>
            </w:r>
          </w:p>
        </w:tc>
      </w:tr>
    </w:tbl>
    <w:p>
      <w:pPr>
        <w:spacing w:after="120"/>
      </w:pPr>
      <w:r>
        <w:t xml:space="preserve"/>
      </w:r>
    </w:p>
    <w:p>
      <w:pPr>
        <w:keepNext/>
        <w:keepLines/>
        <w:pBdr>
          <w:top w:val="single" w:color="F1F5F8" w:sz="2" w:space="8"/>
          <w:left w:val="single" w:color="0F6E6E" w:sz="18" w:space="10"/>
          <w:right w:val="single" w:color="F1F5F8" w:sz="2" w:space="10"/>
        </w:pBdr>
        <w:shd w:fill="F1F5F8" w:color="auto" w:val="clear"/>
        <w:spacing w:after="100" w:before="140" w:line="276"/>
        <w:ind w:left="200" w:right="200"/>
      </w:pPr>
      <w:r>
        <w:rPr>
          <w:b/>
          <w:bCs/>
          <w:i w:val="false"/>
          <w:iCs w:val="false"/>
          <w:color w:val="0F6E6E"/>
          <w:sz w:val="20"/>
          <w:szCs w:val="20"/>
        </w:rPr>
        <w:t xml:space="preserve">One procedural point</w:t>
      </w:r>
    </w:p>
    <w:p>
      <w:pPr>
        <w:keepNext w:val="false"/>
        <w:keepLines/>
        <w:pBdr>
          <w:bottom w:val="single" w:color="F1F5F8" w:sz="2" w:space="8"/>
          <w:left w:val="single" w:color="0F6E6E"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Under the governance model, a stage may be marked ready for decision by the delivery lead, but only the Architect and the Product Owner jointly, as named humans, may mark it passed. Steps 4 and 5 above are subject to that. This approval does not shortcut it.</w:t>
      </w:r>
    </w:p>
    <w:p>
      <w:pPr>
        <w:pStyle w:val="Heading1"/>
        <w:keepNext/>
        <w:keepLines/>
        <w:pageBreakBefore/>
        <w:pBdr>
          <w:bottom w:val="single" w:color="0F6E6E" w:sz="8" w:space="6"/>
        </w:pBdr>
        <w:spacing w:after="160" w:before="0"/>
      </w:pPr>
      <w:r>
        <w:rPr>
          <w:b/>
          <w:bCs/>
          <w:color w:val="11304E"/>
          <w:sz w:val="30"/>
          <w:szCs w:val="30"/>
        </w:rPr>
        <w:t xml:space="preserve">14.  Sign-off sheet</w:t>
      </w:r>
    </w:p>
    <w:p>
      <w:pPr>
        <w:spacing w:after="120" w:before="0" w:line="276"/>
        <w:jc w:val="left"/>
      </w:pPr>
      <w:r>
        <w:rPr>
          <w:b w:val="false"/>
          <w:bCs w:val="false"/>
          <w:i w:val="false"/>
          <w:iCs w:val="false"/>
          <w:color w:val="222629"/>
          <w:sz w:val="20"/>
          <w:szCs w:val="20"/>
        </w:rPr>
        <w:t xml:space="preserve">A signature here records a conclusion on the pack as a whole. Section-level conclusions belong in Schedules A and B, which form part of this signature.</w:t>
      </w:r>
    </w:p>
    <w:p>
      <w:pPr>
        <w:spacing w:after="100"/>
      </w:pPr>
      <w:r>
        <w:t xml:space="preserve"/>
      </w:r>
    </w:p>
    <w:p>
      <w:pPr>
        <w:pStyle w:val="Heading2"/>
        <w:keepNext/>
        <w:keepLines/>
        <w:spacing w:after="100" w:before="220"/>
      </w:pPr>
      <w:r>
        <w:rPr>
          <w:b/>
          <w:bCs/>
          <w:color w:val="0F6E6E"/>
          <w:sz w:val="21"/>
          <w:szCs w:val="21"/>
        </w:rPr>
        <w:t xml:space="preserve">Primary approval — human signature mandatory</w:t>
      </w:r>
    </w:p>
    <w:tbl>
      <w:tblPr>
        <w:tblW w:type="dxa" w:w="9638"/>
        <w:tblBorders>
          <w:top w:val="single" w:color="C7D2DC" w:sz="4"/>
          <w:left w:val="single" w:color="C7D2DC" w:sz="4"/>
          <w:bottom w:val="single" w:color="C7D2DC" w:sz="4"/>
          <w:right w:val="single" w:color="C7D2DC" w:sz="4"/>
          <w:insideH w:val="single" w:color="C7D2DC" w:sz="4"/>
          <w:insideV w:val="single" w:color="C7D2DC" w:sz="4"/>
        </w:tblBorders>
      </w:tblPr>
      <w:tblGrid>
        <w:gridCol w:w="2506"/>
        <w:gridCol w:w="7132"/>
      </w:tblGrid>
      <w:tr>
        <w:trPr>
          <w:cantSplit/>
          <w:tblHeader/>
        </w:trPr>
        <w:tc>
          <w:tcPr>
            <w:tcW w:type="dxa" w:w="2506"/>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Compliance &amp; Risk</w:t>
            </w:r>
          </w:p>
        </w:tc>
        <w:tc>
          <w:tcPr>
            <w:tcW w:type="dxa" w:w="7132"/>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Compliance &amp; Risk Head</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Scope of 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Regulatory permissibility of both rule packs; the basis for statement and disclosure wording; the sequencing of consent within the journey; the retention basis; the ten open determinations in §10; and the consent-consolidation proposal in §11, including OPEN-CNS-06 and OPEN-CNS-07.</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Ratified as drafted</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Ratified with the amendments recorded in Schedules A and B</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Not ratified — reasons recorded below</w:t>
            </w:r>
          </w:p>
        </w:tc>
      </w:tr>
      <w:tr>
        <w:trPr>
          <w:cantSplit/>
          <w:trHeight w:val="13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Amendments and conditions</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9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Signature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5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Date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bl>
    <w:p>
      <w:r>
        <w:br w:type="page"/>
      </w:r>
    </w:p>
    <w:p>
      <w:pPr>
        <w:pStyle w:val="Heading2"/>
        <w:keepNext/>
        <w:keepLines/>
        <w:spacing w:after="100" w:before="220"/>
      </w:pPr>
      <w:r>
        <w:rPr>
          <w:b/>
          <w:bCs/>
          <w:color w:val="0F6E6E"/>
          <w:sz w:val="21"/>
          <w:szCs w:val="21"/>
        </w:rPr>
        <w:t xml:space="preserve">Product decision — required, and not satisfied by the drafting of this pack</w:t>
      </w:r>
    </w:p>
    <w:p>
      <w:pPr>
        <w:spacing w:after="120" w:before="0" w:line="276"/>
        <w:jc w:val="left"/>
      </w:pPr>
      <w:r>
        <w:rPr>
          <w:b w:val="false"/>
          <w:bCs w:val="false"/>
          <w:i w:val="false"/>
          <w:iCs w:val="false"/>
          <w:color w:val="222629"/>
          <w:sz w:val="20"/>
          <w:szCs w:val="20"/>
        </w:rPr>
        <w:t xml:space="preserve">This pack was drafted on Product’s behalf by an AI agent. The Product decision is therefore a separate act, recorded here, and until it is signed nothing in this document evidences a Product position.</w:t>
      </w:r>
    </w:p>
    <w:tbl>
      <w:tblPr>
        <w:tblW w:type="dxa" w:w="9638"/>
        <w:tblBorders>
          <w:top w:val="single" w:color="C7D2DC" w:sz="4"/>
          <w:left w:val="single" w:color="C7D2DC" w:sz="4"/>
          <w:bottom w:val="single" w:color="C7D2DC" w:sz="4"/>
          <w:right w:val="single" w:color="C7D2DC" w:sz="4"/>
          <w:insideH w:val="single" w:color="C7D2DC" w:sz="4"/>
          <w:insideV w:val="single" w:color="C7D2DC" w:sz="4"/>
        </w:tblBorders>
      </w:tblPr>
      <w:tblGrid>
        <w:gridCol w:w="2506"/>
        <w:gridCol w:w="7132"/>
      </w:tblGrid>
      <w:tr>
        <w:trPr>
          <w:cantSplit/>
          <w:tblHeader/>
        </w:trPr>
        <w:tc>
          <w:tcPr>
            <w:tcW w:type="dxa" w:w="2506"/>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Product</w:t>
            </w:r>
          </w:p>
        </w:tc>
        <w:tc>
          <w:tcPr>
            <w:tcW w:type="dxa" w:w="7132"/>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Principal Insurance Platform Product Owner</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Scope of 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Business behaviour of both control sets: the consent events and their blocking points, the failure experience, the reuse policy, the question set, the outcome semantics, the handling of customer deviation and policy replacement, and the consent-consolidation proposal in §11. Also the scope position in §3.1 and the answer to OPEN-SCOPE-01.</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Ratified as drafted</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Ratified with the amendments recorded in Schedules A and B</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Not ratified — reasons recorded below</w:t>
            </w:r>
          </w:p>
        </w:tc>
      </w:tr>
      <w:tr>
        <w:trPr>
          <w:cantSplit/>
          <w:trHeight w:val="13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Amendments and conditions</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9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Signature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5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Date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bl>
    <w:p>
      <w:r>
        <w:br w:type="page"/>
      </w:r>
    </w:p>
    <w:p>
      <w:pPr>
        <w:pStyle w:val="Heading2"/>
        <w:keepNext/>
        <w:keepLines/>
        <w:spacing w:after="100" w:before="220"/>
      </w:pPr>
      <w:r>
        <w:rPr>
          <w:b/>
          <w:bCs/>
          <w:color w:val="0F6E6E"/>
          <w:sz w:val="21"/>
          <w:szCs w:val="21"/>
        </w:rPr>
        <w:t xml:space="preserve">Supporting conclusions</w:t>
      </w:r>
    </w:p>
    <w:tbl>
      <w:tblPr>
        <w:tblW w:type="dxa" w:w="9638"/>
        <w:tblBorders>
          <w:top w:val="single" w:color="C7D2DC" w:sz="4"/>
          <w:left w:val="single" w:color="C7D2DC" w:sz="4"/>
          <w:bottom w:val="single" w:color="C7D2DC" w:sz="4"/>
          <w:right w:val="single" w:color="C7D2DC" w:sz="4"/>
          <w:insideH w:val="single" w:color="C7D2DC" w:sz="4"/>
          <w:insideV w:val="single" w:color="C7D2DC" w:sz="4"/>
        </w:tblBorders>
      </w:tblPr>
      <w:tblGrid>
        <w:gridCol w:w="2506"/>
        <w:gridCol w:w="7132"/>
      </w:tblGrid>
      <w:tr>
        <w:trPr>
          <w:cantSplit/>
          <w:tblHeader/>
        </w:trPr>
        <w:tc>
          <w:tcPr>
            <w:tcW w:type="dxa" w:w="2506"/>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Information Security</w:t>
            </w:r>
          </w:p>
        </w:tc>
        <w:tc>
          <w:tcPr>
            <w:tcW w:type="dxa" w:w="7132"/>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Information Security function</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Scope of 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Consent capture and one-time password handling (CNS-R10 – R15); confidentiality of restricted fields in logs (CNS-R20); security-event routing on identity mismatch (CNS-R38); server-side enforcement, refuse-on-unavailable and no-disable-route for the suitability gate (SUIT-R25, R26, R40).</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Ratified as drafted</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Ratified with the amendments recorded in Schedules A and B</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Not ratified — reasons recorded below</w:t>
            </w:r>
          </w:p>
        </w:tc>
      </w:tr>
      <w:tr>
        <w:trPr>
          <w:cantSplit/>
          <w:trHeight w:val="13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Amendments and conditions</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9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Signature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5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Date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bl>
    <w:p>
      <w:pPr>
        <w:spacing w:after="140"/>
      </w:pPr>
      <w:r>
        <w:t xml:space="preserve"/>
      </w:r>
    </w:p>
    <w:tbl>
      <w:tblPr>
        <w:tblW w:type="dxa" w:w="9638"/>
        <w:tblBorders>
          <w:top w:val="single" w:color="C7D2DC" w:sz="4"/>
          <w:left w:val="single" w:color="C7D2DC" w:sz="4"/>
          <w:bottom w:val="single" w:color="C7D2DC" w:sz="4"/>
          <w:right w:val="single" w:color="C7D2DC" w:sz="4"/>
          <w:insideH w:val="single" w:color="C7D2DC" w:sz="4"/>
          <w:insideV w:val="single" w:color="C7D2DC" w:sz="4"/>
        </w:tblBorders>
      </w:tblPr>
      <w:tblGrid>
        <w:gridCol w:w="2506"/>
        <w:gridCol w:w="7132"/>
      </w:tblGrid>
      <w:tr>
        <w:trPr>
          <w:cantSplit/>
          <w:tblHeader/>
        </w:trPr>
        <w:tc>
          <w:tcPr>
            <w:tcW w:type="dxa" w:w="2506"/>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Data and Database</w:t>
            </w:r>
          </w:p>
        </w:tc>
        <w:tc>
          <w:tcPr>
            <w:tcW w:type="dxa" w:w="7132"/>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Data and Database function</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Scope of 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Append-only enforced by database privilege on the consent and assessment record stores (CNS-R16 – R18, SUIT-R23), and the retrieval paths required by CNS-R19.</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Ratified as drafted</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Ratified with the amendments recorded in Schedules A and B</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Not ratified — reasons recorded below</w:t>
            </w:r>
          </w:p>
        </w:tc>
      </w:tr>
      <w:tr>
        <w:trPr>
          <w:cantSplit/>
          <w:trHeight w:val="13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Amendments and conditions</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9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Signature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5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Date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bl>
    <w:p>
      <w:pPr>
        <w:spacing w:after="140"/>
      </w:pPr>
      <w:r>
        <w:t xml:space="preserve"/>
      </w:r>
    </w:p>
    <w:tbl>
      <w:tblPr>
        <w:tblW w:type="dxa" w:w="9638"/>
        <w:tblBorders>
          <w:top w:val="single" w:color="C7D2DC" w:sz="4"/>
          <w:left w:val="single" w:color="C7D2DC" w:sz="4"/>
          <w:bottom w:val="single" w:color="C7D2DC" w:sz="4"/>
          <w:right w:val="single" w:color="C7D2DC" w:sz="4"/>
          <w:insideH w:val="single" w:color="C7D2DC" w:sz="4"/>
          <w:insideV w:val="single" w:color="C7D2DC" w:sz="4"/>
        </w:tblBorders>
      </w:tblPr>
      <w:tblGrid>
        <w:gridCol w:w="2506"/>
        <w:gridCol w:w="7132"/>
      </w:tblGrid>
      <w:tr>
        <w:trPr>
          <w:cantSplit/>
          <w:tblHeader/>
        </w:trPr>
        <w:tc>
          <w:tcPr>
            <w:tcW w:type="dxa" w:w="2506"/>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Quality Assurance</w:t>
            </w:r>
          </w:p>
        </w:tc>
        <w:tc>
          <w:tcPr>
            <w:tcW w:type="dxa" w:w="7132"/>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Quality Assurance function</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Scope of 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That every rule in both packs states a conformance test that is executable as written; complete branch coverage on the gate (SUIT-R27); that all nine gate refusal cases can be automated; and that the totality test required by SUIT-R19b — enumerating every combination of the five enumerated inputs across all three product classes — is practical to run in the pipeline.</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Ratified as drafted</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Ratified with the amendments recorded in Schedules A and B</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Not ratified — reasons recorded below</w:t>
            </w:r>
          </w:p>
        </w:tc>
      </w:tr>
      <w:tr>
        <w:trPr>
          <w:cantSplit/>
          <w:trHeight w:val="13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Amendments and conditions</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9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Signature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5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Date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bl>
    <w:p>
      <w:pPr>
        <w:spacing w:after="140"/>
      </w:pPr>
      <w:r>
        <w:t xml:space="preserve"/>
      </w:r>
    </w:p>
    <w:tbl>
      <w:tblPr>
        <w:tblW w:type="dxa" w:w="9638"/>
        <w:tblBorders>
          <w:top w:val="single" w:color="C7D2DC" w:sz="4"/>
          <w:left w:val="single" w:color="C7D2DC" w:sz="4"/>
          <w:bottom w:val="single" w:color="C7D2DC" w:sz="4"/>
          <w:right w:val="single" w:color="C7D2DC" w:sz="4"/>
          <w:insideH w:val="single" w:color="C7D2DC" w:sz="4"/>
          <w:insideV w:val="single" w:color="C7D2DC" w:sz="4"/>
        </w:tblBorders>
      </w:tblPr>
      <w:tblGrid>
        <w:gridCol w:w="2506"/>
        <w:gridCol w:w="7132"/>
      </w:tblGrid>
      <w:tr>
        <w:trPr>
          <w:cantSplit/>
          <w:tblHeader/>
        </w:trPr>
        <w:tc>
          <w:tcPr>
            <w:tcW w:type="dxa" w:w="2506"/>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Solution Architecture</w:t>
            </w:r>
          </w:p>
        </w:tc>
        <w:tc>
          <w:tcPr>
            <w:tcW w:type="dxa" w:w="7132"/>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Solution Architecture function</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Scope of 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Placement of the suitability gate at the server-side quote interface, and the service-availability coupling implied by refusing quotes when the assessment service is unavailable (SUIT-R26).</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Ratified as drafted</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Ratified with the amendments recorded in Schedules A and B</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Not ratified — reasons recorded below</w:t>
            </w:r>
          </w:p>
        </w:tc>
      </w:tr>
      <w:tr>
        <w:trPr>
          <w:cantSplit/>
          <w:trHeight w:val="13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Amendments and conditions</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9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Signature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5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Date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bl>
    <w:p>
      <w:pPr>
        <w:spacing w:after="140"/>
      </w:pPr>
      <w:r>
        <w:t xml:space="preserve"/>
      </w:r>
    </w:p>
    <w:tbl>
      <w:tblPr>
        <w:tblW w:type="dxa" w:w="9638"/>
        <w:tblBorders>
          <w:top w:val="single" w:color="C7D2DC" w:sz="4"/>
          <w:left w:val="single" w:color="C7D2DC" w:sz="4"/>
          <w:bottom w:val="single" w:color="C7D2DC" w:sz="4"/>
          <w:right w:val="single" w:color="C7D2DC" w:sz="4"/>
          <w:insideH w:val="single" w:color="C7D2DC" w:sz="4"/>
          <w:insideV w:val="single" w:color="C7D2DC" w:sz="4"/>
        </w:tblBorders>
      </w:tblPr>
      <w:tblGrid>
        <w:gridCol w:w="2506"/>
        <w:gridCol w:w="7132"/>
      </w:tblGrid>
      <w:tr>
        <w:trPr>
          <w:cantSplit/>
          <w:tblHeader/>
        </w:trPr>
        <w:tc>
          <w:tcPr>
            <w:tcW w:type="dxa" w:w="2506"/>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Operations</w:t>
            </w:r>
          </w:p>
        </w:tc>
        <w:tc>
          <w:tcPr>
            <w:tcW w:type="dxa" w:w="7132"/>
            <w:shd w:fill="11304E" w:color="auto" w:val="clear"/>
            <w:tcMar>
              <w:top w:type="dxa" w:w="100"/>
              <w:left w:type="dxa" w:w="140"/>
              <w:bottom w:type="dxa" w:w="100"/>
              <w:right w:type="dxa" w:w="140"/>
            </w:tcMar>
            <w:vAlign w:val="center"/>
          </w:tcPr>
          <w:p>
            <w:pPr>
              <w:spacing w:after="40" w:before="40" w:line="252"/>
              <w:jc w:val="left"/>
            </w:pPr>
            <w:r>
              <w:rPr>
                <w:b/>
                <w:bCs/>
                <w:i w:val="false"/>
                <w:iCs w:val="false"/>
                <w:color w:val="FFFFFF"/>
                <w:sz w:val="19"/>
                <w:szCs w:val="19"/>
              </w:rPr>
              <w:t xml:space="preserve">Operations</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Scope of 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The operational load these rules create and whether it can be carried: the retrieval service levels in Volume 2, §10 (one record in 4 business hours, a full bundle in 1 business day); the operations tasks raised by withdrawal after submission (CNS-R30) and by policy replacement (SUIT-R47); the customer and insurer contact required when a submission is stopped inside the notice interval (CNS-R22d); and what happens to in-flight journeys when the suitability service is unavailable and quotes are refused (SUIT-R26).</w:t>
            </w:r>
          </w:p>
        </w:tc>
      </w:tr>
      <w:tr>
        <w:trPr>
          <w:cantSpli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Conclusion</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Ratified as drafted</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Ratified with the amendments recorded in Schedules A and B</w:t>
            </w:r>
            <w:r>
              <w:rPr>
                <w:b w:val="false"/>
                <w:bCs w:val="false"/>
                <w:i w:val="false"/>
                <w:iCs w:val="false"/>
                <w:color w:val="222629"/>
                <w:sz w:val="18"/>
                <w:szCs w:val="18"/>
              </w:rPr>
              <w:t xml:space="preserve"/>
            </w:r>
            <w:r>
              <w:rPr>
                <w:b w:val="false"/>
                <w:bCs w:val="false"/>
                <w:i w:val="false"/>
                <w:iCs w:val="false"/>
                <w:color w:val="222629"/>
                <w:sz w:val="18"/>
                <w:szCs w:val="18"/>
              </w:rPr>
              <w:br/>
              <w:t xml:space="preserve"/>
            </w:r>
            <w:r>
              <w:rPr>
                <w:b w:val="false"/>
                <w:bCs w:val="false"/>
                <w:i w:val="false"/>
                <w:iCs w:val="false"/>
                <w:color w:val="222629"/>
                <w:sz w:val="18"/>
                <w:szCs w:val="18"/>
              </w:rPr>
              <w:t xml:space="preserve">☐ Not ratified — reasons recorded below</w:t>
            </w:r>
          </w:p>
        </w:tc>
      </w:tr>
      <w:tr>
        <w:trPr>
          <w:cantSplit/>
          <w:trHeight w:val="13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Amendments and conditions</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9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Signature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r>
        <w:trPr>
          <w:cantSplit/>
          <w:trHeight w:val="500" w:hRule="atLeast"/>
        </w:trPr>
        <w:tc>
          <w:tcPr>
            <w:tcW w:type="dxa" w:w="2506"/>
            <w:shd w:fill="F1F5F8" w:color="auto" w:val="clear"/>
            <w:tcMar>
              <w:top w:type="dxa" w:w="100"/>
              <w:left w:type="dxa" w:w="140"/>
              <w:bottom w:type="dxa" w:w="100"/>
              <w:right w:type="dxa" w:w="140"/>
            </w:tcMar>
            <w:vAlign w:val="center"/>
          </w:tcPr>
          <w:p>
            <w:pPr>
              <w:spacing w:after="40" w:before="40" w:line="252"/>
              <w:jc w:val="left"/>
            </w:pPr>
            <w:r>
              <w:rPr>
                <w:b w:val="false"/>
                <w:bCs w:val="false"/>
                <w:i w:val="false"/>
                <w:iCs w:val="false"/>
                <w:color w:val="445260"/>
                <w:sz w:val="18"/>
                <w:szCs w:val="18"/>
              </w:rPr>
              <w:t xml:space="preserve">Date</w:t>
            </w:r>
          </w:p>
        </w:tc>
        <w:tc>
          <w:tcPr>
            <w:tcW w:type="dxa" w:w="7132"/>
            <w:tcMar>
              <w:top w:type="dxa" w:w="100"/>
              <w:left w:type="dxa" w:w="140"/>
              <w:bottom w:type="dxa" w:w="100"/>
              <w:right w:type="dxa" w:w="140"/>
            </w:tcMar>
            <w:vAlign w:val="center"/>
          </w:tcPr>
          <w:p>
            <w:pPr>
              <w:spacing w:after="40" w:before="40" w:line="252"/>
            </w:pPr>
            <w:r>
              <w:rPr>
                <w:b w:val="false"/>
                <w:bCs w:val="false"/>
                <w:i w:val="false"/>
                <w:iCs w:val="false"/>
                <w:color w:val="222629"/>
                <w:sz w:val="18"/>
                <w:szCs w:val="18"/>
              </w:rPr>
              <w:t xml:space="preserve"/>
            </w:r>
          </w:p>
        </w:tc>
      </w:tr>
    </w:tbl>
    <w:p>
      <w:pPr>
        <w:spacing w:after="200"/>
      </w:pPr>
      <w:r>
        <w:t xml:space="preserve"/>
      </w:r>
    </w:p>
    <w:p>
      <w:pPr>
        <w:keepNext/>
        <w:keepLines/>
        <w:pBdr>
          <w:top w:val="single" w:color="F1F5F8" w:sz="2" w:space="8"/>
          <w:left w:val="single" w:color="9B2226" w:sz="18" w:space="10"/>
          <w:right w:val="single" w:color="F1F5F8" w:sz="2" w:space="10"/>
        </w:pBdr>
        <w:shd w:fill="F1F5F8" w:color="auto" w:val="clear"/>
        <w:spacing w:after="100" w:before="140" w:line="276"/>
        <w:ind w:left="200" w:right="200"/>
      </w:pPr>
      <w:r>
        <w:rPr>
          <w:b/>
          <w:bCs/>
          <w:i w:val="false"/>
          <w:iCs w:val="false"/>
          <w:color w:val="9B2226"/>
          <w:sz w:val="20"/>
          <w:szCs w:val="20"/>
        </w:rPr>
        <w:t xml:space="preserve">Provenance — read before signing anything above</w:t>
      </w:r>
    </w:p>
    <w:p>
      <w:pPr>
        <w:keepNext/>
        <w:keepLines/>
        <w:pBdr>
          <w:left w:val="single" w:color="9B2226" w:sz="18" w:space="10"/>
          <w:right w:val="single" w:color="F1F5F8" w:sz="2" w:space="10"/>
        </w:pBdr>
        <w:shd w:fill="F1F5F8" w:color="auto" w:val="clear"/>
        <w:spacing w:after="100" w:before="0" w:line="276"/>
        <w:ind w:left="200" w:right="200"/>
      </w:pPr>
      <w:r>
        <w:rPr>
          <w:b w:val="false"/>
          <w:bCs w:val="false"/>
          <w:i w:val="false"/>
          <w:iCs w:val="false"/>
          <w:color w:val="222629"/>
          <w:sz w:val="20"/>
          <w:szCs w:val="20"/>
        </w:rPr>
        <w:t xml:space="preserve">This pack was drafted by an AI agent working from the Product Owner’s reasoning package and the programme’s own documents. It is a draft placed in front of the accountable humans, not a decision any of them has taken.</w:t>
      </w:r>
    </w:p>
    <w:p>
      <w:pPr>
        <w:keepNext/>
        <w:keepLines/>
        <w:pBdr>
          <w:left w:val="single" w:color="9B2226" w:sz="18" w:space="10"/>
          <w:right w:val="single" w:color="F1F5F8" w:sz="2" w:space="10"/>
        </w:pBdr>
        <w:shd w:fill="F1F5F8" w:color="auto" w:val="clear"/>
        <w:spacing w:after="100" w:before="0" w:line="276"/>
        <w:ind w:left="200" w:right="200"/>
      </w:pPr>
      <w:r>
        <w:rPr>
          <w:b w:val="false"/>
          <w:bCs w:val="false"/>
          <w:i w:val="false"/>
          <w:iCs w:val="false"/>
          <w:color w:val="222629"/>
          <w:sz w:val="20"/>
          <w:szCs w:val="20"/>
        </w:rPr>
        <w:t xml:space="preserve">In particular: there is no Product decision on these packs. Earlier drafting said Product had approved them, which implied a review that had not happened. Product’s decision is now a signature block like every other, immediately above, and it is unsigned. Until the Product Owner signs it, statements in this document beginning "Product’s position is…" describe a drafted recommendation and nothing more.</w:t>
      </w:r>
    </w:p>
    <w:p>
      <w:pPr>
        <w:keepNext w:val="false"/>
        <w:keepLines/>
        <w:pBdr>
          <w:bottom w:val="single" w:color="F1F5F8" w:sz="2" w:space="8"/>
          <w:left w:val="single" w:color="9B2226"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Silence approves nothing here — not from Compliance, not from Product, and not from any of the supporting roles.</w:t>
      </w:r>
    </w:p>
    <w:p>
      <w:pPr>
        <w:pStyle w:val="Heading1"/>
        <w:keepNext/>
        <w:keepLines/>
        <w:pageBreakBefore/>
        <w:pBdr>
          <w:bottom w:val="single" w:color="0F6E6E" w:sz="8" w:space="6"/>
        </w:pBdr>
        <w:spacing w:after="160" w:before="0"/>
      </w:pPr>
      <w:r>
        <w:rPr>
          <w:b/>
          <w:bCs/>
          <w:color w:val="11304E"/>
          <w:sz w:val="30"/>
          <w:szCs w:val="30"/>
        </w:rPr>
        <w:t xml:space="preserve">Appendix A — Regulatory register</w:t>
      </w:r>
    </w:p>
    <w:p>
      <w:pPr>
        <w:keepNext/>
        <w:keepLines/>
        <w:pBdr>
          <w:top w:val="single" w:color="F1F5F8" w:sz="2" w:space="8"/>
          <w:left w:val="single" w:color="9B2226" w:sz="18" w:space="10"/>
          <w:right w:val="single" w:color="F1F5F8" w:sz="2" w:space="10"/>
        </w:pBdr>
        <w:shd w:fill="F1F5F8" w:color="auto" w:val="clear"/>
        <w:spacing w:after="100" w:before="140" w:line="276"/>
        <w:ind w:left="200" w:right="200"/>
      </w:pPr>
      <w:r>
        <w:rPr>
          <w:b/>
          <w:bCs/>
          <w:i w:val="false"/>
          <w:iCs w:val="false"/>
          <w:color w:val="9B2226"/>
          <w:sz w:val="20"/>
          <w:szCs w:val="20"/>
        </w:rPr>
        <w:t xml:space="preserve">Read this before reading the register</w:t>
      </w:r>
    </w:p>
    <w:p>
      <w:pPr>
        <w:keepNext w:val="false"/>
        <w:keepLines/>
        <w:pBdr>
          <w:bottom w:val="single" w:color="F1F5F8" w:sz="2" w:space="8"/>
          <w:left w:val="single" w:color="9B2226"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Every instrument named in this register is Product’s identification of the likely source. None has been verified by Compliance or Legal, no provision pointer has been checked against the text in force, and no applicability determination has been made for this entity in its distribution capacity. Nothing here may be relied on as a citation until Compliance completes the status column.</w:t>
      </w:r>
    </w:p>
    <w:p>
      <w:pPr>
        <w:spacing w:after="140"/>
      </w:pPr>
      <w:r>
        <w:t xml:space="preserve"/>
      </w:r>
    </w:p>
    <w:p>
      <w:pPr>
        <w:spacing w:after="120" w:before="0" w:line="276"/>
        <w:jc w:val="left"/>
      </w:pPr>
      <w:r>
        <w:rPr>
          <w:b w:val="false"/>
          <w:bCs w:val="false"/>
          <w:i w:val="false"/>
          <w:iCs w:val="false"/>
          <w:color w:val="222629"/>
          <w:sz w:val="20"/>
          <w:szCs w:val="20"/>
        </w:rPr>
        <w:t xml:space="preserve">Each rule in this submission carries one or more of the codes below, printed beneath the rule identifier. The code says which obligation the rule is there to serve. Where a rule carries no code, no external obligation is claimed for it and it is Product design.</w:t>
      </w:r>
    </w:p>
    <w:p>
      <w:pPr>
        <w:spacing w:after="60"/>
      </w:pPr>
      <w:r>
        <w:t xml:space="preserve"/>
      </w:r>
    </w:p>
    <w:p>
      <w:pPr>
        <w:pStyle w:val="Heading2"/>
        <w:keepNext/>
        <w:keepLines/>
        <w:spacing w:after="100" w:before="220"/>
      </w:pPr>
      <w:r>
        <w:rPr>
          <w:b/>
          <w:bCs/>
          <w:color w:val="0F6E6E"/>
          <w:sz w:val="21"/>
          <w:szCs w:val="21"/>
        </w:rPr>
        <w:t xml:space="preserve">Data protection</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349"/>
        <w:gridCol w:w="2313"/>
        <w:gridCol w:w="2891"/>
        <w:gridCol w:w="3085"/>
      </w:tblGrid>
      <w:tr>
        <w:trPr>
          <w:cantSplit/>
          <w:tblHeader/>
        </w:trPr>
        <w:tc>
          <w:tcPr>
            <w:tcW w:type="dxa" w:w="134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Code</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Instrument as identified by Product</w:t>
            </w:r>
          </w:p>
        </w:tc>
        <w:tc>
          <w:tcPr>
            <w:tcW w:type="dxa" w:w="289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the obligation requires</w:t>
            </w:r>
          </w:p>
        </w:tc>
        <w:tc>
          <w:tcPr>
            <w:tcW w:type="dxa" w:w="308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Citation status — for Compliance to complete</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OBL-DP-01</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Digital Personal Data Protection Act, 2023</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Notice: an itemised notice describing the personal data and the purpose must be given before, or at the time of, seeking consent.</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Notice provision (understood to be s.5). Provision and current amendment status to be confirmed.</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OBL-DP-02</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Digital Personal Data Protection Act, 2023</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Valid consent: free, specific, informed, unconditional and unambiguous, given by a clear affirmative action, and limited to the data necessary for the stated purpose.</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provision (understood to be s.6(1)). To be confirmed.</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OBL-DP-03</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Digital Personal Data Protection Act, 2023</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Form of the request: clear and plain language, available in English or a language in the Eighth Schedule, with contact details of a person able to answer.</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Understood to be s.6(3). To be confirmed.</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OBL-DP-04</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Digital Personal Data Protection Act, 2023</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Withdrawal: the customer may withdraw consent at any time, with ease comparable to giving it, and processing must stop within a reasonable time.</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Understood to be s.6(4) to s.6(6). To be confirmed.</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OBL-DP-05</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Digital Personal Data Protection Act, 2023</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Manager: consent may be given, managed, reviewed and withdrawn through a registered Consent Manager.</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Understood to be s.6(7) to s.6(9). Applicability depends on notification — see OPEN-CNS-05.</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OBL-DP-06</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Digital Personal Data Protection Act, 2023</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Purpose limitation and erasure: erase personal data once the purpose is no longer served, unless retention is required by law.</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Understood to be s.8(7). Interaction with insurance record-preservation is a live question — see §6.5.</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OBL-DP-07</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Digital Personal Data Protection Act, 2023</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Reasonable security safeguards to prevent a personal data breach.</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Understood to be s.8(5). To be confirmed.</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OBL-DP-08</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Digital Personal Data Protection Act, 2023</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Accuracy and completeness where the data is used to make a decision affecting the customer, or is disclosed to another data fiduciary.</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Understood to be s.8(3). Directly relevant: a suitability assessment is such a decision, and it is disclosed to an insurer.</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OBL-DP-09</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Digital Personal Data Protection Act, 2023</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Accountability: the data fiduciary remains responsible for compliance, including for processing carried out by a processor on its behalf.</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Understood to be s.8(1). Bears on the aggregator and cloud arrangements — see §6.1.</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OBL-DP-10</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Digital Personal Data Protection Act, 2023</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effective grievance redressal mechanism must be published and operated.</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Understood to be s.8(10) with s.13. To be confirmed.</w:t>
            </w:r>
          </w:p>
        </w:tc>
      </w:tr>
    </w:tbl>
    <w:p>
      <w:pPr>
        <w:spacing w:after="160"/>
      </w:pPr>
      <w:r>
        <w:t xml:space="preserve"/>
      </w:r>
    </w:p>
    <w:p>
      <w:pPr>
        <w:pStyle w:val="Heading2"/>
        <w:keepNext/>
        <w:keepLines/>
        <w:spacing w:after="100" w:before="220"/>
      </w:pPr>
      <w:r>
        <w:rPr>
          <w:b/>
          <w:bCs/>
          <w:color w:val="0F6E6E"/>
          <w:sz w:val="21"/>
          <w:szCs w:val="21"/>
        </w:rPr>
        <w:t xml:space="preserve">Insurance distribution</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349"/>
        <w:gridCol w:w="2313"/>
        <w:gridCol w:w="2891"/>
        <w:gridCol w:w="3085"/>
      </w:tblGrid>
      <w:tr>
        <w:trPr>
          <w:cantSplit/>
          <w:tblHeader/>
        </w:trPr>
        <w:tc>
          <w:tcPr>
            <w:tcW w:type="dxa" w:w="134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Code</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Instrument as identified by Product</w:t>
            </w:r>
          </w:p>
        </w:tc>
        <w:tc>
          <w:tcPr>
            <w:tcW w:type="dxa" w:w="289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the obligation requires</w:t>
            </w:r>
          </w:p>
        </w:tc>
        <w:tc>
          <w:tcPr>
            <w:tcW w:type="dxa" w:w="308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Citation status — for Compliance to complete</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OBL-INS-01</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IRDAI (Registration of Corporate Agents) Regulations, 2015, as amended, and the intermediary framework consolidated by IRDAI in 2024</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Solicitation and servicing of insurance by a corporate agent may be carried out only within the registration held, and only by persons authorised under it.</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Instrument named; the registration actually held by this entity, and its current conditions, are unknown to Product — see §6.1.</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OBL-INS-02</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IRDAI (Protection of Policyholders’ Interests, Operations and Allied Matters of Insurers) Regulations, 2024, and the IRDAI Master Circular on Protection of Policyholders’ Interests, 2024</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recommendation of a life insurance product must be preceded by a documented analysis of the prospect’s needs and circumstances, and the product recommended must be suitable to them.</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This is the obligation the whole suitability pack exists to discharge. Instrument named at title level; the operative clause, and whether a prescribed assessment format applies, is OPEN-SUIT-01 and blocks the algorithm decision.</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OBL-INS-03</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IRDAI Master Circular on Protection of Policyholders’ Interests, 2024</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suitability analysis must be recorded, retained, and made available to the prospect; a prescribed prospect–product matrix may apply to life products.</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Whether a prescribed matrix applies, and in what form, is unresolved. If it does, it replaces the arithmetic in Volume 3, §3 but not its structure.</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OBL-INS-04</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IRDAI (Protection of Policyholders’ Interests, Operations and Allied Matters of Insurers) Regulations, 2024</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Pre-sale disclosure of material product information, in a form the prospect can understand, before the sale is concluded.</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Instrument named; the specific content requirements for a caution disclosure are not established by Product — see OPEN-SUIT-03.</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OBL-INS-05</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IRDAI (Protection of Policyholders’ Interests, Operations and Allied Matters of Insurers) Regulations, 2024, read with the IRDAI (Maintenance of Insurance Records) framework</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Records relating to a policy and its solicitation must be maintained, preserved for a defined period, and produced on request.</w:t>
            </w:r>
          </w:p>
        </w:tc>
        <w:tc>
          <w:tcPr>
            <w:tcW w:type="dxa" w:w="3085"/>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seven-year period used throughout these packs is carried from the programme baseline and Product has not established its source.</w:t>
            </w:r>
            <w:r>
              <w:rPr>
                <w:b w:val="false"/>
                <w:bCs w:val="false"/>
                <w:i w:val="false"/>
                <w:iCs w:val="false"/>
                <w:color w:val="222629"/>
                <w:sz w:val="18"/>
                <w:szCs w:val="18"/>
              </w:rPr>
              <w:t xml:space="preserve"> The trigger event — record date, policy termination or relationship end — is equally unestablished. See §6.5.</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OBL-INS-06</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IRDAI (Registration of Corporate Agents) Regulations, 2015, as amended</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Solicitation may be carried out only by a specified person holding a valid certificate, and the identity of that person must be attributable to the sale.</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Instrument named. This is why the agent licence identifier is a mandatory field on the consent record.</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OBL-INS-07</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IRDAI (Protection of Policyholders’ Interests, Operations and Allied Matters of Insurers) Regulations, 2024</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a proposed policy would replace an existing one, the consequences must be disclosed to the prospect before the sale.</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Instrument named; the prescribed content of a replacement disclosure is not established by Product.</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OBL-INS-08</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IRDAI (Protection of Policyholders’ Interests, Operations and Allied Matters of Insurers) Regulations, 2024, and IRDAI conduct requirements for intermediaries</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product must not be mis-sold; a recommendation must not be driven by the distributor’s remuneration or commercial preference.</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Instrument named at title level. The no-override rule and the exclusion of commission from ranking are Product’s response to this obligation, not a quotation of it.</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OBL-INS-09</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IRDAI framework for electronic solicitation and insurance self-network platforms</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solicitation is conducted electronically, the process must identify the prospect, evidence their assent, and preserve the electronic record.</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Instrument identified only in general terms; the applicable circular for an assisted branch journey on a bank-owned platform needs Compliance to determine.</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OBL-INS-10</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IRDAI (Protection of Policyholders’ Interests, Operations and Allied Matters of Insurers) Regulations, 2024</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grievance redressal mechanism with defined turnaround times must be available to the policyholder.</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Instrument named. Not yet reflected in these packs — raised as a gap in §6.5.</w:t>
            </w:r>
          </w:p>
        </w:tc>
      </w:tr>
    </w:tbl>
    <w:p>
      <w:pPr>
        <w:spacing w:after="160"/>
      </w:pPr>
      <w:r>
        <w:t xml:space="preserve"/>
      </w:r>
    </w:p>
    <w:p>
      <w:pPr>
        <w:pStyle w:val="Heading2"/>
        <w:keepNext/>
        <w:keepLines/>
        <w:spacing w:after="100" w:before="220"/>
      </w:pPr>
      <w:r>
        <w:rPr>
          <w:b/>
          <w:bCs/>
          <w:color w:val="0F6E6E"/>
          <w:sz w:val="21"/>
          <w:szCs w:val="21"/>
        </w:rPr>
        <w:t xml:space="preserve">Banking and outsourcing</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349"/>
        <w:gridCol w:w="2313"/>
        <w:gridCol w:w="2891"/>
        <w:gridCol w:w="3085"/>
      </w:tblGrid>
      <w:tr>
        <w:trPr>
          <w:cantSplit/>
          <w:tblHeader/>
        </w:trPr>
        <w:tc>
          <w:tcPr>
            <w:tcW w:type="dxa" w:w="134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Code</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Instrument as identified by Product</w:t>
            </w:r>
          </w:p>
        </w:tc>
        <w:tc>
          <w:tcPr>
            <w:tcW w:type="dxa" w:w="289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the obligation requires</w:t>
            </w:r>
          </w:p>
        </w:tc>
        <w:tc>
          <w:tcPr>
            <w:tcW w:type="dxa" w:w="308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Citation status — for Compliance to complete</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OBL-RBI-01</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RBI Master Direction on Financial Services provided by Banks</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bank undertaking insurance agency business must do so without linking it to any other facility, and without compelling the customer to buy.</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Instrument named at title level. Bears directly on how a relationship-manager-assisted journey may be conducted in a branch.</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OBL-RBI-02</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RBI directions on outsourcing of financial services by banks</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Responsibility for an outsourced activity remains with the bank, and customer data handled by a service provider remains the bank’s responsibility.</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Relevant because insurer traffic passes through an integration intermediary — see §6.1.</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OBL-RBI-03</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RBI Master Direction on Outsourcing of Information Technology Services, 2023, and the RBI Master Direction on IT Governance, Risk, Controls and Assurance Practices, 2023</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Governance, control and assurance requirements over IT services, including those provided by third parties, and over the records they hold.</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Instruments named. Applicability to this platform’s hosting and to the aggregator is for Compliance and Architecture jointly.</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OBL-RBI-04</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RBI circular on storage of payment system data (April 2018)</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Payment system data must be stored within India.</w:t>
            </w:r>
          </w:p>
        </w:tc>
        <w:tc>
          <w:tcPr>
            <w:tcW w:type="dxa" w:w="3085"/>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Product has cited this as the likely source of the residency requirement and is not confident it is the right one</w:t>
            </w:r>
            <w:r>
              <w:rPr>
                <w:b w:val="false"/>
                <w:bCs w:val="false"/>
                <w:i w:val="false"/>
                <w:iCs w:val="false"/>
                <w:color w:val="222629"/>
                <w:sz w:val="18"/>
                <w:szCs w:val="18"/>
              </w:rPr>
              <w:t xml:space="preserve">, because these packs concern insurance records rather than payment system data. Compliance should either confirm a different source or reclassify residency as internal policy.</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OBL-RBI-05</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RBI framework for customer protection in unauthorised electronic transactions, and RBI authentication requirements</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Authentication of a customer-authorised transaction must be performed by the customer, and liability turns on whether it was.</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This is the source Product reasons from by analogy for the rule that staff cannot enter the customer’s one-time password. Product does not claim it applies directly to consent.</w:t>
            </w:r>
          </w:p>
        </w:tc>
      </w:tr>
    </w:tbl>
    <w:p>
      <w:pPr>
        <w:spacing w:after="160"/>
      </w:pPr>
      <w:r>
        <w:t xml:space="preserve"/>
      </w:r>
    </w:p>
    <w:p>
      <w:pPr>
        <w:pStyle w:val="Heading2"/>
        <w:keepNext/>
        <w:keepLines/>
        <w:spacing w:after="100" w:before="220"/>
      </w:pPr>
      <w:r>
        <w:rPr>
          <w:b/>
          <w:bCs/>
          <w:color w:val="0F6E6E"/>
          <w:sz w:val="21"/>
          <w:szCs w:val="21"/>
        </w:rPr>
        <w:t xml:space="preserve">Records and other</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349"/>
        <w:gridCol w:w="2313"/>
        <w:gridCol w:w="2891"/>
        <w:gridCol w:w="3085"/>
      </w:tblGrid>
      <w:tr>
        <w:trPr>
          <w:cantSplit/>
          <w:tblHeader/>
        </w:trPr>
        <w:tc>
          <w:tcPr>
            <w:tcW w:type="dxa" w:w="134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Code</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Instrument as identified by Product</w:t>
            </w:r>
          </w:p>
        </w:tc>
        <w:tc>
          <w:tcPr>
            <w:tcW w:type="dxa" w:w="289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the obligation requires</w:t>
            </w:r>
          </w:p>
        </w:tc>
        <w:tc>
          <w:tcPr>
            <w:tcW w:type="dxa" w:w="308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Citation status — for Compliance to complete</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OBL-REC-01</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Prevention of Money-Laundering (Maintenance of Records) Rules, 2005, as amended</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Records of transactions and of customer identity must be maintained for the prescribed period.</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Named because it is a candidate source for a retention period. Product notes the prescribed period here is commonly understood to be five years, which does not match the seven used in these packs — see §6.5.</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OBL-REC-02</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Information Technology Act, 2000, and the rules made under it on reasonable security practices</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Security practices and procedures for sensitive personal data, to the extent still operative alongside the 2023 Act.</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Whether and how far this remains operative after the 2023 Act is a question for Legal.</w:t>
            </w:r>
          </w:p>
        </w:tc>
      </w:tr>
    </w:tbl>
    <w:p>
      <w:pPr>
        <w:spacing w:after="160"/>
      </w:pPr>
      <w:r>
        <w:t xml:space="preserve"/>
      </w:r>
    </w:p>
    <w:p>
      <w:pPr>
        <w:pStyle w:val="Heading2"/>
        <w:keepNext/>
        <w:keepLines/>
        <w:spacing w:after="100" w:before="220"/>
      </w:pPr>
      <w:r>
        <w:rPr>
          <w:b/>
          <w:bCs/>
          <w:color w:val="0F6E6E"/>
          <w:sz w:val="21"/>
          <w:szCs w:val="21"/>
        </w:rPr>
        <w:t xml:space="preserve">Internal</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349"/>
        <w:gridCol w:w="2313"/>
        <w:gridCol w:w="2891"/>
        <w:gridCol w:w="3085"/>
      </w:tblGrid>
      <w:tr>
        <w:trPr>
          <w:cantSplit/>
          <w:tblHeader/>
        </w:trPr>
        <w:tc>
          <w:tcPr>
            <w:tcW w:type="dxa" w:w="134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Code</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Instrument as identified by Product</w:t>
            </w:r>
          </w:p>
        </w:tc>
        <w:tc>
          <w:tcPr>
            <w:tcW w:type="dxa" w:w="289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the obligation requires</w:t>
            </w:r>
          </w:p>
        </w:tc>
        <w:tc>
          <w:tcPr>
            <w:tcW w:type="dxa" w:w="308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Citation status — for Compliance to complete</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OBL-INT-01</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 — the programme’s own non-waivable control list</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Controls the programme has resolved that no authority within it may waive, whatever the external position turns out to be.</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Binding internally by decision, not by law. Data residency and consent capture where legally required are both on this list.</w:t>
            </w:r>
          </w:p>
        </w:tc>
      </w:tr>
    </w:tbl>
    <w:p>
      <w:pPr>
        <w:pStyle w:val="Heading1"/>
        <w:keepNext/>
        <w:keepLines/>
        <w:pageBreakBefore/>
        <w:pBdr>
          <w:bottom w:val="single" w:color="0F6E6E" w:sz="8" w:space="6"/>
        </w:pBdr>
        <w:spacing w:after="160" w:before="0"/>
      </w:pPr>
      <w:r>
        <w:rPr>
          <w:b/>
          <w:bCs/>
          <w:color w:val="11304E"/>
          <w:sz w:val="30"/>
          <w:szCs w:val="30"/>
        </w:rPr>
        <w:t xml:space="preserve">Appendix B — Terms and internal references</w:t>
      </w:r>
    </w:p>
    <w:p>
      <w:pPr>
        <w:spacing w:after="120" w:before="0" w:line="276"/>
        <w:jc w:val="left"/>
      </w:pPr>
      <w:r>
        <w:rPr>
          <w:b w:val="false"/>
          <w:bCs w:val="false"/>
          <w:i w:val="false"/>
          <w:iCs w:val="false"/>
          <w:color w:val="222629"/>
          <w:sz w:val="20"/>
          <w:szCs w:val="20"/>
        </w:rPr>
        <w:t xml:space="preserve">Part 1 defines the terms used in the rules themselves. Part 2 explains the programme codes that appear anywhere in this set of documents — they are the labels the delivery organisation uses internally, and they are recorded here so that nothing in this approval depends on knowing them. This appendix is identical in all three volumes.</w:t>
      </w:r>
    </w:p>
    <w:p>
      <w:pPr>
        <w:pStyle w:val="Heading2"/>
        <w:keepNext/>
        <w:keepLines/>
        <w:spacing w:after="120" w:before="300"/>
      </w:pPr>
      <w:r>
        <w:rPr>
          <w:b/>
          <w:bCs/>
          <w:color w:val="11304E"/>
          <w:sz w:val="24"/>
          <w:szCs w:val="24"/>
        </w:rPr>
        <w:t xml:space="preserve">Part 1 — Terms used in the rules</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120"/>
        <w:gridCol w:w="7518"/>
      </w:tblGrid>
      <w:tr>
        <w:trPr>
          <w:cantSplit/>
          <w:tblHeader/>
        </w:trPr>
        <w:tc>
          <w:tcPr>
            <w:tcW w:type="dxa" w:w="212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Term</w:t>
            </w:r>
          </w:p>
        </w:tc>
        <w:tc>
          <w:tcPr>
            <w:tcW w:type="dxa" w:w="751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Meaning</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Assessment</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completed suitability evaluation for one customer, carrying an outcome for each product class. The rule identifiers call this an evaluation; the two words mean the same thing here.</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Consent event</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of the four occasions on which consent is required in the first release: data processing, solicitation, insurer sharing, and servicing communications.</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Existing bank customer</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customer who already holds a relationship with the bank, and therefore an existing customer record. The first release serves these customers only, and no one else.</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Fail closed</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When a control cannot complete, the business action is refused rather than allowed through. The opposite, fail open, permits the action and records the problem for later.</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Hard block, hard gate</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control that refuses the business action rather than warning about it. The suitability check before quote is a hard gate: it does not caution, it refuses.</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Interaction, ceremony</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single customer-facing exchange in which one or more statements are presented and acknowledged, verified by one one-time password sent to the customer’s phone.</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Non-waivable</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control that no authority within the programme may set aside, however senior. Consent capture where it is legally required, and holding data within India, are both on that list.</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One-time password</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numeric code sent to the customer’s registered mobile number, which the customer enters on their own device to confirm an acknowledgement.</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Panel, approved panel</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set of insurers the bank distributes for in the first release, integrated directly. Insurers outside the panel are handled by a controlled redirect and are out of scope.</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Panel-scoped consent</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sharing consent that names every insurer on the panel at the point of capture, later narrowed to one by the customer’s product selection. Proposed in §9; not part of the packs as drafted.</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Protection gap</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Recommended cover less existing cover, floored at zero. The central output of the suitability computation.</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Scope binding</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act of narrowing a panel-scoped sharing consent to one named insurer, evidenced by the customer’s own product selection.</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Statement identifier</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permanent identifier of a consent statement, combining the consent code, the language and the version. Its meaning never changes, which is what allows a record to be interpreted years later.</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Statement version</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published wording of a consent statement. A material change of meaning creates a new major version; a typographical or formatting correction creates a minor one.</w:t>
            </w:r>
          </w:p>
        </w:tc>
      </w:tr>
    </w:tbl>
    <w:p>
      <w:pPr>
        <w:pStyle w:val="Heading2"/>
        <w:keepNext/>
        <w:keepLines/>
        <w:pageBreakBefore/>
        <w:spacing w:after="120" w:before="0"/>
      </w:pPr>
      <w:r>
        <w:rPr>
          <w:b/>
          <w:bCs/>
          <w:color w:val="11304E"/>
          <w:sz w:val="24"/>
          <w:szCs w:val="24"/>
        </w:rPr>
        <w:t xml:space="preserve">Part 2 — Internal programme references</w:t>
      </w:r>
    </w:p>
    <w:p>
      <w:pPr>
        <w:spacing w:after="120" w:before="0" w:line="276"/>
        <w:jc w:val="left"/>
      </w:pPr>
      <w:r>
        <w:rPr>
          <w:b w:val="false"/>
          <w:bCs w:val="false"/>
          <w:i w:val="false"/>
          <w:iCs w:val="false"/>
          <w:color w:val="222629"/>
          <w:sz w:val="20"/>
          <w:szCs w:val="20"/>
        </w:rPr>
        <w:t xml:space="preserve">These codes belong to the delivery organisation, not to Compliance. Nothing in this approval requires them to be used or understood — they are set out here only so that a reference encountered in a meeting or a status report can be placed.</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638"/>
        <w:gridCol w:w="4915"/>
        <w:gridCol w:w="3085"/>
      </w:tblGrid>
      <w:tr>
        <w:trPr>
          <w:cantSplit/>
          <w:tblHeader/>
        </w:trPr>
        <w:tc>
          <w:tcPr>
            <w:tcW w:type="dxa" w:w="163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Reference</w:t>
            </w:r>
          </w:p>
        </w:tc>
        <w:tc>
          <w:tcPr>
            <w:tcW w:type="dxa" w:w="491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it is</w:t>
            </w:r>
          </w:p>
        </w:tc>
        <w:tc>
          <w:tcPr>
            <w:tcW w:type="dxa" w:w="308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it is written in this document</w:t>
            </w:r>
          </w:p>
        </w:tc>
      </w:tr>
      <w:tr>
        <w:trPr>
          <w:cantSplit/>
        </w:trPr>
        <w:tc>
          <w:tcPr>
            <w:tcW w:type="dxa" w:w="163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R0</w:t>
            </w:r>
          </w:p>
        </w:tc>
        <w:tc>
          <w:tcPr>
            <w:tcW w:type="dxa" w:w="491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internal label for the first release of the platform — Life products, existing bank customers, relationship-manager assisted.</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first release" throughout.</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GAP-006</w:t>
            </w:r>
          </w:p>
        </w:tc>
        <w:tc>
          <w:tcPr>
            <w:tcW w:type="dxa" w:w="491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entry in the programme’s issue register recording that the consent rules were not executable.</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Described in words as one of the two blocking issues.</w:t>
            </w:r>
          </w:p>
        </w:tc>
      </w:tr>
      <w:tr>
        <w:trPr>
          <w:cantSplit/>
        </w:trPr>
        <w:tc>
          <w:tcPr>
            <w:tcW w:type="dxa" w:w="163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GAP-007</w:t>
            </w:r>
          </w:p>
        </w:tc>
        <w:tc>
          <w:tcPr>
            <w:tcW w:type="dxa" w:w="491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entry recording that the suitability content and override policy were unknown.</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Described in words as the second blocking issue.</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P0</w:t>
            </w:r>
          </w:p>
        </w:tc>
        <w:tc>
          <w:tcPr>
            <w:tcW w:type="dxa" w:w="491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programme’s highest issue severity. An open item at this severity freezes development.</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"Highest severity; development cannot start while it is open."</w:t>
            </w:r>
          </w:p>
        </w:tc>
      </w:tr>
      <w:tr>
        <w:trPr>
          <w:cantSplit/>
        </w:trPr>
        <w:tc>
          <w:tcPr>
            <w:tcW w:type="dxa" w:w="163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S02-G3</w:t>
            </w:r>
          </w:p>
        </w:tc>
        <w:tc>
          <w:tcPr>
            <w:tcW w:type="dxa" w:w="491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approval checkpoint that requires a consent rule pack reviewed and signed by Compliance before the stage can close.</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consent approval checkpoint."</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S02-G4</w:t>
            </w:r>
          </w:p>
        </w:tc>
        <w:tc>
          <w:tcPr>
            <w:tcW w:type="dxa" w:w="491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equivalent checkpoint for the suitability rule pack.</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suitability approval checkpoint."</w:t>
            </w:r>
          </w:p>
        </w:tc>
      </w:tr>
      <w:tr>
        <w:trPr>
          <w:cantSplit/>
        </w:trPr>
        <w:tc>
          <w:tcPr>
            <w:tcW w:type="dxa" w:w="163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E1, E2, E3, E4</w:t>
            </w:r>
          </w:p>
        </w:tc>
        <w:tc>
          <w:tcPr>
            <w:tcW w:type="dxa" w:w="491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programme’s four grades of evidence: the document exists; reviewed and signed; run and observed; run, observed and repeatable. This approval produces the second grade.</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Described in plain words in Volume 1, §5, without the codes.</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CNS-Rnn, SUIT-Rnn</w:t>
            </w:r>
          </w:p>
        </w:tc>
        <w:tc>
          <w:tcPr>
            <w:tcW w:type="dxa" w:w="491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permanent identifiers of individual rules in the two packs. These do appear throughout, because they are how a specific rule is amended or cited.</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Used as written; conventions explained in Volume 1, §7.</w:t>
            </w:r>
          </w:p>
        </w:tc>
      </w:tr>
      <w:tr>
        <w:trPr>
          <w:cantSplit/>
        </w:trPr>
        <w:tc>
          <w:tcPr>
            <w:tcW w:type="dxa" w:w="163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OPEN-CNS-nn, OPEN-SUIT-nn</w:t>
            </w:r>
          </w:p>
        </w:tc>
        <w:tc>
          <w:tcPr>
            <w:tcW w:type="dxa" w:w="491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identifiers of open questions carried out of each pack for Compliance to determine.</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Used as written; all are listed in Volume 1, §10.</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SUIT-ALGO-LIFE-v1.1</w:t>
            </w:r>
          </w:p>
        </w:tc>
        <w:tc>
          <w:tcPr>
            <w:tcW w:type="dxa" w:w="491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version identifier of the suitability algorithm being submitted. It is recorded on every assessment so that any past assessment can be reproduced.</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Used as written.</w:t>
            </w:r>
          </w:p>
        </w:tc>
      </w:tr>
    </w:tbl>
    <w:p>
      <w:pPr>
        <w:spacing w:after="200"/>
      </w:pPr>
      <w:r>
        <w:t xml:space="preserve"/>
      </w:r>
    </w:p>
    <w:p>
      <w:pPr>
        <w:pBdr>
          <w:top w:val="single" w:color="C7D2DC" w:sz="6" w:space="8"/>
        </w:pBdr>
        <w:spacing w:before="200"/>
      </w:pPr>
      <w:r>
        <w:rPr>
          <w:b w:val="false"/>
          <w:bCs w:val="false"/>
          <w:i/>
          <w:iCs/>
          <w:color w:val="5A6570"/>
          <w:sz w:val="17"/>
          <w:szCs w:val="17"/>
        </w:rPr>
        <w:t xml:space="preserve">Volume 1 of 3 — Decision Pack · Prepared for the Principal Insurance Platform Product Owner · AU Bank Insurance Distribution Platform · 17 August 2026 · Approval reference COMP-APPROVE-CNS-SUIT-v1.1</w:t>
      </w:r>
    </w:p>
    <w:sectPr>
      <w:headerReference w:type="default" r:id="rId7"/>
      <w:footerReference w:type="default" r:id="rId8"/>
      <w:pgSz w:w="11906" w:h="16838" w:orient="portrait"/>
      <w:pgMar w:top="1191" w:right="1134" w:bottom="1418" w:left="1134" w:header="624"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794"/>
        <w:sz w:val="15"/>
        <w:szCs w:val="15"/>
      </w:rPr>
      <w:t xml:space="preserve">Internal — Compliance, Product, Delivery   |   Page </w:t>
    </w:r>
    <w:r>
      <w:rPr>
        <w:color w:val="7A8794"/>
        <w:sz w:val="15"/>
        <w:szCs w:val="15"/>
      </w:rPr>
      <w:fldChar w:fldCharType="begin"/>
      <w:instrText xml:space="preserve">PAGE</w:instrText>
      <w:fldChar w:fldCharType="separate"/>
      <w:fldChar w:fldCharType="end"/>
    </w:r>
    <w:r>
      <w:rPr>
        <w:color w:val="7A8794"/>
        <w:sz w:val="15"/>
        <w:szCs w:val="15"/>
      </w:rPr>
      <w:t xml:space="preserve"> of </w:t>
    </w:r>
    <w:r>
      <w:rPr>
        <w:color w:val="7A8794"/>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4"/>
      </w:pBdr>
      <w:jc w:val="right"/>
    </w:pPr>
    <w:r>
      <w:rPr>
        <w:color w:val="7A8794"/>
        <w:sz w:val="15"/>
        <w:szCs w:val="15"/>
      </w:rPr>
      <w:t xml:space="preserve">Volume 1 — Decision Pack  ·  Consent &amp; Suitability Compliance Approval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29"/>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Approval — Volume 1, Decision Pack</dc:title>
  <dc:creator>Rajal — Principal Insurance Platform Product Owner</dc:creator>
  <dc:description>Compliance approval sought before development, to close GAP-006 and GAP-007 and pass S02-G3 and S02-G4</dc:description>
  <cp:lastModifiedBy>Un-named</cp:lastModifiedBy>
  <cp:revision>1</cp:revision>
  <dcterms:created xsi:type="dcterms:W3CDTF">2026-08-24T05:58:59.668Z</dcterms:created>
  <dcterms:modified xsi:type="dcterms:W3CDTF">2026-08-24T05:58:59.668Z</dcterms:modified>
</cp:coreProperties>
</file>

<file path=docProps/custom.xml><?xml version="1.0" encoding="utf-8"?>
<Properties xmlns="http://schemas.openxmlformats.org/officeDocument/2006/custom-properties" xmlns:vt="http://schemas.openxmlformats.org/officeDocument/2006/docPropsVTypes"/>
</file>