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
      </w:r>
    </w:p>
    <w:p>
      <w:pPr>
        <w:spacing w:after="60" w:before="0" w:line="276"/>
        <w:jc w:val="left"/>
      </w:pPr>
      <w:r>
        <w:rPr>
          <w:b/>
          <w:bCs/>
          <w:i w:val="false"/>
          <w:iCs w:val="false"/>
          <w:color w:val="0F6E6E"/>
          <w:sz w:val="18"/>
          <w:szCs w:val="18"/>
        </w:rPr>
        <w:t xml:space="preserve">AU BANK  |  INSURANCE DISTRIBUTION PLATFORM</w:t>
      </w:r>
    </w:p>
    <w:p>
      <w:pPr>
        <w:spacing w:after="400" w:before="0" w:line="276"/>
        <w:jc w:val="left"/>
      </w:pPr>
      <w:r>
        <w:rPr>
          <w:b w:val="false"/>
          <w:bCs w:val="false"/>
          <w:i w:val="false"/>
          <w:iCs w:val="false"/>
          <w:color w:val="5A6570"/>
          <w:sz w:val="18"/>
          <w:szCs w:val="18"/>
        </w:rPr>
        <w:t xml:space="preserve">Volume 2 of 3  ·  Reference volume, read alongside Decision Schedule A</w:t>
      </w:r>
    </w:p>
    <w:p>
      <w:pPr>
        <w:spacing w:after="140" w:line="640"/>
      </w:pPr>
      <w:r>
        <w:rPr>
          <w:b/>
          <w:bCs/>
          <w:i w:val="false"/>
          <w:iCs w:val="false"/>
          <w:color w:val="11304E"/>
          <w:sz w:val="52"/>
          <w:szCs w:val="52"/>
        </w:rPr>
        <w:t xml:space="preserve">Consent Rule Pack</w:t>
      </w:r>
    </w:p>
    <w:p>
      <w:pPr>
        <w:spacing w:after="220" w:line="500"/>
      </w:pPr>
      <w:r>
        <w:rPr>
          <w:b/>
          <w:bCs/>
          <w:i w:val="false"/>
          <w:iCs w:val="false"/>
          <w:color w:val="0F6E6E"/>
          <w:sz w:val="40"/>
          <w:szCs w:val="40"/>
        </w:rPr>
        <w:t xml:space="preserve">The 42 rules, in full</w:t>
      </w:r>
    </w:p>
    <w:p>
      <w:pPr>
        <w:pBdr>
          <w:bottom w:val="single" w:color="11304E" w:sz="12" w:space="8"/>
        </w:pBdr>
        <w:spacing w:after="260"/>
      </w:pPr>
      <w:r>
        <w:rPr>
          <w:b w:val="false"/>
          <w:bCs w:val="false"/>
          <w:i/>
          <w:iCs/>
          <w:color w:val="445260"/>
          <w:sz w:val="22"/>
          <w:szCs w:val="22"/>
        </w:rPr>
        <w:t xml:space="preserve">The complete text of what Decision Schedule A in Volume 1 asks Compliance to approve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Detail</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2 of 3 — Consent Rule Pack</w:t>
            </w:r>
            <w:r>
              <w:rPr>
                <w:b w:val="false"/>
                <w:bCs w:val="false"/>
                <w:i w:val="false"/>
                <w:iCs w:val="false"/>
                <w:color w:val="222629"/>
                <w:sz w:val="18"/>
                <w:szCs w:val="18"/>
              </w:rPr>
              <w:t xml:space="preserve"/>
            </w:r>
            <w:r>
              <w:rPr>
                <w:b w:val="false"/>
                <w:bCs w:val="false"/>
                <w:i w:val="false"/>
                <w:iCs w:val="false"/>
                <w:color w:val="222629"/>
                <w:sz w:val="18"/>
                <w:szCs w:val="18"/>
              </w:rPr>
              <w:br/>
              <w:t xml:space="preserve">Approval reference COMP-APPROVE-CNS-SUIT-v1.1</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Read with</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 1 — Decision Pack, Decision Schedule A (§8). That schedule is where the approval is recorded; this volume is what it refers to.</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Contains</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42 rules — CNS-R01 to CNS-R38 with four sub-numbered rules added at v1.1 — in 13 sections, together with the consent events, the 24-field evidence record and the failure behaviour they govern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Rules proposed in addition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Six further rules are proposed in Volume 1, §11 (CNS-R12a, CNS-R12b, an amendment to CNS-R22, and CNS-R22b to CNS-R22d). They are not part of this volume, because they are not yet part of the pack.</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Development status</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Consent Service does not exist. </w:t>
            </w:r>
            <w:r>
              <w:rPr>
                <w:b w:val="false"/>
                <w:bCs w:val="false"/>
                <w:i w:val="false"/>
                <w:iCs w:val="false"/>
                <w:color w:val="222629"/>
                <w:sz w:val="18"/>
                <w:szCs w:val="18"/>
              </w:rPr>
              <w:t xml:space="preserve">It is held behind a build freeze pending this approval. See Volume 1, §3 for the full and less comfortable position on what has already been built.</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Scope</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 Life distribution assisted by a relationship manager, to existing bank customers, through the approved insurer panel</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Date issued</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 August 2026</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Classification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 Compliance, Product, Delivery</w:t>
            </w:r>
          </w:p>
        </w:tc>
      </w:tr>
    </w:tbl>
    <w:p>
      <w:pPr>
        <w:pStyle w:val="Heading1"/>
        <w:keepNext/>
        <w:keepLines/>
        <w:pageBreakBefore/>
        <w:pBdr>
          <w:bottom w:val="single" w:color="0F6E6E" w:sz="8" w:space="6"/>
        </w:pBdr>
        <w:spacing w:after="160" w:before="0"/>
      </w:pPr>
      <w:r>
        <w:rPr>
          <w:b/>
          <w:bCs/>
          <w:color w:val="11304E"/>
          <w:sz w:val="30"/>
          <w:szCs w:val="30"/>
        </w:rPr>
        <w:t xml:space="preserve">Contents of this volume</w:t>
      </w:r>
    </w:p>
    <w:p>
      <w:pPr>
        <w:spacing w:after="70" w:before="0" w:line="276"/>
        <w:jc w:val="left"/>
      </w:pPr>
      <w:r>
        <w:rPr>
          <w:b/>
          <w:bCs/>
          <w:i w:val="false"/>
          <w:iCs w:val="false"/>
          <w:color w:val="0F6E6E"/>
          <w:sz w:val="20"/>
          <w:szCs w:val="20"/>
        </w:rPr>
        <w:t xml:space="preserve">1.  </w:t>
      </w:r>
      <w:r>
        <w:rPr>
          <w:b w:val="false"/>
          <w:bCs w:val="false"/>
          <w:i w:val="false"/>
          <w:iCs w:val="false"/>
          <w:color w:val="222629"/>
          <w:sz w:val="20"/>
          <w:szCs w:val="20"/>
        </w:rPr>
        <w:t xml:space="preserve">Consent events in the first release</w:t>
      </w:r>
    </w:p>
    <w:p>
      <w:pPr>
        <w:spacing w:after="70" w:before="0" w:line="276"/>
        <w:jc w:val="left"/>
      </w:pPr>
      <w:r>
        <w:rPr>
          <w:b/>
          <w:bCs/>
          <w:i w:val="false"/>
          <w:iCs w:val="false"/>
          <w:color w:val="0F6E6E"/>
          <w:sz w:val="20"/>
          <w:szCs w:val="20"/>
        </w:rPr>
        <w:t xml:space="preserve">2.  </w:t>
      </w:r>
      <w:r>
        <w:rPr>
          <w:b w:val="false"/>
          <w:bCs w:val="false"/>
          <w:i w:val="false"/>
          <w:iCs w:val="false"/>
          <w:color w:val="222629"/>
          <w:sz w:val="20"/>
          <w:szCs w:val="20"/>
        </w:rPr>
        <w:t xml:space="preserve">Statement identity and versioning</w:t>
      </w:r>
    </w:p>
    <w:p>
      <w:pPr>
        <w:spacing w:after="70" w:before="0" w:line="276"/>
        <w:jc w:val="left"/>
      </w:pPr>
      <w:r>
        <w:rPr>
          <w:b/>
          <w:bCs/>
          <w:i w:val="false"/>
          <w:iCs w:val="false"/>
          <w:color w:val="0F6E6E"/>
          <w:sz w:val="20"/>
          <w:szCs w:val="20"/>
        </w:rPr>
        <w:t xml:space="preserve">3.  </w:t>
      </w:r>
      <w:r>
        <w:rPr>
          <w:b w:val="false"/>
          <w:bCs w:val="false"/>
          <w:i w:val="false"/>
          <w:iCs w:val="false"/>
          <w:color w:val="222629"/>
          <w:sz w:val="20"/>
          <w:szCs w:val="20"/>
        </w:rPr>
        <w:t xml:space="preserve">Version change and journeys already in flight</w:t>
      </w:r>
    </w:p>
    <w:p>
      <w:pPr>
        <w:spacing w:after="70" w:before="0" w:line="276"/>
        <w:jc w:val="left"/>
      </w:pPr>
      <w:r>
        <w:rPr>
          <w:b/>
          <w:bCs/>
          <w:i w:val="false"/>
          <w:iCs w:val="false"/>
          <w:color w:val="0F6E6E"/>
          <w:sz w:val="20"/>
          <w:szCs w:val="20"/>
        </w:rPr>
        <w:t xml:space="preserve">4.  </w:t>
      </w:r>
      <w:r>
        <w:rPr>
          <w:b w:val="false"/>
          <w:bCs w:val="false"/>
          <w:i w:val="false"/>
          <w:iCs w:val="false"/>
          <w:color w:val="222629"/>
          <w:sz w:val="20"/>
          <w:szCs w:val="20"/>
        </w:rPr>
        <w:t xml:space="preserve">Language</w:t>
      </w:r>
    </w:p>
    <w:p>
      <w:pPr>
        <w:spacing w:after="70" w:before="0" w:line="276"/>
        <w:jc w:val="left"/>
      </w:pPr>
      <w:r>
        <w:rPr>
          <w:b/>
          <w:bCs/>
          <w:i w:val="false"/>
          <w:iCs w:val="false"/>
          <w:color w:val="0F6E6E"/>
          <w:sz w:val="20"/>
          <w:szCs w:val="20"/>
        </w:rPr>
        <w:t xml:space="preserve">5.  </w:t>
      </w:r>
      <w:r>
        <w:rPr>
          <w:b w:val="false"/>
          <w:bCs w:val="false"/>
          <w:i w:val="false"/>
          <w:iCs w:val="false"/>
          <w:color w:val="222629"/>
          <w:sz w:val="20"/>
          <w:szCs w:val="20"/>
        </w:rPr>
        <w:t xml:space="preserve">Capture mechanism by channel</w:t>
      </w:r>
    </w:p>
    <w:p>
      <w:pPr>
        <w:spacing w:after="70" w:before="0" w:line="276"/>
        <w:jc w:val="left"/>
      </w:pPr>
      <w:r>
        <w:rPr>
          <w:b/>
          <w:bCs/>
          <w:i w:val="false"/>
          <w:iCs w:val="false"/>
          <w:color w:val="0F6E6E"/>
          <w:sz w:val="20"/>
          <w:szCs w:val="20"/>
        </w:rPr>
        <w:t xml:space="preserve">6.  </w:t>
      </w:r>
      <w:r>
        <w:rPr>
          <w:b w:val="false"/>
          <w:bCs w:val="false"/>
          <w:i w:val="false"/>
          <w:iCs w:val="false"/>
          <w:color w:val="222629"/>
          <w:sz w:val="20"/>
          <w:szCs w:val="20"/>
        </w:rPr>
        <w:t xml:space="preserve">The consent evidence record</w:t>
      </w:r>
    </w:p>
    <w:p>
      <w:pPr>
        <w:spacing w:after="70" w:before="0" w:line="276"/>
        <w:jc w:val="left"/>
      </w:pPr>
      <w:r>
        <w:rPr>
          <w:b/>
          <w:bCs/>
          <w:i w:val="false"/>
          <w:iCs w:val="false"/>
          <w:color w:val="0F6E6E"/>
          <w:sz w:val="20"/>
          <w:szCs w:val="20"/>
        </w:rPr>
        <w:t xml:space="preserve">7.  </w:t>
      </w:r>
      <w:r>
        <w:rPr>
          <w:b w:val="false"/>
          <w:bCs w:val="false"/>
          <w:i w:val="false"/>
          <w:iCs w:val="false"/>
          <w:color w:val="222629"/>
          <w:sz w:val="20"/>
          <w:szCs w:val="20"/>
        </w:rPr>
        <w:t xml:space="preserve">Immutability</w:t>
      </w:r>
    </w:p>
    <w:p>
      <w:pPr>
        <w:spacing w:after="70" w:before="0" w:line="276"/>
        <w:jc w:val="left"/>
      </w:pPr>
      <w:r>
        <w:rPr>
          <w:b/>
          <w:bCs/>
          <w:i w:val="false"/>
          <w:iCs w:val="false"/>
          <w:color w:val="0F6E6E"/>
          <w:sz w:val="20"/>
          <w:szCs w:val="20"/>
        </w:rPr>
        <w:t xml:space="preserve">8.  </w:t>
      </w:r>
      <w:r>
        <w:rPr>
          <w:b w:val="false"/>
          <w:bCs w:val="false"/>
          <w:i w:val="false"/>
          <w:iCs w:val="false"/>
          <w:color w:val="222629"/>
          <w:sz w:val="20"/>
          <w:szCs w:val="20"/>
        </w:rPr>
        <w:t xml:space="preserve">Validity, expiry and reuse</w:t>
      </w:r>
    </w:p>
    <w:p>
      <w:pPr>
        <w:spacing w:after="70" w:before="0" w:line="276"/>
        <w:jc w:val="left"/>
      </w:pPr>
      <w:r>
        <w:rPr>
          <w:b/>
          <w:bCs/>
          <w:i w:val="false"/>
          <w:iCs w:val="false"/>
          <w:color w:val="0F6E6E"/>
          <w:sz w:val="20"/>
          <w:szCs w:val="20"/>
        </w:rPr>
        <w:t xml:space="preserve">9.  </w:t>
      </w:r>
      <w:r>
        <w:rPr>
          <w:b w:val="false"/>
          <w:bCs w:val="false"/>
          <w:i w:val="false"/>
          <w:iCs w:val="false"/>
          <w:color w:val="222629"/>
          <w:sz w:val="20"/>
          <w:szCs w:val="20"/>
        </w:rPr>
        <w:t xml:space="preserve">Withdrawal</w:t>
      </w:r>
    </w:p>
    <w:p>
      <w:pPr>
        <w:spacing w:after="70" w:before="0" w:line="276"/>
        <w:jc w:val="left"/>
      </w:pPr>
      <w:r>
        <w:rPr>
          <w:b/>
          <w:bCs/>
          <w:i w:val="false"/>
          <w:iCs w:val="false"/>
          <w:color w:val="0F6E6E"/>
          <w:sz w:val="20"/>
          <w:szCs w:val="20"/>
        </w:rPr>
        <w:t xml:space="preserve">10.  </w:t>
      </w:r>
      <w:r>
        <w:rPr>
          <w:b w:val="false"/>
          <w:bCs w:val="false"/>
          <w:i w:val="false"/>
          <w:iCs w:val="false"/>
          <w:color w:val="222629"/>
          <w:sz w:val="20"/>
          <w:szCs w:val="20"/>
        </w:rPr>
        <w:t xml:space="preserve">Retention and retrieval</w:t>
      </w:r>
    </w:p>
    <w:p>
      <w:pPr>
        <w:spacing w:after="70" w:before="0" w:line="276"/>
        <w:jc w:val="left"/>
      </w:pPr>
      <w:r>
        <w:rPr>
          <w:b/>
          <w:bCs/>
          <w:i w:val="false"/>
          <w:iCs w:val="false"/>
          <w:color w:val="0F6E6E"/>
          <w:sz w:val="20"/>
          <w:szCs w:val="20"/>
        </w:rPr>
        <w:t xml:space="preserve">11.  </w:t>
      </w:r>
      <w:r>
        <w:rPr>
          <w:b w:val="false"/>
          <w:bCs w:val="false"/>
          <w:i w:val="false"/>
          <w:iCs w:val="false"/>
          <w:color w:val="222629"/>
          <w:sz w:val="20"/>
          <w:szCs w:val="20"/>
        </w:rPr>
        <w:t xml:space="preserve">Failure behaviour</w:t>
      </w:r>
    </w:p>
    <w:p>
      <w:pPr>
        <w:spacing w:after="70" w:before="0" w:line="276"/>
        <w:jc w:val="left"/>
      </w:pPr>
      <w:r>
        <w:rPr>
          <w:b/>
          <w:bCs/>
          <w:i w:val="false"/>
          <w:iCs w:val="false"/>
          <w:color w:val="0F6E6E"/>
          <w:sz w:val="20"/>
          <w:szCs w:val="20"/>
        </w:rPr>
        <w:t xml:space="preserve">12.  </w:t>
      </w:r>
      <w:r>
        <w:rPr>
          <w:b w:val="false"/>
          <w:bCs w:val="false"/>
          <w:i w:val="false"/>
          <w:iCs w:val="false"/>
          <w:color w:val="222629"/>
          <w:sz w:val="20"/>
          <w:szCs w:val="20"/>
        </w:rPr>
        <w:t xml:space="preserve">Traceability</w:t>
      </w:r>
    </w:p>
    <w:p>
      <w:pPr>
        <w:spacing w:after="70" w:before="0" w:line="276"/>
        <w:jc w:val="left"/>
      </w:pPr>
      <w:r>
        <w:rPr>
          <w:b/>
          <w:bCs/>
          <w:i w:val="false"/>
          <w:iCs w:val="false"/>
          <w:color w:val="0F6E6E"/>
          <w:sz w:val="20"/>
          <w:szCs w:val="20"/>
        </w:rPr>
        <w:t xml:space="preserve">13.  </w:t>
      </w:r>
      <w:r>
        <w:rPr>
          <w:b w:val="false"/>
          <w:bCs w:val="false"/>
          <w:i w:val="false"/>
          <w:iCs w:val="false"/>
          <w:color w:val="222629"/>
          <w:sz w:val="20"/>
          <w:szCs w:val="20"/>
        </w:rPr>
        <w:t xml:space="preserve">What this pack does not decide</w:t>
      </w:r>
    </w:p>
    <w:p>
      <w:pPr>
        <w:spacing w:after="70" w:before="0" w:line="276"/>
        <w:jc w:val="left"/>
      </w:pPr>
      <w:r>
        <w:rPr>
          <w:b/>
          <w:bCs/>
          <w:i w:val="false"/>
          <w:iCs w:val="false"/>
          <w:color w:val="0F6E6E"/>
          <w:sz w:val="20"/>
          <w:szCs w:val="20"/>
        </w:rPr>
        <w:t xml:space="preserve">A.  </w:t>
      </w:r>
      <w:r>
        <w:rPr>
          <w:b w:val="false"/>
          <w:bCs w:val="false"/>
          <w:i w:val="false"/>
          <w:iCs w:val="false"/>
          <w:color w:val="222629"/>
          <w:sz w:val="20"/>
          <w:szCs w:val="20"/>
        </w:rPr>
        <w:t xml:space="preserve">Appendix A — Regulatory register: every obligation these rules serve</w:t>
      </w:r>
    </w:p>
    <w:p>
      <w:pPr>
        <w:spacing w:after="70" w:before="0" w:line="276"/>
        <w:jc w:val="left"/>
      </w:pPr>
      <w:r>
        <w:rPr>
          <w:b/>
          <w:bCs/>
          <w:i w:val="false"/>
          <w:iCs w:val="false"/>
          <w:color w:val="0F6E6E"/>
          <w:sz w:val="20"/>
          <w:szCs w:val="20"/>
        </w:rPr>
        <w:t xml:space="preserve">B.  </w:t>
      </w:r>
      <w:r>
        <w:rPr>
          <w:b w:val="false"/>
          <w:bCs w:val="false"/>
          <w:i w:val="false"/>
          <w:iCs w:val="false"/>
          <w:color w:val="222629"/>
          <w:sz w:val="20"/>
          <w:szCs w:val="20"/>
        </w:rPr>
        <w:t xml:space="preserve">Appendix B — Terms and internal references</w:t>
      </w:r>
    </w:p>
    <w:p>
      <w:pPr>
        <w:spacing w:after="24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How the sections map to the decision</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Decision Schedule A in Volume 1 has one row per section of this volume, in the same order, and each row names the section to read. Sections 1 to 11 each carry a row and a decision box. Sections 12 and 13 carry none: section 12 records which obligation each rule serves, and section 13 sets out what the pack deliberately leaves open for Compliance to determine.</w:t>
      </w:r>
    </w:p>
    <w:p>
      <w:pPr>
        <w:spacing w:after="140"/>
      </w:pPr>
      <w:r>
        <w:t xml:space="preserve"/>
      </w:r>
    </w:p>
    <w:p>
      <w:pPr>
        <w:spacing w:after="120" w:before="0" w:line="276"/>
        <w:jc w:val="left"/>
      </w:pPr>
      <w:r>
        <w:rPr>
          <w:b w:val="false"/>
          <w:bCs w:val="false"/>
          <w:i/>
          <w:iCs/>
          <w:color w:val="5A6570"/>
          <w:sz w:val="19"/>
          <w:szCs w:val="19"/>
        </w:rPr>
        <w:t xml:space="preserve">This volume is one of three issued together as a single submission: Volume 1 — Decision Pack, Volume 2 — Consent Rule Pack, Volume 3 — Suitability Rule Pack.</w:t>
      </w:r>
    </w:p>
    <w:p>
      <w:pPr>
        <w:pStyle w:val="Heading2"/>
        <w:keepNext/>
        <w:keepLines/>
        <w:spacing w:after="120" w:before="300"/>
      </w:pPr>
      <w:r>
        <w:rPr>
          <w:b/>
          <w:bCs/>
          <w:color w:val="11304E"/>
          <w:sz w:val="24"/>
          <w:szCs w:val="24"/>
        </w:rPr>
        <w:t xml:space="preserve">1.  Consent events in the first release</w:t>
      </w:r>
    </w:p>
    <w:p>
      <w:pPr>
        <w:spacing w:after="120" w:before="0" w:line="276"/>
        <w:jc w:val="left"/>
      </w:pPr>
      <w:r>
        <w:rPr>
          <w:b w:val="false"/>
          <w:bCs w:val="false"/>
          <w:i w:val="false"/>
          <w:iCs w:val="false"/>
          <w:color w:val="222629"/>
          <w:sz w:val="20"/>
          <w:szCs w:val="20"/>
        </w:rPr>
        <w:t xml:space="preserve">Five consent events are defined; four are in scope for the first release. Each has a code, a position in the journey, and an effect if it is absent. The position given is the earliest point at which the consent must exist — it may always be captured earlier, which is the subject of the proposal in Volume 1, §11.</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964"/>
        <w:gridCol w:w="2313"/>
        <w:gridCol w:w="2313"/>
        <w:gridCol w:w="2602"/>
        <w:gridCol w:w="1446"/>
      </w:tblGrid>
      <w:tr>
        <w:trPr>
          <w:cantSplit/>
          <w:tblHeader/>
        </w:trPr>
        <w:tc>
          <w:tcPr>
            <w:tcW w:type="dxa" w:w="96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Consent event</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Must exist before</w:t>
            </w:r>
          </w:p>
        </w:tc>
        <w:tc>
          <w:tcPr>
            <w:tcW w:type="dxa" w:w="260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Effect if absent</w:t>
            </w:r>
          </w:p>
        </w:tc>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 scope now</w:t>
            </w:r>
          </w:p>
        </w:tc>
      </w:tr>
      <w:tr>
        <w:trPr>
          <w:cantSplit/>
        </w:trPr>
        <w:tc>
          <w:tcPr>
            <w:tcW w:type="dxa" w:w="96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CNS-DP</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 processing and pre-fill from bank records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Any customer data is read from the bank record into the journey</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search returns identity only; no pre-fill and no progression</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96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CNS-SOL</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Insurance solicitation, need analysis and suitability</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questionnaire is presented</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suitability assessment can be created</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96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CNS-SHR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Sharing data with the selected insurer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proposal is submitted to the insurer</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Proposal submission is refused</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96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CNS-COM</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Servicing communications by message, email or push</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outbound customer communication</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Communication suppressed; the journey continues</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96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CNS-RDR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Controlled redirect to an off-panel insurer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redirect link is generated</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Redirect refused</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later release</w:t>
            </w:r>
          </w:p>
        </w:tc>
      </w:tr>
    </w:tbl>
    <w:p>
      <w:pPr>
        <w:spacing w:after="12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Product’s position on presentation</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Data processing, solicitation and servicing communications are presented to the customer as one acknowledgement with three separately-recorded consents. The customer experiences one interaction; the record holds three rows with three statement identifiers. This gives the experience benefit without the exposure of a bundled consent. Sharing consent is captured separately in the pack as drafted, because the counterparty is named in the statement and the customer must see which insurer receives their data — this is the point the proposal in Volume 1, §11 seeks to change. Whether data processing and solicitation may share a single affirmative act at all is OPEN-CNS-01.</w:t>
      </w:r>
    </w:p>
    <w:p>
      <w:pPr>
        <w:pStyle w:val="Heading2"/>
        <w:keepNext/>
        <w:keepLines/>
        <w:spacing w:after="120" w:before="300"/>
      </w:pPr>
      <w:r>
        <w:rPr>
          <w:b/>
          <w:bCs/>
          <w:color w:val="11304E"/>
          <w:sz w:val="24"/>
          <w:szCs w:val="24"/>
        </w:rPr>
        <w:t xml:space="preserve">2.  Statement identity and versioning</w:t>
      </w:r>
    </w:p>
    <w:p>
      <w:pPr>
        <w:spacing w:after="120" w:before="0" w:line="276"/>
        <w:jc w:val="left"/>
      </w:pPr>
      <w:r>
        <w:rPr>
          <w:b w:val="false"/>
          <w:bCs w:val="false"/>
          <w:i w:val="false"/>
          <w:iCs w:val="false"/>
          <w:color w:val="222629"/>
          <w:sz w:val="20"/>
          <w:szCs w:val="20"/>
        </w:rPr>
        <w:t xml:space="preserve">Every consent statement carries an identifier whose meaning never changes:</w:t>
      </w:r>
    </w:p>
    <w:p>
      <w:pPr>
        <w:spacing w:after="100" w:before="0" w:line="276"/>
        <w:jc w:val="left"/>
      </w:pPr>
      <w:r>
        <w:rPr>
          <w:rFonts w:ascii="Consolas" w:cs="Consolas" w:eastAsia="Consolas" w:hAnsi="Consolas"/>
          <w:b w:val="false"/>
          <w:bCs w:val="false"/>
          <w:i w:val="false"/>
          <w:iCs w:val="false"/>
          <w:color w:val="11304E"/>
          <w:sz w:val="18"/>
          <w:szCs w:val="18"/>
        </w:rPr>
        <w:t xml:space="preserve">&lt;CONSENT_CODE&gt;-&lt;LANGUAGE&gt;-v&lt;MAJOR&gt;.&lt;MINOR&gt;          for example:  CNS-DP-en-IN-v1.0</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CNS-R01</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OBL-DP-01</w:t>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OBL-INS-05</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captured consent MUST record the statement identifier, the statement version, and a SHA-256 hash of the exact statement text rendered to the customer.</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any consent record: all three fields present and non-null, and recomputing the hash over the stored text reproduces the stored hash.</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CNS-R02</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OBL-DP-01</w:t>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OBL-INS-05</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text MUST be immutable once a version is published. A change of wording MUST create a new version.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to alter the text of a published version. The attempt is refused.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CNS-R03</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OBL-INS-04</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major version increment signals a material change of meaning; a minor increment signals a non-material change such as a typographical or formatting correction. Only Compliance may classify which it is.</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published version carries a change classification and the name of the Compliance approver who set it. Without both, publication is refused.</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CNS-R04</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OBL-DP-01</w:t>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OBL-INS-05</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statement text stored with the evidence record MUST be the text actually shown to the customer, not a reference resolved when the record is later read.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Publish a new version, then retrieve a consent captured under the previous version. The previous text is returned word for word.</w:t>
            </w:r>
          </w:p>
        </w:tc>
      </w:tr>
    </w:tbl>
    <w:p>
      <w:pPr>
        <w:spacing w:after="12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CNS-R04 is the rule that makes the evidence defensible</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 record saying "the customer accepted statement version 1.0", which then resolves version 1.0 from a table that can change, proves nothing three years later. The text has to travel with the record.</w:t>
      </w:r>
    </w:p>
    <w:p>
      <w:pPr>
        <w:pStyle w:val="Heading2"/>
        <w:keepNext/>
        <w:keepLines/>
        <w:spacing w:after="120" w:before="300"/>
      </w:pPr>
      <w:r>
        <w:rPr>
          <w:b/>
          <w:bCs/>
          <w:color w:val="11304E"/>
          <w:sz w:val="24"/>
          <w:szCs w:val="24"/>
        </w:rPr>
        <w:t xml:space="preserve">3.  Version change and journeys already in flight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CNS-R05</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material version change MUST invalidate consents captured under earlier versions for journeys that have not yet passed the point the consent gates. Journeys past that point continue under the version they captured.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Publish a material new version. A journey still at lead stage is blocked and re-prompted; a journey already at proposal stage is undisturbed and retains its original evidence.</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CNS-R06</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non-material version change MUST NOT invalidate any existing consent.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Publish a minor version. No journey is re-prompted and no consent record changes state.</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CNS-R07</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OBL-DP-03</w:t>
            </w:r>
            <w:r>
              <w:rPr>
                <w:b w:val="false"/>
                <w:bCs w:val="false"/>
                <w:i w:val="false"/>
                <w:iCs w:val="false"/>
                <w:color w:val="0F6E6E"/>
                <w:sz w:val="15"/>
                <w:szCs w:val="15"/>
              </w:rPr>
              <w:br/>
              <w:t xml:space="preserve">OBL-INS-04</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Staff MUST be told why a re-consent is required, in business language, naming the consent event.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Trigger a re-consent. The message identifies the consent event and the action required. No generic error is shown.</w:t>
            </w:r>
          </w:p>
        </w:tc>
      </w:tr>
    </w:tbl>
    <w:p>
      <w:pPr>
        <w:pStyle w:val="Heading2"/>
        <w:keepNext/>
        <w:keepLines/>
        <w:spacing w:after="120" w:before="300"/>
      </w:pPr>
      <w:r>
        <w:rPr>
          <w:b/>
          <w:bCs/>
          <w:color w:val="11304E"/>
          <w:sz w:val="24"/>
          <w:szCs w:val="24"/>
        </w:rPr>
        <w:t xml:space="preserve">4.  Language</w:t>
      </w:r>
    </w:p>
    <w:p>
      <w:pPr>
        <w:spacing w:after="120" w:before="0" w:line="276"/>
        <w:jc w:val="left"/>
      </w:pPr>
      <w:r>
        <w:rPr>
          <w:b w:val="false"/>
          <w:bCs w:val="false"/>
          <w:i w:val="false"/>
          <w:iCs w:val="false"/>
          <w:color w:val="222629"/>
          <w:sz w:val="20"/>
          <w:szCs w:val="20"/>
        </w:rPr>
        <w:t xml:space="preserve">The first release ships in Indian English only. Additional languages follow later.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CNS-R08</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OBL-DP-03</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language of the statement shown MUST be recorded on the evidence record.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record carries a language code matching a published statement version.</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CNS-R09</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OBL-DP-03</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translated statement MUST carry the same version number as its source-language statement and MUST be Compliance-approved in its own right.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translated variant exists only where the source-language version exists, and carries its own named Compliance approver.</w:t>
            </w:r>
          </w:p>
        </w:tc>
      </w:tr>
    </w:tbl>
    <w:p>
      <w:pPr>
        <w:pStyle w:val="Heading2"/>
        <w:keepNext/>
        <w:keepLines/>
        <w:pageBreakBefore/>
        <w:spacing w:after="120" w:before="0"/>
      </w:pPr>
      <w:r>
        <w:rPr>
          <w:b/>
          <w:bCs/>
          <w:color w:val="11304E"/>
          <w:sz w:val="24"/>
          <w:szCs w:val="24"/>
        </w:rPr>
        <w:t xml:space="preserve">5.  Capture mechanism by channel</w:t>
      </w:r>
    </w:p>
    <w:p>
      <w:pPr>
        <w:spacing w:after="120" w:before="0" w:line="276"/>
        <w:jc w:val="left"/>
      </w:pPr>
      <w:r>
        <w:rPr>
          <w:b w:val="false"/>
          <w:bCs w:val="false"/>
          <w:i w:val="false"/>
          <w:iCs w:val="false"/>
          <w:color w:val="222629"/>
          <w:sz w:val="20"/>
          <w:szCs w:val="20"/>
        </w:rPr>
        <w:t xml:space="preserve">The evidence captured MUST be identical across channels. The interaction differs; the record does not.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313"/>
        <w:gridCol w:w="5301"/>
        <w:gridCol w:w="2024"/>
      </w:tblGrid>
      <w:tr>
        <w:trPr>
          <w:cantSplit/>
          <w:tblHeader/>
        </w:trPr>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Channel</w:t>
            </w:r>
          </w:p>
        </w:tc>
        <w:tc>
          <w:tcPr>
            <w:tcW w:type="dxa" w:w="530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Interaction</w:t>
            </w:r>
          </w:p>
        </w:tc>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Recorded method</w:t>
            </w:r>
          </w:p>
        </w:tc>
      </w:tr>
      <w:tr>
        <w:trPr>
          <w:cantSplit/>
        </w:trPr>
        <w:tc>
          <w:tcPr>
            <w:tcW w:type="dxa" w:w="231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Relationship-manager assisted</w:t>
            </w:r>
          </w:p>
        </w:tc>
        <w:tc>
          <w:tcPr>
            <w:tcW w:type="dxa" w:w="530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statement is displayed on the staff device and sent to the customer’s registered mobile; the customer enters the code delivered to their own device.</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Code to customer device</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Customer self-service (later release)</w:t>
            </w:r>
          </w:p>
        </w:tc>
        <w:tc>
          <w:tcPr>
            <w:tcW w:type="dxa" w:w="530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affirmative action in the app — never a pre-ticked box — plus a code to the registered mobile.</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In-app affirmative plus code</w:t>
            </w:r>
          </w:p>
        </w:tc>
      </w:tr>
      <w:tr>
        <w:trPr>
          <w:cantSplit/>
        </w:trPr>
        <w:tc>
          <w:tcPr>
            <w:tcW w:type="dxa" w:w="231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Hybrid (later release)</w:t>
            </w:r>
          </w:p>
        </w:tc>
        <w:tc>
          <w:tcPr>
            <w:tcW w:type="dxa" w:w="530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Whichever device the customer is using at the moment of capture, recorded as such.</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As above</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CNS-R10</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OBL-INS-09</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MUST NOT be recorded without a verified one-time password transaction. A tick by a member of staff is never consent.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Submit a capture with no verification transaction: refused. Submit one with an unverified transaction: refused.</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CNS-R11</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OBL-RBI-05</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code MUST be delivered to the customer’s mobile number as held in the bank record, never to a number entered during the journey.</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Alter the mobile number in the journey data; the code is still dispatched to the number of record.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CNS-R12</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acknowledgement control MUST NOT be pre-selected or defaulted to accepted.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Render the consent screen. The affirmative control is in its un-actioned state when the screen is first drawn.</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CNS-R13</w:t>
            </w:r>
            <w:r>
              <w:rPr>
                <w:b w:val="false"/>
                <w:bCs w:val="false"/>
                <w:i w:val="false"/>
                <w:iCs w:val="false"/>
                <w:color w:val="0F6E6E"/>
                <w:sz w:val="15"/>
                <w:szCs w:val="15"/>
              </w:rPr>
              <w:t xml:space="preserve"/>
            </w:r>
            <w:r>
              <w:rPr>
                <w:b w:val="false"/>
                <w:bCs w:val="false"/>
                <w:i w:val="false"/>
                <w:iCs w:val="false"/>
                <w:color w:val="0F6E6E"/>
                <w:sz w:val="15"/>
                <w:szCs w:val="15"/>
              </w:rPr>
              <w:br/>
              <w:t xml:space="preserve">OBL-RBI-05</w:t>
            </w:r>
            <w:r>
              <w:rPr>
                <w:b w:val="false"/>
                <w:bCs w:val="false"/>
                <w:i w:val="false"/>
                <w:iCs w:val="false"/>
                <w:color w:val="0F6E6E"/>
                <w:sz w:val="15"/>
                <w:szCs w:val="15"/>
              </w:rPr>
              <w:br/>
              <w:t xml:space="preserve">OBL-INS-08</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Staff MUST NOT be able to enter, on the staff device, a code that was delivered to the customer’s device.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staff screen exposes no entry field for a customer-device code. It shows pending or verified status only.</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CNS-R14</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OBL-DP-07</w:t>
            </w:r>
            <w:r>
              <w:rPr>
                <w:b w:val="false"/>
                <w:bCs w:val="false"/>
                <w:i w:val="false"/>
                <w:iCs w:val="false"/>
                <w:color w:val="0F6E6E"/>
                <w:sz w:val="15"/>
                <w:szCs w:val="15"/>
              </w:rPr>
              <w:br/>
              <w:t xml:space="preserve">OBL-INS-09</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code is valid for 10 minutes. Expiry requires a new code to be issued, not a retry of the old one.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Verify at 9 minutes 59 seconds: accepted. Verify at 10 minutes 1 second: refused as expired.</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CNS-R15</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OBL-DP-07</w:t>
            </w:r>
            <w:r>
              <w:rPr>
                <w:b w:val="false"/>
                <w:bCs w:val="false"/>
                <w:i w:val="false"/>
                <w:iCs w:val="false"/>
                <w:color w:val="0F6E6E"/>
                <w:sz w:val="15"/>
                <w:szCs w:val="15"/>
              </w:rPr>
              <w:br/>
              <w:t xml:space="preserve">OBL-INS-09</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maximum of 3 verification attempts per transaction, after which the transaction locks and a new code must be issued. A maximum of 5 codes issued per consent event in 24 hours.</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fourth attempt is refused. A sixth issue within 24 hours is refused.</w:t>
            </w:r>
          </w:p>
        </w:tc>
      </w:tr>
    </w:tbl>
    <w:p>
      <w:pPr>
        <w:spacing w:after="12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Why CNS-R13 exists</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This is the consent equivalent of the payment-device separation principle. If a member of staff can complete the customer’s acknowledgement, the record evidences an act the customer did not perform, and every downstream compliance claim rests on it.</w:t>
      </w:r>
    </w:p>
    <w:p>
      <w:pPr>
        <w:pStyle w:val="Heading2"/>
        <w:keepNext/>
        <w:keepLines/>
        <w:pageBreakBefore/>
        <w:spacing w:after="120" w:before="0"/>
      </w:pPr>
      <w:r>
        <w:rPr>
          <w:b/>
          <w:bCs/>
          <w:color w:val="11304E"/>
          <w:sz w:val="24"/>
          <w:szCs w:val="24"/>
        </w:rPr>
        <w:t xml:space="preserve">6.  The consent evidence record</w:t>
      </w:r>
    </w:p>
    <w:p>
      <w:pPr>
        <w:spacing w:after="120" w:before="0" w:line="276"/>
        <w:jc w:val="left"/>
      </w:pPr>
      <w:r>
        <w:rPr>
          <w:b w:val="false"/>
          <w:bCs w:val="false"/>
          <w:i w:val="false"/>
          <w:iCs w:val="false"/>
          <w:color w:val="222629"/>
          <w:sz w:val="20"/>
          <w:szCs w:val="20"/>
        </w:rPr>
        <w:t xml:space="preserve">The 24 fields every consent record must carry. Field names are business names; their physical representation is a database design matter.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675"/>
        <w:gridCol w:w="2988"/>
        <w:gridCol w:w="2313"/>
        <w:gridCol w:w="2024"/>
        <w:gridCol w:w="1638"/>
      </w:tblGrid>
      <w:tr>
        <w:trPr>
          <w:cantSplit/>
          <w:tblHeader/>
        </w:trPr>
        <w:tc>
          <w:tcPr>
            <w:tcW w:type="dxa" w:w="67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298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Type</w:t>
            </w:r>
          </w:p>
        </w:tc>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Optionality</w:t>
            </w:r>
          </w:p>
        </w:tc>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Classification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identifier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Unique identifier</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Journey identifier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Unique identifier</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Lead identifier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identifier held by the bank</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Restricted — personal data</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event code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four codes in §1</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6</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identifier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7</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version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8</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text as shown</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Long 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9</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Hash of the statement text</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SHA-256</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Language shown</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Language tag</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11</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Channel</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Assisted, self-service or hybrid</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12</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Acknowledgement method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methods in §5</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13</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Verification transaction identifier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Confidential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14</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 the code was verified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Timestamp, UTC with offset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15</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 the consent was captured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Timestamp, UTC with offset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16</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Originating network address</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Confidential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Identity of the member of staff</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when assisted</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18</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Licence number of the selling agent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when assisted</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Confidential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19</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Distributor identifier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 server-side only, never exposed to a client</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Confidential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20</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 from</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Timestamp — equals field 14</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21</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 until</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Timestamp, or the explicit value OPEN_ENDED for a consent that does not expire — per §8 and CNS-R23a</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22</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Status</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Active, expired, withdrawn or superseded</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23</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Identifier of the consent this supersedes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Unique identifier</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Optional</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24</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Record sequence number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Integer, append-only</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bl>
    <w:p>
      <w:pPr>
        <w:pStyle w:val="Heading2"/>
        <w:keepNext/>
        <w:keepLines/>
        <w:pageBreakBefore/>
        <w:spacing w:after="120" w:before="0"/>
      </w:pPr>
      <w:r>
        <w:rPr>
          <w:b/>
          <w:bCs/>
          <w:color w:val="11304E"/>
          <w:sz w:val="24"/>
          <w:szCs w:val="24"/>
        </w:rPr>
        <w:t xml:space="preserve">7.  Immutability</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CNS-R16</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OBL-DP-07</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store MUST be append-only. No update and no delete against a consent record, by any application identity.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Issue an update and a delete against a consent record using the application’s own database account. Both fail on privilege rather than on application logic.</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CNS-R17</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OBL-DP-07</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change of state — expiry, withdrawal, supersession — MUST be represented as a new record referencing the earlier one, never as an edit.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a consent. Two records exist: the original unchanged, and a new one recording the withdrawal.</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CNS-R18</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OBL-DP-07</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current status of a consent MUST be derivable from the record chain with no ambiguity about which record is current.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For any consent, exactly one record is the head of its chain.</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CNS-R19</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OBL-DP-09</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evidence MUST be retrievable by journey, by customer and by consent identifier, returning the full chain each time.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Three retrievals, each returning every record in the chain in sequence order.</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CNS-R20</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OBL-DP-07</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consent field classified restricted or confidential MUST appear in application logs.</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Run the full test suite and scan the emitted logs for customer identifiers, verification transaction identifiers, network addresses and agent licence numbers. No matches.</w:t>
            </w:r>
          </w:p>
        </w:tc>
      </w:tr>
    </w:tbl>
    <w:p>
      <w:pPr>
        <w:spacing w:after="12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CNS-R16 is enforced by database privilege, not by code</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An append-only rule that lives inside a service is an append-only rule that one urgent fix removes. This is a hard requirement on the physical database design and a condition on the infrastructure stage. It is carried forward as a condition in Volume 1, §12.</w:t>
      </w:r>
    </w:p>
    <w:p>
      <w:pPr>
        <w:pStyle w:val="Heading2"/>
        <w:keepNext/>
        <w:keepLines/>
        <w:spacing w:after="120" w:before="300"/>
      </w:pPr>
      <w:r>
        <w:rPr>
          <w:b/>
          <w:bCs/>
          <w:color w:val="11304E"/>
          <w:sz w:val="24"/>
          <w:szCs w:val="24"/>
        </w:rPr>
        <w:t xml:space="preserve">8.  Validity, expiry and reuse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CNS-R21</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OBL-DP-06</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Data-processing and solicitation consents are valid for 90 days from the time they take effect.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consent at 89 days permits the journey to proceed; at 91 days the journey is blocked as expired.</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OBL-DP-06</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Insurer-sharing consent is valid for 30 days and is scoped to a named insurer. Sharing with a second insurer requires a second consent.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Capture sharing consent for one insurer and submit a proposal to another: refused as a scope mismatch.</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CNS-R23</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OBL-DP-06</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Servicing-communications consent has no expiry; it persists until withdrawn.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consent given 400 days earlier still permits communication.</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CNS-R23a</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OBL-DP-06</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 consent does not expire, the mandatory “valid until” field MUST carry the explicit value OPEN_ENDED. It MUST NOT be left null, and it MUST NOT be filled with a far-future date that would read at audit as a fixed expiry the customer was never told about.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Capture a servicing-communications consent: the field reads OPEN_ENDED. Assert that no null and no synthetic date is accepted in that field, and that an expiry check on OPEN_ENDED never returns expired.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CNS-R24</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OBL-DP-08</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MUST NOT be reused across customers. A consent is bound to one customer for its lifetime.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Present a valid consent alongside a different customer identifier: refused as a subject mismatch.</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CNS-R25</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OBL-DP-06</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MAY be reused across journeys for the same customer within its validity window, for the same event and the same scope.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Abandon one journey, then start another 10 days later for the same customer. The existing consent is reused with no re-prompt, and the new journey references it.</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CNS-R26</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OBL-DP-06</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re-consent MUST create a new record chained to the one it supersedes, and the superseded record MUST be retained.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Re-consent. The earlier record is present and marked superseded; the new record references it.</w:t>
            </w:r>
          </w:p>
        </w:tc>
      </w:tr>
    </w:tbl>
    <w:p>
      <w:pPr>
        <w:spacing w:after="12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Why reuse is deliberate</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An existing customer re-prompted for identical data-processing consent ten days apart learns that consent is noise, which is the outcome the obligation exists to prevent. Reuse is bounded by customer, event, scope and window — all four, together.</w:t>
      </w:r>
    </w:p>
    <w:p>
      <w:pPr>
        <w:pStyle w:val="Heading2"/>
        <w:keepNext/>
        <w:keepLines/>
        <w:pageBreakBefore/>
        <w:spacing w:after="120" w:before="0"/>
      </w:pPr>
      <w:r>
        <w:rPr>
          <w:b/>
          <w:bCs/>
          <w:color w:val="11304E"/>
          <w:sz w:val="24"/>
          <w:szCs w:val="24"/>
        </w:rPr>
        <w:t xml:space="preserve">9.  Withdrawal</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CNS-R27</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OBL-DP-04</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 MUST be able to withdraw any consent at any time, through staff or in the app. Withdrawal requires the same verification as capture.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through each channel; a verified transaction is present on each withdrawal record.</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CNS-R28</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OBL-DP-04</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withdrawal MUST record the time, the acting identity, the channel, an optional customer-stated reason, and the verification transaction.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a withdrawal record; all mandatory fields are present.</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CNS-R29</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OBL-DP-04</w:t>
            </w:r>
            <w:r>
              <w:rPr>
                <w:b w:val="false"/>
                <w:bCs w:val="false"/>
                <w:i w:val="false"/>
                <w:iCs w:val="false"/>
                <w:color w:val="0F6E6E"/>
                <w:sz w:val="15"/>
                <w:szCs w:val="15"/>
              </w:rPr>
              <w:br/>
              <w:t xml:space="preserve">OBL-DP-06</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of data-processing or solicitation consent MUST halt the journey immediately at its current step. Journey data is retained under the retention schedule; processing stops.</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mid-journey. The next journey action is refused as halted, and no further insurer call occurs.</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CNS-R30</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OBL-DP-04</w:t>
            </w:r>
            <w:r>
              <w:rPr>
                <w:b w:val="false"/>
                <w:bCs w:val="false"/>
                <w:i w:val="false"/>
                <w:iCs w:val="false"/>
                <w:color w:val="0F6E6E"/>
                <w:sz w:val="15"/>
                <w:szCs w:val="15"/>
              </w:rPr>
              <w:br/>
              <w:t xml:space="preserve">OBL-INS-10</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of sharing consent after a proposal has been submitted to the insurer MUST NOT be presented to the customer as retracting the submission. The platform records the withdrawal, stops further sharing, and raises an operations task to contact the insurer.</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after submission. The chain shows the withdrawal, an operations task exists, and the message to the customer states that the insurer will be contacted — not that the proposal is cancelled.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CNS-R31</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OBL-DP-04</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of servicing-communications consent MUST suppress non-mandatory communications only. Regulatory and transactional messages continue.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it: marketing messages are suppressed and the issuance confirmation is still sent.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CNS-R32</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OBL-DP-04</w:t>
            </w:r>
            <w:r>
              <w:rPr>
                <w:b w:val="false"/>
                <w:bCs w:val="false"/>
                <w:i w:val="false"/>
                <w:iCs w:val="false"/>
                <w:color w:val="0F6E6E"/>
                <w:sz w:val="15"/>
                <w:szCs w:val="15"/>
              </w:rPr>
              <w:br/>
              <w:t xml:space="preserve">OBL-INS-05</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MUST NOT delete prior consent evidence.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After withdrawal, the original capture record is retrievable in full.</w:t>
            </w:r>
          </w:p>
        </w:tc>
      </w:tr>
    </w:tbl>
    <w:p>
      <w:pPr>
        <w:spacing w:after="12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CNS-R30 is the honest rule</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The platform cannot un-send data already transmitted to an insurer. Telling the customer otherwise would be a false statement about a regulated act. The behaviour is: stop, record, escalate to a person, and tell the customer exactly that.</w:t>
      </w:r>
    </w:p>
    <w:p>
      <w:pPr>
        <w:pStyle w:val="Heading2"/>
        <w:keepNext/>
        <w:keepLines/>
        <w:spacing w:after="120" w:before="300"/>
      </w:pPr>
      <w:r>
        <w:rPr>
          <w:b/>
          <w:bCs/>
          <w:color w:val="11304E"/>
          <w:sz w:val="24"/>
          <w:szCs w:val="24"/>
        </w:rPr>
        <w:t xml:space="preserve">10.  Retention and retrieval</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CNS-R33</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OBL-REC-01</w:t>
            </w:r>
            <w:r>
              <w:rPr>
                <w:b w:val="false"/>
                <w:bCs w:val="false"/>
                <w:i w:val="false"/>
                <w:iCs w:val="false"/>
                <w:color w:val="0F6E6E"/>
                <w:sz w:val="15"/>
                <w:szCs w:val="15"/>
              </w:rPr>
              <w:br/>
              <w:t xml:space="preserve">OBL-DP-06</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evidence MUST be retained for 7 years from the terminal state of the journey it belongs to — policy issued, lapsed, or abandoned and closed.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Compute the retention expiry for records across all three terminal states; each equals the terminal date plus seven years.</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CNS-R33a</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OBL-REC-01</w:t>
            </w:r>
            <w:r>
              <w:rPr>
                <w:b w:val="false"/>
                <w:bCs w:val="false"/>
                <w:i w:val="false"/>
                <w:iCs w:val="false"/>
                <w:color w:val="0F6E6E"/>
                <w:sz w:val="15"/>
                <w:szCs w:val="15"/>
              </w:rPr>
              <w:br/>
              <w:t xml:space="preserve">OBL-DP-06</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 consent is reused across journeys under CNS-R25, retention MUST be anchored to the terminal state of the LAST journey that relied on it. The clock restarts on each reuse and MUST never shorten. A consent that has not yet been relied upon by any terminated journey MUST NOT become eligible for disposal.</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Reuse one consent across two journeys terminating three months apart: the expiry equals the later terminal date plus seven years. Add a third, later journey: the expiry moves out. Assert no path shortens a previously computed expiry.</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CNS-R33b</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OBL-REC-01</w:t>
            </w:r>
            <w:r>
              <w:rPr>
                <w:b w:val="false"/>
                <w:bCs w:val="false"/>
                <w:i w:val="false"/>
                <w:iCs w:val="false"/>
                <w:color w:val="0F6E6E"/>
                <w:sz w:val="15"/>
                <w:szCs w:val="15"/>
              </w:rPr>
              <w:br/>
              <w:t xml:space="preserve">OBL-DP-06</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consent with no expiry under CNS-R23 MUST be retained for 7 years from its withdrawal, or from the terminal state of the last journey that relied on it, whichever is later.</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a servicing-communications consent one year after the last journey terminated: retention runs seven years from the withdrawal.</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CNS-R33c</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OBL-DP-06</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legal hold MUST suspend disposal for the records it names, MUST be recorded with who placed it and when, and MUST be releasable only by Compliance. Retention MUST NOT be computed as expired while a hold is in force.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Place a hold on a record past its retention expiry: disposal is refused and the refusal is logged. Release the hold as Compliance: disposal becomes possible. Attempt release as any other role: refused.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CNS-R34</w:t>
            </w:r>
            <w:r>
              <w:rPr>
                <w:b w:val="false"/>
                <w:bCs w:val="false"/>
                <w:i w:val="false"/>
                <w:iCs w:val="false"/>
                <w:color w:val="0F6E6E"/>
                <w:sz w:val="15"/>
                <w:szCs w:val="15"/>
              </w:rPr>
              <w:t xml:space="preserve"/>
            </w:r>
            <w:r>
              <w:rPr>
                <w:b w:val="false"/>
                <w:bCs w:val="false"/>
                <w:i w:val="false"/>
                <w:iCs w:val="false"/>
                <w:color w:val="0F6E6E"/>
                <w:sz w:val="15"/>
                <w:szCs w:val="15"/>
              </w:rPr>
              <w:br/>
              <w:t xml:space="preserve">OBL-RBI-04</w:t>
            </w:r>
            <w:r>
              <w:rPr>
                <w:b w:val="false"/>
                <w:bCs w:val="false"/>
                <w:i w:val="false"/>
                <w:iCs w:val="false"/>
                <w:color w:val="0F6E6E"/>
                <w:sz w:val="15"/>
                <w:szCs w:val="15"/>
              </w:rPr>
              <w:br/>
              <w:t xml:space="preserve">OBL-INT-01</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Retained evidence MUST be held in write-once storage in an India region.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Inspect the storage configuration: write-once locking enabled, retention set to seven years, region within India.</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CNS-R35</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consent record MUST be retrievable within 4 business hours of a regulator or internal audit request; a full journey bundle within 1 business day.</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timed retrieval exercise, recorded.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CNS-R36</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OBL-INT-01</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Retention MUST NOT be shortenable by an application configuration change.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to reduce the retention period through application configuration; the value is bound to the infrastructure and the change has no effect on stored records.</w:t>
            </w:r>
          </w:p>
        </w:tc>
      </w:tr>
    </w:tbl>
    <w:p>
      <w:pPr>
        <w:spacing w:after="100"/>
      </w:pPr>
      <w:r>
        <w:t xml:space="preserve"/>
      </w:r>
    </w:p>
    <w:p>
      <w:pPr>
        <w:spacing w:after="120" w:before="0" w:line="276"/>
        <w:jc w:val="left"/>
      </w:pPr>
      <w:r>
        <w:rPr>
          <w:b/>
          <w:bCs/>
          <w:i w:val="false"/>
          <w:iCs w:val="false"/>
          <w:color w:val="222629"/>
          <w:sz w:val="20"/>
          <w:szCs w:val="20"/>
        </w:rPr>
        <w:t xml:space="preserve">Data residency is on the agreed non-waivable list. </w:t>
      </w:r>
      <w:r>
        <w:rPr>
          <w:b w:val="false"/>
          <w:bCs w:val="false"/>
          <w:i w:val="false"/>
          <w:iCs w:val="false"/>
          <w:color w:val="222629"/>
          <w:sz w:val="20"/>
          <w:szCs w:val="20"/>
        </w:rPr>
        <w:t xml:space="preserve">CNS-R34 is therefore a hard dependency on the infrastructure stage and cannot be deferred to the build stage.</w:t>
      </w:r>
    </w:p>
    <w:p>
      <w:pPr>
        <w:pStyle w:val="Heading2"/>
        <w:keepNext/>
        <w:keepLines/>
        <w:pageBreakBefore/>
        <w:spacing w:after="120" w:before="0"/>
      </w:pPr>
      <w:r>
        <w:rPr>
          <w:b/>
          <w:bCs/>
          <w:color w:val="11304E"/>
          <w:sz w:val="24"/>
          <w:szCs w:val="24"/>
        </w:rPr>
        <w:t xml:space="preserve">11.  Failure behaviour</w:t>
      </w:r>
    </w:p>
    <w:p>
      <w:pPr>
        <w:spacing w:after="120" w:before="0" w:line="276"/>
        <w:jc w:val="left"/>
      </w:pPr>
      <w:r>
        <w:rPr>
          <w:b w:val="false"/>
          <w:bCs w:val="false"/>
          <w:i w:val="false"/>
          <w:iCs w:val="false"/>
          <w:color w:val="222629"/>
          <w:sz w:val="20"/>
          <w:szCs w:val="20"/>
        </w:rPr>
        <w:t xml:space="preserve">Every rule above has a failure path. What the actor experiences is specified, because a control that produces an unexplained error trains staff to work around it.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928"/>
        <w:gridCol w:w="2313"/>
        <w:gridCol w:w="3277"/>
        <w:gridCol w:w="2120"/>
      </w:tblGrid>
      <w:tr>
        <w:trPr>
          <w:cantSplit/>
          <w:tblHeader/>
        </w:trPr>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Reason code</w:t>
            </w:r>
          </w:p>
        </w:tc>
        <w:tc>
          <w:tcPr>
            <w:tcW w:type="dxa" w:w="327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staff are told</w:t>
            </w:r>
          </w:p>
        </w:tc>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Effect on the journey</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Required consent absent</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CONSENT_REQUIRED</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consent for [named event] is needed before this step", with an action to obtain it</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Blocked at that step</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expired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CONSENT_EXPIRED</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given on [date] has expired. Re-confirm with the customer."</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Blocked; a re-consent path is offered</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withdrawn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JOURNEY_HALTED_CONSENT_WITHDRAWN</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customer withdrew consent on [date]. This journey is closed."</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Halted</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Scope mismatch on insurer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CONSENT_SCOPE_MISMATCH</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covers [insurer A]. Capture consent for [insurer B]."</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Blocked for that insurer only</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identity mismatch</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CONSENT_SUBJECT_MISMATCH</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generic failure; an incident is raised</w:t>
            </w:r>
          </w:p>
        </w:tc>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Blocked — treated as a security event</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Code not yet verified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CONSENT_OTP_NOT_VERIFIED</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"Waiting for the customer to confirm the code sent to their mobile."</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Code expired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OTP_EXPIRED</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code expired. Send a new one."</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 re-issue offered</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Too many attempts</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OTP_ATTEMPTS_EXCEEDED</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"Too many incorrect attempts. Send a new code."</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 re-issue offered</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Evidence could not be written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CONSENT_EVIDENCE_WRITE_FAILED</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"Could not record consent. Do not proceed."</w:t>
            </w:r>
          </w:p>
        </w:tc>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Fails closed — the business step does not succeed</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CNS-R37</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OBL-INS-05</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capture MUST fail closed. If the evidence cannot be written, the business action MUST NOT succeed.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Inject a failure in the consent store; the calling business action returns an error and no downstream call is made.</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CNS-R38</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OBL-DP-07</w:t>
            </w:r>
            <w:r>
              <w:rPr>
                <w:b w:val="false"/>
                <w:bCs w:val="false"/>
                <w:i w:val="false"/>
                <w:iCs w:val="false"/>
                <w:color w:val="0F6E6E"/>
                <w:sz w:val="15"/>
                <w:szCs w:val="15"/>
              </w:rPr>
              <w:br/>
              <w:t xml:space="preserve">OBL-DP-08</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customer-identity mismatch MUST raise a security event, not merely a business error.</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Trigger the condition; a security event is emitted carrying the actor, the journey and both customer identifiers, masked as CNS-R20 requires.</w:t>
            </w:r>
          </w:p>
        </w:tc>
      </w:tr>
    </w:tbl>
    <w:p>
      <w:pPr>
        <w:pStyle w:val="Heading2"/>
        <w:keepNext/>
        <w:keepLines/>
        <w:spacing w:after="120" w:before="300"/>
      </w:pPr>
      <w:r>
        <w:rPr>
          <w:b/>
          <w:bCs/>
          <w:color w:val="11304E"/>
          <w:sz w:val="24"/>
          <w:szCs w:val="24"/>
        </w:rPr>
        <w:t xml:space="preserve">12.  Traceability</w:t>
      </w:r>
    </w:p>
    <w:p>
      <w:pPr>
        <w:spacing w:after="120" w:before="0" w:line="276"/>
        <w:jc w:val="left"/>
      </w:pPr>
      <w:r>
        <w:rPr>
          <w:b w:val="false"/>
          <w:bCs w:val="false"/>
          <w:i w:val="false"/>
          <w:iCs w:val="false"/>
          <w:color w:val="222629"/>
          <w:sz w:val="20"/>
          <w:szCs w:val="20"/>
        </w:rPr>
        <w:t xml:space="preserve">Which obligation each group of rules serves, and where the control will live. The obligation codes are defined in Appendix A; every individual rule also prints its own codes beneath its identifier.</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3181"/>
        <w:gridCol w:w="2602"/>
        <w:gridCol w:w="2409"/>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Rules</w:t>
            </w:r>
          </w:p>
        </w:tc>
        <w:tc>
          <w:tcPr>
            <w:tcW w:type="dxa" w:w="318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Obligations served</w:t>
            </w:r>
          </w:p>
        </w:tc>
        <w:tc>
          <w:tcPr>
            <w:tcW w:type="dxa" w:w="260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Where the control lives</w:t>
            </w:r>
          </w:p>
        </w:tc>
        <w:tc>
          <w:tcPr>
            <w:tcW w:type="dxa" w:w="240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When it will be proven</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CNS-R01 – R04</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OBL-DP-01, OBL-DP-02, OBL-INS-04, OBL-INS-05</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Configuration store, record store</w:t>
            </w:r>
          </w:p>
        </w:tc>
        <w:tc>
          <w:tcPr>
            <w:tcW w:type="dxa" w:w="240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CNS-R05 – R07</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OBL-DP-02, OBL-DP-03, OBL-INS-04</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Journey orchestration, screens</w:t>
            </w:r>
          </w:p>
        </w:tc>
        <w:tc>
          <w:tcPr>
            <w:tcW w:type="dxa" w:w="240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CNS-R08 – R09</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OBL-DP-03</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Configuration store</w:t>
            </w:r>
          </w:p>
        </w:tc>
        <w:tc>
          <w:tcPr>
            <w:tcW w:type="dxa" w:w="240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CNS-R10 – R15</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OBL-DP-02, OBL-DP-07, OBL-INS-08, OBL-INS-09, OBL-RBI-05</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Interface layer, notification service, screens</w:t>
            </w:r>
          </w:p>
        </w:tc>
        <w:tc>
          <w:tcPr>
            <w:tcW w:type="dxa" w:w="240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CNS-R16 – R20</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OBL-DP-07, OBL-DP-09, OBL-INS-05</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Database privileges, logging framework</w:t>
            </w:r>
          </w:p>
        </w:tc>
        <w:tc>
          <w:tcPr>
            <w:tcW w:type="dxa" w:w="240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 then hardening before pilot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CNS-R21 – R26</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OBL-DP-02, OBL-DP-06, OBL-DP-08</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Interface layer, journey orchestration</w:t>
            </w:r>
          </w:p>
        </w:tc>
        <w:tc>
          <w:tcPr>
            <w:tcW w:type="dxa" w:w="240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CNS-R27 – R32</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OBL-DP-04, OBL-DP-06, OBL-INS-05, OBL-INS-10</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Interface layer, screens, notification service, operations</w:t>
            </w:r>
          </w:p>
        </w:tc>
        <w:tc>
          <w:tcPr>
            <w:tcW w:type="dxa" w:w="240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CNS-R33 – R36</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OBL-DP-06, OBL-INS-05, OBL-REC-01, OBL-RBI-04, OBL-INT-01</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Infrastructure, operations runbook</w:t>
            </w:r>
          </w:p>
        </w:tc>
        <w:tc>
          <w:tcPr>
            <w:tcW w:type="dxa" w:w="2409"/>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Infrastructure build, before any customer record exists</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CNS-R37 – R38</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OBL-DP-02, OBL-DP-07, OBL-DP-08, OBL-INS-05</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Interface layer, security monitoring</w:t>
            </w:r>
          </w:p>
        </w:tc>
        <w:tc>
          <w:tcPr>
            <w:tcW w:type="dxa" w:w="240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bl>
    <w:p>
      <w:pPr>
        <w:spacing w:after="12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What this table cannot yet tell you</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It maps rules to obligations Product has identified. It does not prove those obligations apply, because no instrument in Appendix A has been verified and no applicability determination has been made for this entity in its distribution capacity. Until Compliance completes Appendix A, this table shows intent and coverage, not compliance.</w:t>
      </w:r>
    </w:p>
    <w:p>
      <w:pPr>
        <w:pStyle w:val="Heading2"/>
        <w:keepNext/>
        <w:keepLines/>
        <w:spacing w:after="120" w:before="300"/>
      </w:pPr>
      <w:r>
        <w:rPr>
          <w:b/>
          <w:bCs/>
          <w:color w:val="11304E"/>
          <w:sz w:val="24"/>
          <w:szCs w:val="24"/>
        </w:rPr>
        <w:t xml:space="preserve">13.  What this pack does not decide</w:t>
      </w:r>
    </w:p>
    <w:p>
      <w:pPr>
        <w:spacing w:after="120" w:before="0" w:line="276"/>
        <w:jc w:val="left"/>
      </w:pPr>
      <w:r>
        <w:rPr>
          <w:b w:val="false"/>
          <w:bCs w:val="false"/>
          <w:i w:val="false"/>
          <w:iCs w:val="false"/>
          <w:color w:val="222629"/>
          <w:sz w:val="20"/>
          <w:szCs w:val="20"/>
        </w:rPr>
        <w:t xml:space="preserve">Named openly, because a rule pack that pretends to have settled an open regulatory question is worse than one that flags it. These are the consent items carried into Volume 1, §10, where Product’s recommended position on each is stated.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6072"/>
        <w:gridCol w:w="2313"/>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607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Open item</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OPEN-CNS-01</w:t>
            </w:r>
          </w:p>
        </w:tc>
        <w:tc>
          <w:tcPr>
            <w:tcW w:type="dxa" w:w="607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data-processing and solicitation consent may share one acknowledgement action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OPEN-CNS-02</w:t>
            </w:r>
          </w:p>
        </w:tc>
        <w:tc>
          <w:tcPr>
            <w:tcW w:type="dxa" w:w="607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approved wording of each statement — this pack defines structure and fields; the legal text is Compliance-authored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Legal</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OPEN-CNS-03</w:t>
            </w:r>
          </w:p>
        </w:tc>
        <w:tc>
          <w:tcPr>
            <w:tcW w:type="dxa" w:w="607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the 90-day and 30-day windows are acceptable or must be shorter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OPEN-CNS-04</w:t>
            </w:r>
          </w:p>
        </w:tc>
        <w:tc>
          <w:tcPr>
            <w:tcW w:type="dxa" w:w="607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withdrawal after issuance creates an insurer-side obligation on the bank</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Bancassurance</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OPEN-CNS-05</w:t>
            </w:r>
          </w:p>
        </w:tc>
        <w:tc>
          <w:tcPr>
            <w:tcW w:type="dxa" w:w="607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Interoperability with a statutory consent manager, if notified before go-live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bl>
    <w:p>
      <w:pPr>
        <w:spacing w:after="100"/>
      </w:pPr>
      <w:r>
        <w:t xml:space="preserve"/>
      </w:r>
    </w:p>
    <w:p>
      <w:pPr>
        <w:spacing w:after="120" w:before="0" w:line="276"/>
        <w:jc w:val="left"/>
      </w:pPr>
      <w:r>
        <w:rPr>
          <w:b w:val="false"/>
          <w:bCs w:val="false"/>
          <w:i/>
          <w:iCs/>
          <w:color w:val="222629"/>
          <w:sz w:val="20"/>
          <w:szCs w:val="20"/>
        </w:rPr>
        <w:t xml:space="preserve">None of these blocks building the Consent Service. All five are wording, window or interoperability questions over a record structure and a control set that do not change with the answer. That is the point of specifying structure before text.</w:t>
      </w:r>
    </w:p>
    <w:p>
      <w:pPr>
        <w:pStyle w:val="Heading1"/>
        <w:keepNext/>
        <w:keepLines/>
        <w:pageBreakBefore/>
        <w:pBdr>
          <w:bottom w:val="single" w:color="0F6E6E" w:sz="8" w:space="6"/>
        </w:pBdr>
        <w:spacing w:after="160" w:before="0"/>
      </w:pPr>
      <w:r>
        <w:rPr>
          <w:b/>
          <w:bCs/>
          <w:color w:val="11304E"/>
          <w:sz w:val="30"/>
          <w:szCs w:val="30"/>
        </w:rPr>
        <w:t xml:space="preserve">Appendix A — Regulatory register</w:t>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Read this before reading the register</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Every instrument named in this register is Product’s identification of the likely source. None has been verified by Compliance or Legal, no provision pointer has been checked against the text in force, and no applicability determination has been made for this entity in its distribution capacity. Nothing here may be relied on as a citation until Compliance completes the status column.</w:t>
      </w:r>
    </w:p>
    <w:p>
      <w:pPr>
        <w:spacing w:after="140"/>
      </w:pPr>
      <w:r>
        <w:t xml:space="preserve"/>
      </w:r>
    </w:p>
    <w:p>
      <w:pPr>
        <w:spacing w:after="120" w:before="0" w:line="276"/>
        <w:jc w:val="left"/>
      </w:pPr>
      <w:r>
        <w:rPr>
          <w:b w:val="false"/>
          <w:bCs w:val="false"/>
          <w:i w:val="false"/>
          <w:iCs w:val="false"/>
          <w:color w:val="222629"/>
          <w:sz w:val="20"/>
          <w:szCs w:val="20"/>
        </w:rPr>
        <w:t xml:space="preserve">Each rule in this submission carries one or more of the codes below, printed beneath the rule identifier. The code says which obligation the rule is there to serve. Where a rule carries no code, no external obligation is claimed for it and it is Product design.</w:t>
      </w:r>
    </w:p>
    <w:p>
      <w:pPr>
        <w:spacing w:after="60"/>
      </w:pPr>
      <w:r>
        <w:t xml:space="preserve"/>
      </w:r>
    </w:p>
    <w:p>
      <w:pPr>
        <w:pStyle w:val="Heading2"/>
        <w:keepNext/>
        <w:keepLines/>
        <w:spacing w:after="100" w:before="220"/>
      </w:pPr>
      <w:r>
        <w:rPr>
          <w:b/>
          <w:bCs/>
          <w:color w:val="0F6E6E"/>
          <w:sz w:val="21"/>
          <w:szCs w:val="21"/>
        </w:rPr>
        <w:t xml:space="preserve">Data protection</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Notice: an itemised notice describing the personal data and the purpose must be given before, or at the time of, seeking consent.</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Notice provision (understood to be s.5). Provision and current amendment status to be confirmed.</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 consent: free, specific, informed, unconditional and unambiguous, given by a clear affirmative action, and limited to the data necessary for the stated purpose.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provision (understood to be s.6(1)). To be confirmed.</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Form of the request: clear and plain language, available in English or a language in the Eighth Schedule, with contact details of a person able to answer.</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s.6(3). To be confirmed.</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the customer may withdraw consent at any time, with ease comparable to giving it, and processing must stop within a reasonable time.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s.6(4) to s.6(6). To be confirmed.</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OBL-DP-05</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Manager: consent may be given, managed, reviewed and withdrawn through a registered Consent Manager.</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s.6(7) to s.6(9). Applicability depends on notification — see OPEN-CNS-05.</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OBL-DP-06</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Purpose limitation and erasure: erase personal data once the purpose is no longer served, unless retention is required by law.</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s.8(7). Interaction with insurance record-preservation is a live question — see §6.5.</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OBL-DP-07</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Reasonable security safeguards to prevent a personal data breach.</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s.8(5). To be confirmed.</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OBL-DP-08</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Accuracy and completeness where the data is used to make a decision affecting the customer, or is disclosed to another data fiduciary.</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s.8(3). Directly relevant: a suitability assessment is such a decision, and it is disclosed to an insurer.</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OBL-DP-09</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Accountability: the data fiduciary remains responsible for compliance, including for processing carried out by a processor on its behalf.</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s.8(1). Bears on the aggregator and cloud arrangements — see §6.1.</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OBL-DP-10</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effective grievance redressal mechanism must be published and operated.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s.8(10) with s.13. To be confirmed.</w:t>
            </w:r>
          </w:p>
        </w:tc>
      </w:tr>
    </w:tbl>
    <w:p>
      <w:pPr>
        <w:spacing w:after="160"/>
      </w:pPr>
      <w:r>
        <w:t xml:space="preserve"/>
      </w:r>
    </w:p>
    <w:p>
      <w:pPr>
        <w:pStyle w:val="Heading2"/>
        <w:keepNext/>
        <w:keepLines/>
        <w:spacing w:after="100" w:before="220"/>
      </w:pPr>
      <w:r>
        <w:rPr>
          <w:b/>
          <w:bCs/>
          <w:color w:val="0F6E6E"/>
          <w:sz w:val="21"/>
          <w:szCs w:val="21"/>
        </w:rPr>
        <w:t xml:space="preserve">Insurance distribution</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(Registration of Corporate Agents) Regulations, 2015, as amended, and the intermediary framework consolidated by IRDAI in 2024</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Solicitation and servicing of insurance by a corporate agent may be carried out only within the registration held, and only by persons authorised under it.</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the registration actually held by this entity, and its current conditions, are unknown to Product — see §6.1.</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 and the IRDAI Master Circular on Protection of Policyholders’ Interests, 2024</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recommendation of a life insurance product must be preceded by a documented analysis of the prospect’s needs and circumstances, and the product recommended must be suitable to them.</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This is the obligation the whole suitability pack exists to discharge. Instrument named at title level; the operative clause, and whether a prescribed assessment format applies, is OPEN-SUIT-01 and blocks the algorithm decision.</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Master Circular on Protection of Policyholders’ Interests, 2024</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analysis must be recorded, retained, and made available to the prospect; a prescribed prospect–product matrix may apply to life products.</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 prescribed matrix applies, and in what form, is unresolved. If it does, it replaces the arithmetic in Volume 3, §3 but not its structure.</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Pre-sale disclosure of material product information, in a form the prospect can understand, before the sale is concluded.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the specific content requirements for a caution disclosure are not established by Product — see OPEN-SUIT-03.</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OBL-INS-05</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 read with the IRDAI (Maintenance of Insurance Records) framework</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Records relating to a policy and its solicitation must be maintained, preserved for a defined period, and produced on request.</w:t>
            </w:r>
          </w:p>
        </w:tc>
        <w:tc>
          <w:tcPr>
            <w:tcW w:type="dxa" w:w="3085"/>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seven-year period used throughout these packs is carried from the programme baseline and Product has not established its source.</w:t>
            </w:r>
            <w:r>
              <w:rPr>
                <w:b w:val="false"/>
                <w:bCs w:val="false"/>
                <w:i w:val="false"/>
                <w:iCs w:val="false"/>
                <w:color w:val="222629"/>
                <w:sz w:val="18"/>
                <w:szCs w:val="18"/>
              </w:rPr>
              <w:t xml:space="preserve"> The trigger event — record date, policy termination or relationship end — is equally unestablished. See §6.5.</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OBL-INS-06</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(Registration of Corporate Agents) Regulations, 2015, as amended</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Solicitation may be carried out only by a specified person holding a valid certificate, and the identity of that person must be attributable to the sale.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This is why the agent licence identifier is a mandatory field on the consent record.</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OBL-INS-07</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 proposed policy would replace an existing one, the consequences must be disclosed to the prospect before the sale.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the prescribed content of a replacement disclosure is not established by Product.</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OBL-INS-08</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 and IRDAI conduct requirements for intermediaries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product must not be mis-sold; a recommendation must not be driven by the distributor’s remuneration or commercial preference.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at title level. The no-override rule and the exclusion of commission from ranking are Product’s response to this obligation, not a quotation of it.</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OBL-INS-09</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framework for electronic solicitation and insurance self-network platforms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solicitation is conducted electronically, the process must identify the prospect, evidence their assent, and preserve the electronic record.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identified only in general terms; the applicable circular for an assisted branch journey on a bank-owned platform needs Compliance to determine.</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OBL-INS-10</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grievance redressal mechanism with defined turnaround times must be available to the policyholder.</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Not yet reflected in these packs — raised as a gap in §6.5.</w:t>
            </w:r>
          </w:p>
        </w:tc>
      </w:tr>
    </w:tbl>
    <w:p>
      <w:pPr>
        <w:spacing w:after="160"/>
      </w:pPr>
      <w:r>
        <w:t xml:space="preserve"/>
      </w:r>
    </w:p>
    <w:p>
      <w:pPr>
        <w:pStyle w:val="Heading2"/>
        <w:keepNext/>
        <w:keepLines/>
        <w:spacing w:after="100" w:before="220"/>
      </w:pPr>
      <w:r>
        <w:rPr>
          <w:b/>
          <w:bCs/>
          <w:color w:val="0F6E6E"/>
          <w:sz w:val="21"/>
          <w:szCs w:val="21"/>
        </w:rPr>
        <w:t xml:space="preserve">Banking and outsourcing</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Master Direction on Financial Services provided by Banks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bank undertaking insurance agency business must do so without linking it to any other facility, and without compelling the customer to buy.</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at title level. Bears directly on how a relationship-manager-assisted journey may be conducted in a branch.</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directions on outsourcing of financial services by banks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Responsibility for an outsourced activity remains with the bank, and customer data handled by a service provider remains the bank’s responsibility.</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Relevant because insurer traffic passes through an integration intermediary — see §6.1.</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Master Direction on Outsourcing of Information Technology Services, 2023, and the RBI Master Direction on IT Governance, Risk, Controls and Assurance Practices,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Governance, control and assurance requirements over IT services, including those provided by third parties, and over the records they hold.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Instruments named. Applicability to this platform’s hosting and to the aggregator is for Compliance and Architecture jointly.</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circular on storage of payment system data (April 2018)</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Payment system data must be stored within India.</w:t>
            </w:r>
          </w:p>
        </w:tc>
        <w:tc>
          <w:tcPr>
            <w:tcW w:type="dxa" w:w="3085"/>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Product has cited this as the likely source of the residency requirement and is not confident it is the right one</w:t>
            </w:r>
            <w:r>
              <w:rPr>
                <w:b w:val="false"/>
                <w:bCs w:val="false"/>
                <w:i w:val="false"/>
                <w:iCs w:val="false"/>
                <w:color w:val="222629"/>
                <w:sz w:val="18"/>
                <w:szCs w:val="18"/>
              </w:rPr>
              <w:t xml:space="preserve">, because these packs concern insurance records rather than payment system data. Compliance should either confirm a different source or reclassify residency as internal policy.</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OBL-RBI-05</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framework for customer protection in unauthorised electronic transactions, and RBI authentication requirements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Authentication of a customer-authorised transaction must be performed by the customer, and liability turns on whether it was.</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This is the source Product reasons from by analogy for the rule that staff cannot enter the customer’s one-time password. Product does not claim it applies directly to consent.</w:t>
            </w:r>
          </w:p>
        </w:tc>
      </w:tr>
    </w:tbl>
    <w:p>
      <w:pPr>
        <w:spacing w:after="160"/>
      </w:pPr>
      <w:r>
        <w:t xml:space="preserve"/>
      </w:r>
    </w:p>
    <w:p>
      <w:pPr>
        <w:pStyle w:val="Heading2"/>
        <w:keepNext/>
        <w:keepLines/>
        <w:spacing w:after="100" w:before="220"/>
      </w:pPr>
      <w:r>
        <w:rPr>
          <w:b/>
          <w:bCs/>
          <w:color w:val="0F6E6E"/>
          <w:sz w:val="21"/>
          <w:szCs w:val="21"/>
        </w:rPr>
        <w:t xml:space="preserve">Records and other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OBL-REC-01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Prevention of Money-Laundering (Maintenance of Records) Rules, 2005, as amended</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Records of transactions and of customer identity must be maintained for the prescribed period.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Named because it is a candidate source for a retention period. Product notes the prescribed period here is commonly understood to be five years, which does not match the seven used in these packs — see §6.5.</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OBL-REC-02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Information Technology Act, 2000, and the rules made under it on reasonable security practices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Security practices and procedures for sensitive personal data, to the extent still operative alongside the 2023 Act.</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and how far this remains operative after the 2023 Act is a question for Legal.</w:t>
            </w:r>
          </w:p>
        </w:tc>
      </w:tr>
    </w:tbl>
    <w:p>
      <w:pPr>
        <w:spacing w:after="160"/>
      </w:pPr>
      <w:r>
        <w:t xml:space="preserve"/>
      </w:r>
    </w:p>
    <w:p>
      <w:pPr>
        <w:pStyle w:val="Heading2"/>
        <w:keepNext/>
        <w:keepLines/>
        <w:spacing w:after="100" w:before="220"/>
      </w:pPr>
      <w:r>
        <w:rPr>
          <w:b/>
          <w:bCs/>
          <w:color w:val="0F6E6E"/>
          <w:sz w:val="21"/>
          <w:szCs w:val="21"/>
        </w:rPr>
        <w:t xml:space="preserve">Internal</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OBL-INT-01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 the programme’s own non-waivable control list</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Controls the programme has resolved that no authority within it may waive, whatever the external position turns out to be.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Binding internally by decision, not by law. Data residency and consent capture where legally required are both on this list.</w:t>
            </w:r>
          </w:p>
        </w:tc>
      </w:tr>
    </w:tbl>
    <w:p>
      <w:pPr>
        <w:pStyle w:val="Heading1"/>
        <w:keepNext/>
        <w:keepLines/>
        <w:pageBreakBefore/>
        <w:pBdr>
          <w:bottom w:val="single" w:color="0F6E6E" w:sz="8" w:space="6"/>
        </w:pBdr>
        <w:spacing w:after="160" w:before="0"/>
      </w:pPr>
      <w:r>
        <w:rPr>
          <w:b/>
          <w:bCs/>
          <w:color w:val="11304E"/>
          <w:sz w:val="30"/>
          <w:szCs w:val="30"/>
        </w:rPr>
        <w:t xml:space="preserve">Appendix B — Terms and internal references</w:t>
      </w:r>
    </w:p>
    <w:p>
      <w:pPr>
        <w:spacing w:after="120" w:before="0" w:line="276"/>
        <w:jc w:val="left"/>
      </w:pPr>
      <w:r>
        <w:rPr>
          <w:b w:val="false"/>
          <w:bCs w:val="false"/>
          <w:i w:val="false"/>
          <w:iCs w:val="false"/>
          <w:color w:val="222629"/>
          <w:sz w:val="20"/>
          <w:szCs w:val="20"/>
        </w:rPr>
        <w:t xml:space="preserve">Part 1 defines the terms used in the rules themselves. Part 2 explains the programme codes that appear anywhere in this set of documents — they are the labels the delivery organisation uses internally, and they are recorded here so that nothing in this approval depends on knowing them. This appendix is identical in all three volumes.</w:t>
      </w:r>
    </w:p>
    <w:p>
      <w:pPr>
        <w:pStyle w:val="Heading2"/>
        <w:keepNext/>
        <w:keepLines/>
        <w:spacing w:after="120" w:before="300"/>
      </w:pPr>
      <w:r>
        <w:rPr>
          <w:b/>
          <w:bCs/>
          <w:color w:val="11304E"/>
          <w:sz w:val="24"/>
          <w:szCs w:val="24"/>
        </w:rPr>
        <w:t xml:space="preserve">Part 1 — Terms used in the rules</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Term</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Assessment</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completed suitability evaluation for one customer, carrying an outcome for each product class. The rule identifiers call this an evaluation; the two words mean the same thing here.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event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four occasions on which consent is required in the first release: data processing, solicitation, insurer sharing, and servicing communications.</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Existing bank customer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 who already holds a relationship with the bank, and therefore an existing customer record. The first release serves these customers only, and no one else.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 closed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When a control cannot complete, the business action is refused rather than allowed through. The opposite, fail open, permits the action and records the problem for later.</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Hard block, hard gate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refuses the business action rather than warning about it. The suitability check before quote is a hard gate: it does not caution, it refuses.</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Interaction, ceremony</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customer-facing exchange in which one or more statements are presented and acknowledged, verified by one one-time password sent to the customer’s phone.</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Non-waivable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no authority within the programme may set aside, however senior. Consent capture where it is legally required, and holding data within India, are both on that list.</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One-time password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numeric code sent to the customer’s registered mobile number, which the customer enters on their own device to confirm an acknowledgement.</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 approved panel</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set of insurers the bank distributes for in the first release, integrated directly. Insurers outside the panel are handled by a controlled redirect and are out of scope.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Panel-scoped consent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sharing consent that names every insurer on the panel at the point of capture, later narrowed to one by the customer’s product selection. Proposed in §9; not part of the packs as drafted.</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Protection gap</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Recommended cover less existing cover, floored at zero. The central output of the suitability computation.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Scope binding</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act of narrowing a panel-scoped sharing consent to one named insurer, evidenced by the customer’s own product selection.</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identifier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 of a consent statement, combining the consent code, the language and the version. Its meaning never changes, which is what allows a record to be interpreted years later.</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version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published wording of a consent statement. A material change of meaning creates a new major version; a typographical or formatting correction creates a minor one.</w:t>
            </w:r>
          </w:p>
        </w:tc>
      </w:tr>
    </w:tbl>
    <w:p>
      <w:pPr>
        <w:pStyle w:val="Heading2"/>
        <w:keepNext/>
        <w:keepLines/>
        <w:pageBreakBefore/>
        <w:spacing w:after="120" w:before="0"/>
      </w:pPr>
      <w:r>
        <w:rPr>
          <w:b/>
          <w:bCs/>
          <w:color w:val="11304E"/>
          <w:sz w:val="24"/>
          <w:szCs w:val="24"/>
        </w:rPr>
        <w:t xml:space="preserve">Part 2 — Internal programme references</w:t>
      </w:r>
    </w:p>
    <w:p>
      <w:pPr>
        <w:spacing w:after="120" w:before="0" w:line="276"/>
        <w:jc w:val="left"/>
      </w:pPr>
      <w:r>
        <w:rPr>
          <w:b w:val="false"/>
          <w:bCs w:val="false"/>
          <w:i w:val="false"/>
          <w:iCs w:val="false"/>
          <w:color w:val="222629"/>
          <w:sz w:val="20"/>
          <w:szCs w:val="20"/>
        </w:rPr>
        <w:t xml:space="preserve">These codes belong to the delivery organisation, not to Compliance. Nothing in this approval requires them to be used or understood — they are set out here only so that a reference encountered in a meeting or a status report can be placed.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638"/>
        <w:gridCol w:w="4915"/>
        <w:gridCol w:w="3085"/>
      </w:tblGrid>
      <w:tr>
        <w:trPr>
          <w:cantSplit/>
          <w:tblHeader/>
        </w:trPr>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Reference</w:t>
            </w:r>
          </w:p>
        </w:tc>
        <w:tc>
          <w:tcPr>
            <w:tcW w:type="dxa" w:w="491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is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it is written in this document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R0</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internal label for the first release of the platform — Life products, existing bank customers, relationship-manager assisted.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throughout.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GAP-006</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in the programme’s issue register recording that the consent rules were not executable.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one of the two blocking issues.</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GAP-007</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recording that the suitability content and override policy were unknown.</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the second blocking issue.</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P0</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highest issue severity. An open item at this severity freezes development.</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"Highest severity; development cannot start while it is open."</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S02-G3</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approval checkpoint that requires a consent rule pack reviewed and signed by Compliance before the stage can close.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approval checkpoint."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S02-G4</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equivalent checkpoint for the suitability rule pack.</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approval checkpoint."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E1, E2, E3, E4</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four grades of evidence: the document exists; reviewed and signed; run and observed; run, observed and repeatable. This approval produces the second grade.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plain words in Volume 1, §5, without the codes.</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CNS-Rnn, SUIT-Rnn</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identifiers of individual rules in the two packs. These do appear throughout, because they are how a specific rule is amended or cited.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conventions explained in Volume 1, §7.</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OPEN-CNS-nn, OPEN-SUIT-nn</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identifiers of open questions carried out of each pack for Compliance to determine.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all are listed in Volume 1, §10.</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SUIT-ALGO-LIFE-v1.1</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version identifier of the suitability algorithm being submitted. It is recorded on every assessment so that any past assessment can be reproduced.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w:t>
            </w:r>
          </w:p>
        </w:tc>
      </w:tr>
    </w:tbl>
    <w:p>
      <w:pPr>
        <w:spacing w:after="200"/>
      </w:pPr>
      <w:r>
        <w:t xml:space="preserve"/>
      </w:r>
    </w:p>
    <w:p>
      <w:pPr>
        <w:pBdr>
          <w:top w:val="single" w:color="C7D2DC" w:sz="6" w:space="8"/>
        </w:pBdr>
        <w:spacing w:before="200"/>
      </w:pPr>
      <w:r>
        <w:rPr>
          <w:b w:val="false"/>
          <w:bCs w:val="false"/>
          <w:i/>
          <w:iCs/>
          <w:color w:val="5A6570"/>
          <w:sz w:val="17"/>
          <w:szCs w:val="17"/>
        </w:rPr>
        <w:t xml:space="preserve">Volume 2 of 3 — Consent Rule Pack · Prepared for the Principal Insurance Platform Product Owner · AU Bank Insurance Distribution Platform · 17 August 2026 · Approval reference COMP-APPROVE-CNS-SUIT-v1.1</w:t>
      </w:r>
    </w:p>
    <w:sectPr>
      <w:headerReference w:type="default" r:id="rId7"/>
      <w:footerReference w:type="default" r:id="rId8"/>
      <w:pgSz w:w="11906" w:h="16838" w:orient="portrait"/>
      <w:pgMar w:top="1191" w:right="1134" w:bottom="1418" w:left="1134" w:header="624"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794"/>
        <w:sz w:val="15"/>
        <w:szCs w:val="15"/>
      </w:rPr>
      <w:t xml:space="preserve">Internal — Compliance, Product, Delivery   |   Page </w:t>
    </w:r>
    <w:r>
      <w:rPr>
        <w:color w:val="7A8794"/>
        <w:sz w:val="15"/>
        <w:szCs w:val="15"/>
      </w:rPr>
      <w:fldChar w:fldCharType="begin"/>
      <w:instrText xml:space="preserve">PAGE</w:instrText>
      <w:fldChar w:fldCharType="separate"/>
      <w:fldChar w:fldCharType="end"/>
    </w:r>
    <w:r>
      <w:rPr>
        <w:color w:val="7A8794"/>
        <w:sz w:val="15"/>
        <w:szCs w:val="15"/>
      </w:rPr>
      <w:t xml:space="preserve"> of </w:t>
    </w:r>
    <w:r>
      <w:rPr>
        <w:color w:val="7A879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C" w:sz="4" w:space="4"/>
      </w:pBdr>
      <w:jc w:val="right"/>
    </w:pPr>
    <w:r>
      <w:rPr>
        <w:color w:val="7A8794"/>
        <w:sz w:val="15"/>
        <w:szCs w:val="15"/>
      </w:rPr>
      <w:t xml:space="preserve">Volume 2 — Consent Rule Pack  ·  Consent &amp; Suitability Compliance Approval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start"/>
      <w:pPr>
        <w:ind w:left="4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629"/>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Approval — Volume 2, Consent Rule Pack</dc:title>
  <dc:creator>Rajal — Principal Insurance Platform Product Owner</dc:creator>
  <dc:description>Compliance approval sought before development, to close GAP-006 and GAP-007 and pass S02-G3 and S02-G4</dc:description>
  <cp:lastModifiedBy>Un-named</cp:lastModifiedBy>
  <cp:revision>1</cp:revision>
  <dcterms:created xsi:type="dcterms:W3CDTF">2026-08-24T05:58:59.946Z</dcterms:created>
  <dcterms:modified xsi:type="dcterms:W3CDTF">2026-08-24T05:58:59.946Z</dcterms:modified>
</cp:coreProperties>
</file>

<file path=docProps/custom.xml><?xml version="1.0" encoding="utf-8"?>
<Properties xmlns="http://schemas.openxmlformats.org/officeDocument/2006/custom-properties" xmlns:vt="http://schemas.openxmlformats.org/officeDocument/2006/docPropsVTypes"/>
</file>