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60" w:before="0" w:line="276"/>
        <w:jc w:val="left"/>
      </w:pPr>
      <w:r>
        <w:rPr>
          <w:b/>
          <w:bCs/>
          <w:i w:val="false"/>
          <w:iCs w:val="false"/>
          <w:color w:val="0F6E6E"/>
          <w:sz w:val="18"/>
          <w:szCs w:val="18"/>
        </w:rPr>
        <w:t xml:space="preserve">AU BANK  |  INSURANCE DISTRIBUTION PLATFORM</w:t>
      </w:r>
    </w:p>
    <w:p>
      <w:pPr>
        <w:spacing w:after="400" w:before="0" w:line="276"/>
        <w:jc w:val="left"/>
      </w:pPr>
      <w:r>
        <w:rPr>
          <w:b w:val="false"/>
          <w:bCs w:val="false"/>
          <w:i w:val="false"/>
          <w:iCs w:val="false"/>
          <w:color w:val="5A6570"/>
          <w:sz w:val="18"/>
          <w:szCs w:val="18"/>
        </w:rPr>
        <w:t xml:space="preserve">Volume 3 of 3  ·  Reference volume, read alongside Decision Schedule B</w:t>
      </w:r>
    </w:p>
    <w:p>
      <w:pPr>
        <w:spacing w:after="140" w:line="640"/>
      </w:pPr>
      <w:r>
        <w:rPr>
          <w:b/>
          <w:bCs/>
          <w:i w:val="false"/>
          <w:iCs w:val="false"/>
          <w:color w:val="11304E"/>
          <w:sz w:val="52"/>
          <w:szCs w:val="52"/>
        </w:rPr>
        <w:t xml:space="preserve">Suitability Rule Pack</w:t>
      </w:r>
    </w:p>
    <w:p>
      <w:pPr>
        <w:spacing w:after="220" w:line="500"/>
      </w:pPr>
      <w:r>
        <w:rPr>
          <w:b/>
          <w:bCs/>
          <w:i w:val="false"/>
          <w:iCs w:val="false"/>
          <w:color w:val="0F6E6E"/>
          <w:sz w:val="40"/>
          <w:szCs w:val="40"/>
        </w:rPr>
        <w:t xml:space="preserve">The 62 rules, in full</w:t>
      </w:r>
    </w:p>
    <w:p>
      <w:pPr>
        <w:pBdr>
          <w:bottom w:val="single" w:color="11304E" w:sz="12" w:space="8"/>
        </w:pBdr>
        <w:spacing w:after="260"/>
      </w:pPr>
      <w:r>
        <w:rPr>
          <w:b w:val="false"/>
          <w:bCs w:val="false"/>
          <w:i/>
          <w:iCs/>
          <w:color w:val="445260"/>
          <w:sz w:val="22"/>
          <w:szCs w:val="22"/>
        </w:rPr>
        <w:t xml:space="preserve">The complete text of what Decision Schedule B in Volume 1 asks Compliance to approve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Detail</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Volume</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Volume 3 of 3 — Suitability Rule Pack</w:t>
            </w:r>
            <w:r>
              <w:rPr>
                <w:b w:val="false"/>
                <w:bCs w:val="false"/>
                <w:i w:val="false"/>
                <w:iCs w:val="false"/>
                <w:color w:val="222629"/>
                <w:sz w:val="18"/>
                <w:szCs w:val="18"/>
              </w:rPr>
              <w:t xml:space="preserve"/>
            </w:r>
            <w:r>
              <w:rPr>
                <w:b w:val="false"/>
                <w:bCs w:val="false"/>
                <w:i w:val="false"/>
                <w:iCs w:val="false"/>
                <w:color w:val="222629"/>
                <w:sz w:val="18"/>
                <w:szCs w:val="18"/>
              </w:rPr>
              <w:br/>
              <w:t xml:space="preserve">Approval reference COMP-APPROVE-CNS-SUIT-v1.1</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Read with</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Volume 1 — Decision Pack, Decision Schedule B (§9). That schedule is where the approval is recorded; this volume is what it refers to.</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Contains</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62 rules — SUIT-R01 to SUIT-R48 with fourteen sub-numbered rules added at v1.1 — in 14 sections, together with the sixteen-input question set (four taken from bank records, twelve asked), the computation and its worked example, the outcome tables, the assessment record and the override policy</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Algorithm submitted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SUIT-ALGO-LIFE-v1.1 — recorded on every assessment so any past assessment can be reproduced exactly. Raised from v1.0 because the outcome tables were made exhaustive and income is now taken as an exact figure rather than a band; both change results, so under SUIT-R07 they require a new version</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Development status</w:t>
            </w:r>
          </w:p>
        </w:tc>
        <w:tc>
          <w:tcPr>
            <w:tcW w:type="dxa" w:w="751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Suitability Service does not exist, but the quote path does. </w:t>
            </w:r>
            <w:r>
              <w:rPr>
                <w:b w:val="false"/>
                <w:bCs w:val="false"/>
                <w:i w:val="false"/>
                <w:iCs w:val="false"/>
                <w:color w:val="222629"/>
                <w:sz w:val="18"/>
                <w:szCs w:val="18"/>
              </w:rPr>
              <w:t xml:space="preserve">It was built and hardened without this gate — the defect this approval exists to close. See Volume 1, §3.</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Scope</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 Life products (Term, Savings/Endowment and unit-linked), sold to existing bank customers, assisted by a relationship manager</w:t>
            </w:r>
          </w:p>
        </w:tc>
      </w:tr>
      <w:tr>
        <w:trPr>
          <w:cantSplit/>
        </w:trPr>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Date issued</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 August 2026</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Classification</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 Compliance, Product, Delivery</w:t>
            </w:r>
          </w:p>
        </w:tc>
      </w:tr>
    </w:tbl>
    <w:p>
      <w:pPr>
        <w:pStyle w:val="Heading1"/>
        <w:keepNext/>
        <w:keepLines/>
        <w:pageBreakBefore/>
        <w:pBdr>
          <w:bottom w:val="single" w:color="0F6E6E" w:sz="8" w:space="6"/>
        </w:pBdr>
        <w:spacing w:after="160" w:before="0"/>
      </w:pPr>
      <w:r>
        <w:rPr>
          <w:b/>
          <w:bCs/>
          <w:color w:val="11304E"/>
          <w:sz w:val="30"/>
          <w:szCs w:val="30"/>
        </w:rPr>
        <w:t xml:space="preserve">Contents of this volume</w:t>
      </w:r>
    </w:p>
    <w:p>
      <w:pPr>
        <w:spacing w:after="70" w:before="0" w:line="276"/>
        <w:jc w:val="left"/>
      </w:pPr>
      <w:r>
        <w:rPr>
          <w:b/>
          <w:bCs/>
          <w:i w:val="false"/>
          <w:iCs w:val="false"/>
          <w:color w:val="0F6E6E"/>
          <w:sz w:val="20"/>
          <w:szCs w:val="20"/>
        </w:rPr>
        <w:t xml:space="preserve">1.  </w:t>
      </w:r>
      <w:r>
        <w:rPr>
          <w:b w:val="false"/>
          <w:bCs w:val="false"/>
          <w:i w:val="false"/>
          <w:iCs w:val="false"/>
          <w:color w:val="222629"/>
          <w:sz w:val="20"/>
          <w:szCs w:val="20"/>
        </w:rPr>
        <w:t xml:space="preserve">The gate, stated once and precisely</w:t>
      </w:r>
    </w:p>
    <w:p>
      <w:pPr>
        <w:spacing w:after="70" w:before="0" w:line="276"/>
        <w:jc w:val="left"/>
      </w:pPr>
      <w:r>
        <w:rPr>
          <w:b/>
          <w:bCs/>
          <w:i w:val="false"/>
          <w:iCs w:val="false"/>
          <w:color w:val="0F6E6E"/>
          <w:sz w:val="20"/>
          <w:szCs w:val="20"/>
        </w:rPr>
        <w:t xml:space="preserve">2.  </w:t>
      </w:r>
      <w:r>
        <w:rPr>
          <w:b w:val="false"/>
          <w:bCs w:val="false"/>
          <w:i w:val="false"/>
          <w:iCs w:val="false"/>
          <w:color w:val="222629"/>
          <w:sz w:val="20"/>
          <w:szCs w:val="20"/>
        </w:rPr>
        <w:t xml:space="preserve">The need-analysis question set</w:t>
      </w:r>
    </w:p>
    <w:p>
      <w:pPr>
        <w:spacing w:after="70" w:before="0" w:line="276"/>
        <w:jc w:val="left"/>
      </w:pPr>
      <w:r>
        <w:rPr>
          <w:b/>
          <w:bCs/>
          <w:i w:val="false"/>
          <w:iCs w:val="false"/>
          <w:color w:val="0F6E6E"/>
          <w:sz w:val="20"/>
          <w:szCs w:val="20"/>
        </w:rPr>
        <w:t xml:space="preserve">3.  </w:t>
      </w:r>
      <w:r>
        <w:rPr>
          <w:b w:val="false"/>
          <w:bCs w:val="false"/>
          <w:i w:val="false"/>
          <w:iCs w:val="false"/>
          <w:color w:val="222629"/>
          <w:sz w:val="20"/>
          <w:szCs w:val="20"/>
        </w:rPr>
        <w:t xml:space="preserve">The computation</w:t>
      </w:r>
    </w:p>
    <w:p>
      <w:pPr>
        <w:spacing w:after="70" w:before="0" w:line="276"/>
        <w:jc w:val="left"/>
      </w:pPr>
      <w:r>
        <w:rPr>
          <w:b/>
          <w:bCs/>
          <w:i w:val="false"/>
          <w:iCs w:val="false"/>
          <w:color w:val="0F6E6E"/>
          <w:sz w:val="20"/>
          <w:szCs w:val="20"/>
        </w:rPr>
        <w:t xml:space="preserve">4.  </w:t>
      </w:r>
      <w:r>
        <w:rPr>
          <w:b w:val="false"/>
          <w:bCs w:val="false"/>
          <w:i w:val="false"/>
          <w:iCs w:val="false"/>
          <w:color w:val="222629"/>
          <w:sz w:val="20"/>
          <w:szCs w:val="20"/>
        </w:rPr>
        <w:t xml:space="preserve">Product-class outcomes</w:t>
      </w:r>
    </w:p>
    <w:p>
      <w:pPr>
        <w:spacing w:after="70" w:before="0" w:line="276"/>
        <w:jc w:val="left"/>
      </w:pPr>
      <w:r>
        <w:rPr>
          <w:b/>
          <w:bCs/>
          <w:i w:val="false"/>
          <w:iCs w:val="false"/>
          <w:color w:val="0F6E6E"/>
          <w:sz w:val="20"/>
          <w:szCs w:val="20"/>
        </w:rPr>
        <w:t xml:space="preserve">5.  </w:t>
      </w:r>
      <w:r>
        <w:rPr>
          <w:b w:val="false"/>
          <w:bCs w:val="false"/>
          <w:i w:val="false"/>
          <w:iCs w:val="false"/>
          <w:color w:val="222629"/>
          <w:sz w:val="20"/>
          <w:szCs w:val="20"/>
        </w:rPr>
        <w:t xml:space="preserve">The assessment record</w:t>
      </w:r>
    </w:p>
    <w:p>
      <w:pPr>
        <w:spacing w:after="70" w:before="0" w:line="276"/>
        <w:jc w:val="left"/>
      </w:pPr>
      <w:r>
        <w:rPr>
          <w:b/>
          <w:bCs/>
          <w:i w:val="false"/>
          <w:iCs w:val="false"/>
          <w:color w:val="0F6E6E"/>
          <w:sz w:val="20"/>
          <w:szCs w:val="20"/>
        </w:rPr>
        <w:t xml:space="preserve">6.  </w:t>
      </w:r>
      <w:r>
        <w:rPr>
          <w:b w:val="false"/>
          <w:bCs w:val="false"/>
          <w:i w:val="false"/>
          <w:iCs w:val="false"/>
          <w:color w:val="222629"/>
          <w:sz w:val="20"/>
          <w:szCs w:val="20"/>
        </w:rPr>
        <w:t xml:space="preserve">The gate before quote</w:t>
      </w:r>
    </w:p>
    <w:p>
      <w:pPr>
        <w:spacing w:after="70" w:before="0" w:line="276"/>
        <w:jc w:val="left"/>
      </w:pPr>
      <w:r>
        <w:rPr>
          <w:b/>
          <w:bCs/>
          <w:i w:val="false"/>
          <w:iCs w:val="false"/>
          <w:color w:val="0F6E6E"/>
          <w:sz w:val="20"/>
          <w:szCs w:val="20"/>
        </w:rPr>
        <w:t xml:space="preserve">7.  </w:t>
      </w:r>
      <w:r>
        <w:rPr>
          <w:b w:val="false"/>
          <w:bCs w:val="false"/>
          <w:i w:val="false"/>
          <w:iCs w:val="false"/>
          <w:color w:val="222629"/>
          <w:sz w:val="20"/>
          <w:szCs w:val="20"/>
        </w:rPr>
        <w:t xml:space="preserve">Invalidation, re-assessment and reuse</w:t>
      </w:r>
    </w:p>
    <w:p>
      <w:pPr>
        <w:spacing w:after="70" w:before="0" w:line="276"/>
        <w:jc w:val="left"/>
      </w:pPr>
      <w:r>
        <w:rPr>
          <w:b/>
          <w:bCs/>
          <w:i w:val="false"/>
          <w:iCs w:val="false"/>
          <w:color w:val="0F6E6E"/>
          <w:sz w:val="20"/>
          <w:szCs w:val="20"/>
        </w:rPr>
        <w:t xml:space="preserve">8.  </w:t>
      </w:r>
      <w:r>
        <w:rPr>
          <w:b w:val="false"/>
          <w:bCs w:val="false"/>
          <w:i w:val="false"/>
          <w:iCs w:val="false"/>
          <w:color w:val="222629"/>
          <w:sz w:val="20"/>
          <w:szCs w:val="20"/>
        </w:rPr>
        <w:t xml:space="preserve">What may never be overridden</w:t>
      </w:r>
    </w:p>
    <w:p>
      <w:pPr>
        <w:spacing w:after="70" w:before="0" w:line="276"/>
        <w:jc w:val="left"/>
      </w:pPr>
      <w:r>
        <w:rPr>
          <w:b/>
          <w:bCs/>
          <w:i w:val="false"/>
          <w:iCs w:val="false"/>
          <w:color w:val="0F6E6E"/>
          <w:sz w:val="20"/>
          <w:szCs w:val="20"/>
        </w:rPr>
        <w:t xml:space="preserve">9.  </w:t>
      </w:r>
      <w:r>
        <w:rPr>
          <w:b w:val="false"/>
          <w:bCs w:val="false"/>
          <w:i w:val="false"/>
          <w:iCs w:val="false"/>
          <w:color w:val="222629"/>
          <w:sz w:val="20"/>
          <w:szCs w:val="20"/>
        </w:rPr>
        <w:t xml:space="preserve">Caution outcomes — proceed with disclosure, not with override</w:t>
      </w:r>
    </w:p>
    <w:p>
      <w:pPr>
        <w:spacing w:after="70" w:before="0" w:line="276"/>
        <w:jc w:val="left"/>
      </w:pPr>
      <w:r>
        <w:rPr>
          <w:b/>
          <w:bCs/>
          <w:i w:val="false"/>
          <w:iCs w:val="false"/>
          <w:color w:val="0F6E6E"/>
          <w:sz w:val="20"/>
          <w:szCs w:val="20"/>
        </w:rPr>
        <w:t xml:space="preserve">10.  </w:t>
      </w:r>
      <w:r>
        <w:rPr>
          <w:b w:val="false"/>
          <w:bCs w:val="false"/>
          <w:i w:val="false"/>
          <w:iCs w:val="false"/>
          <w:color w:val="222629"/>
          <w:sz w:val="20"/>
          <w:szCs w:val="20"/>
        </w:rPr>
        <w:t xml:space="preserve">Customer-initiated deviation</w:t>
      </w:r>
    </w:p>
    <w:p>
      <w:pPr>
        <w:spacing w:after="70" w:before="0" w:line="276"/>
        <w:jc w:val="left"/>
      </w:pPr>
      <w:r>
        <w:rPr>
          <w:b/>
          <w:bCs/>
          <w:i w:val="false"/>
          <w:iCs w:val="false"/>
          <w:color w:val="0F6E6E"/>
          <w:sz w:val="20"/>
          <w:szCs w:val="20"/>
        </w:rPr>
        <w:t xml:space="preserve">11.  </w:t>
      </w:r>
      <w:r>
        <w:rPr>
          <w:b w:val="false"/>
          <w:bCs w:val="false"/>
          <w:i w:val="false"/>
          <w:iCs w:val="false"/>
          <w:color w:val="222629"/>
          <w:sz w:val="20"/>
          <w:szCs w:val="20"/>
        </w:rPr>
        <w:t xml:space="preserve">Replacement of an existing policy</w:t>
      </w:r>
    </w:p>
    <w:p>
      <w:pPr>
        <w:spacing w:after="70" w:before="0" w:line="276"/>
        <w:jc w:val="left"/>
      </w:pPr>
      <w:r>
        <w:rPr>
          <w:b/>
          <w:bCs/>
          <w:i w:val="false"/>
          <w:iCs w:val="false"/>
          <w:color w:val="0F6E6E"/>
          <w:sz w:val="20"/>
          <w:szCs w:val="20"/>
        </w:rPr>
        <w:t xml:space="preserve">12.  </w:t>
      </w:r>
      <w:r>
        <w:rPr>
          <w:b w:val="false"/>
          <w:bCs w:val="false"/>
          <w:i w:val="false"/>
          <w:iCs w:val="false"/>
          <w:color w:val="222629"/>
          <w:sz w:val="20"/>
          <w:szCs w:val="20"/>
        </w:rPr>
        <w:t xml:space="preserve">The one exception that does exist</w:t>
      </w:r>
    </w:p>
    <w:p>
      <w:pPr>
        <w:spacing w:after="70" w:before="0" w:line="276"/>
        <w:jc w:val="left"/>
      </w:pPr>
      <w:r>
        <w:rPr>
          <w:b/>
          <w:bCs/>
          <w:i w:val="false"/>
          <w:iCs w:val="false"/>
          <w:color w:val="0F6E6E"/>
          <w:sz w:val="20"/>
          <w:szCs w:val="20"/>
        </w:rPr>
        <w:t xml:space="preserve">13.  </w:t>
      </w:r>
      <w:r>
        <w:rPr>
          <w:b w:val="false"/>
          <w:bCs w:val="false"/>
          <w:i w:val="false"/>
          <w:iCs w:val="false"/>
          <w:color w:val="222629"/>
          <w:sz w:val="20"/>
          <w:szCs w:val="20"/>
        </w:rPr>
        <w:t xml:space="preserve">Traceability</w:t>
      </w:r>
    </w:p>
    <w:p>
      <w:pPr>
        <w:spacing w:after="70" w:before="0" w:line="276"/>
        <w:jc w:val="left"/>
      </w:pPr>
      <w:r>
        <w:rPr>
          <w:b/>
          <w:bCs/>
          <w:i w:val="false"/>
          <w:iCs w:val="false"/>
          <w:color w:val="0F6E6E"/>
          <w:sz w:val="20"/>
          <w:szCs w:val="20"/>
        </w:rPr>
        <w:t xml:space="preserve">14.  </w:t>
      </w:r>
      <w:r>
        <w:rPr>
          <w:b w:val="false"/>
          <w:bCs w:val="false"/>
          <w:i w:val="false"/>
          <w:iCs w:val="false"/>
          <w:color w:val="222629"/>
          <w:sz w:val="20"/>
          <w:szCs w:val="20"/>
        </w:rPr>
        <w:t xml:space="preserve">What this pack does not decide</w:t>
      </w:r>
    </w:p>
    <w:p>
      <w:pPr>
        <w:spacing w:after="70" w:before="0" w:line="276"/>
        <w:jc w:val="left"/>
      </w:pPr>
      <w:r>
        <w:rPr>
          <w:b/>
          <w:bCs/>
          <w:i w:val="false"/>
          <w:iCs w:val="false"/>
          <w:color w:val="0F6E6E"/>
          <w:sz w:val="20"/>
          <w:szCs w:val="20"/>
        </w:rPr>
        <w:t xml:space="preserve">A.  </w:t>
      </w:r>
      <w:r>
        <w:rPr>
          <w:b w:val="false"/>
          <w:bCs w:val="false"/>
          <w:i w:val="false"/>
          <w:iCs w:val="false"/>
          <w:color w:val="222629"/>
          <w:sz w:val="20"/>
          <w:szCs w:val="20"/>
        </w:rPr>
        <w:t xml:space="preserve">Appendix A — Regulatory register: every obligation these rules serve</w:t>
      </w:r>
    </w:p>
    <w:p>
      <w:pPr>
        <w:spacing w:after="70" w:before="0" w:line="276"/>
        <w:jc w:val="left"/>
      </w:pPr>
      <w:r>
        <w:rPr>
          <w:b/>
          <w:bCs/>
          <w:i w:val="false"/>
          <w:iCs w:val="false"/>
          <w:color w:val="0F6E6E"/>
          <w:sz w:val="20"/>
          <w:szCs w:val="20"/>
        </w:rPr>
        <w:t xml:space="preserve">B.  </w:t>
      </w:r>
      <w:r>
        <w:rPr>
          <w:b w:val="false"/>
          <w:bCs w:val="false"/>
          <w:i w:val="false"/>
          <w:iCs w:val="false"/>
          <w:color w:val="222629"/>
          <w:sz w:val="20"/>
          <w:szCs w:val="20"/>
        </w:rPr>
        <w:t xml:space="preserve">Appendix B — Terms and internal references</w:t>
      </w:r>
    </w:p>
    <w:p>
      <w:pPr>
        <w:spacing w:after="24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How the sections map to the decision</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Decision Schedule B in Volume 1 has one row per subject, and each row names the section of this volume to read. The order is not identical, because the schedule follows the order in which a reviewer meets the decisions and this volume follows the order in which the model runs. Sections 13 and 14 carry no decision row: section 13 records which obligation each rule serves, and section 14 sets out what the pack deliberately leaves open.</w:t>
      </w:r>
    </w:p>
    <w:p>
      <w:pPr>
        <w:spacing w:after="140"/>
      </w:pPr>
      <w:r>
        <w:t xml:space="preserve"/>
      </w:r>
    </w:p>
    <w:p>
      <w:pPr>
        <w:spacing w:after="120" w:before="0" w:line="276"/>
        <w:jc w:val="left"/>
      </w:pPr>
      <w:r>
        <w:rPr>
          <w:b w:val="false"/>
          <w:bCs w:val="false"/>
          <w:i/>
          <w:iCs/>
          <w:color w:val="5A6570"/>
          <w:sz w:val="19"/>
          <w:szCs w:val="19"/>
        </w:rPr>
        <w:t xml:space="preserve">This volume is one of three issued together as a single submission: Volume 1 — Decision Pack, Volume 2 — Consent Rule Pack, Volume 3 — Suitability Rule Pack.</w:t>
      </w:r>
    </w:p>
    <w:p>
      <w:pPr>
        <w:pStyle w:val="Heading2"/>
        <w:keepNext/>
        <w:keepLines/>
        <w:spacing w:after="120" w:before="300"/>
      </w:pPr>
      <w:r>
        <w:rPr>
          <w:b/>
          <w:bCs/>
          <w:color w:val="11304E"/>
          <w:sz w:val="24"/>
          <w:szCs w:val="24"/>
        </w:rPr>
        <w:t xml:space="preserve">1.  The gate, stated once and precisely</w:t>
      </w:r>
    </w:p>
    <w:p>
      <w:pPr>
        <w:keepNext/>
        <w:keepLines/>
        <w:pBdr>
          <w:top w:val="single" w:color="F1F5F8" w:sz="2" w:space="8"/>
          <w:left w:val="single" w:color="11304E" w:sz="18" w:space="10"/>
          <w:right w:val="single" w:color="F1F5F8" w:sz="2" w:space="10"/>
        </w:pBdr>
        <w:shd w:fill="F1F5F8" w:color="auto" w:val="clear"/>
        <w:spacing w:after="100" w:before="140" w:line="276"/>
        <w:ind w:left="200" w:right="200"/>
      </w:pPr>
      <w:r>
        <w:rPr>
          <w:b/>
          <w:bCs/>
          <w:i w:val="false"/>
          <w:iCs w:val="false"/>
          <w:color w:val="11304E"/>
          <w:sz w:val="20"/>
          <w:szCs w:val="20"/>
        </w:rPr>
        <w:t xml:space="preserve">SUIT-R20</w:t>
      </w:r>
    </w:p>
    <w:p>
      <w:pPr>
        <w:keepNext w:val="false"/>
        <w:keepLines/>
        <w:pBdr>
          <w:bottom w:val="single" w:color="F1F5F8" w:sz="2" w:space="8"/>
          <w:left w:val="single" w:color="11304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Quote endpoints refuse the request unless it carries a suitability assessment that is active, was issued within the last 30 days, is bound to the same customer, and whose outcome permits the product class being requested. Four conditions. All four must hold. Each is separately tested in B.6.</w:t>
      </w:r>
    </w:p>
    <w:p>
      <w:pPr>
        <w:spacing w:after="100"/>
      </w:pPr>
      <w:r>
        <w:t xml:space="preserve"/>
      </w:r>
    </w:p>
    <w:p>
      <w:pPr>
        <w:spacing w:after="120" w:before="0" w:line="276"/>
        <w:jc w:val="left"/>
      </w:pPr>
      <w:r>
        <w:rPr>
          <w:b w:val="false"/>
          <w:bCs w:val="false"/>
          <w:i w:val="false"/>
          <w:iCs w:val="false"/>
          <w:color w:val="222629"/>
          <w:sz w:val="20"/>
          <w:szCs w:val="20"/>
        </w:rPr>
        <w:t xml:space="preserve">That the gate exists at all is not in question — bypassing suitability before quote is described in the programme’s own baseline as unlawful. What was missing, and what this pack supplies, is the content: the questions, the arithmetic, the outcome bands, and what a valid assessment actually means.</w:t>
      </w:r>
    </w:p>
    <w:p>
      <w:pPr>
        <w:pStyle w:val="Heading2"/>
        <w:keepNext/>
        <w:keepLines/>
        <w:spacing w:after="120" w:before="300"/>
      </w:pPr>
      <w:r>
        <w:rPr>
          <w:b/>
          <w:bCs/>
          <w:color w:val="11304E"/>
          <w:sz w:val="24"/>
          <w:szCs w:val="24"/>
        </w:rPr>
        <w:t xml:space="preserve">2.  The need-analysis question set</w:t>
      </w:r>
    </w:p>
    <w:p>
      <w:pPr>
        <w:spacing w:after="120" w:before="0" w:line="276"/>
        <w:jc w:val="left"/>
      </w:pPr>
      <w:r>
        <w:rPr>
          <w:b w:val="false"/>
          <w:bCs w:val="false"/>
          <w:i w:val="false"/>
          <w:iCs w:val="false"/>
          <w:color w:val="222629"/>
          <w:sz w:val="20"/>
          <w:szCs w:val="20"/>
        </w:rPr>
        <w:t xml:space="preserve">Sixteen inputs in total: four taken from bank records and never asked, and twelve asked of the customer. A questionnaire longer than twelve questions, in a branch conversation, is completed dishonestly — which defeats its purpose.</w:t>
      </w:r>
    </w:p>
    <w:p>
      <w:pPr>
        <w:pStyle w:val="Heading3"/>
        <w:keepNext/>
        <w:keepLines/>
        <w:spacing w:after="100" w:before="220"/>
      </w:pPr>
      <w:r>
        <w:rPr>
          <w:b/>
          <w:bCs/>
          <w:color w:val="0F6E6E"/>
          <w:sz w:val="21"/>
          <w:szCs w:val="21"/>
        </w:rPr>
        <w:t xml:space="preserve">Taken from bank records — no question asked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771"/>
        <w:gridCol w:w="3084"/>
        <w:gridCol w:w="2891"/>
        <w:gridCol w:w="2892"/>
      </w:tblGrid>
      <w:tr>
        <w:trPr>
          <w:cantSplit/>
          <w:tblHeader/>
        </w:trPr>
        <w:tc>
          <w:tcPr>
            <w:tcW w:type="dxa" w:w="77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Input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Source</w:t>
            </w:r>
          </w:p>
        </w:tc>
        <w:tc>
          <w:tcPr>
            <w:tcW w:type="dxa" w:w="289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If unavailable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D01</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at next birthday</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Date of birth in the bank record</w:t>
            </w:r>
          </w:p>
        </w:tc>
        <w:tc>
          <w:tcPr>
            <w:tcW w:type="dxa" w:w="2892"/>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Insufficient data — the journey is blocked</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D02</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Length of the customer relationship, in months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Bank record</w:t>
            </w:r>
          </w:p>
        </w:tc>
        <w:tc>
          <w:tcPr>
            <w:tcW w:type="dxa" w:w="289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Defaults to zero; no block</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D03</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Existing life cover distributed by the bank</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Policy records</w:t>
            </w:r>
          </w:p>
        </w:tc>
        <w:tc>
          <w:tcPr>
            <w:tcW w:type="dxa" w:w="289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Defaults to zero and is recorded as assumed</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D04</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Known outstanding loan liability to the bank</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Bank record</w:t>
            </w:r>
          </w:p>
        </w:tc>
        <w:tc>
          <w:tcPr>
            <w:tcW w:type="dxa" w:w="289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Defaults to zero and is recorded as assumed</w:t>
            </w:r>
          </w:p>
        </w:tc>
      </w:tr>
    </w:tbl>
    <w:p>
      <w:pPr>
        <w:spacing w:after="120"/>
      </w:pPr>
      <w:r>
        <w:t xml:space="preserve"/>
      </w:r>
    </w:p>
    <w:p>
      <w:pPr>
        <w:pStyle w:val="Heading3"/>
        <w:keepNext/>
        <w:keepLines/>
        <w:spacing w:after="100" w:before="220"/>
      </w:pPr>
      <w:r>
        <w:rPr>
          <w:b/>
          <w:bCs/>
          <w:color w:val="0F6E6E"/>
          <w:sz w:val="21"/>
          <w:szCs w:val="21"/>
        </w:rPr>
        <w:t xml:space="preserve">Asked of the customer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771"/>
        <w:gridCol w:w="3084"/>
        <w:gridCol w:w="3084"/>
        <w:gridCol w:w="2699"/>
      </w:tblGrid>
      <w:tr>
        <w:trPr>
          <w:cantSplit/>
          <w:tblHeader/>
        </w:trPr>
        <w:tc>
          <w:tcPr>
            <w:tcW w:type="dxa" w:w="77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Question</w:t>
            </w:r>
          </w:p>
        </w:tc>
        <w:tc>
          <w:tcPr>
            <w:tcW w:type="dxa" w:w="308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Answer</w:t>
            </w:r>
          </w:p>
        </w:tc>
        <w:tc>
          <w:tcPr>
            <w:tcW w:type="dxa" w:w="269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Validation</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Q01</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Annual income, self-declared</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exact rupee amount</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Greater than zero. The band in §3 is derived from this figure and recorded alongside it; the computation uses the exact figure, never the band.</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Q02</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Number of financially dependent persons</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Whole number</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Between 0 and 10</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Q03</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Total existing life cover across all insurers</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Amount</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Zero or more; flagged if below the bank-known figure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Q04</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Total outstanding liabilities across all lenders</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Amount</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Zero or more; flagged if below the bank-known figure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Q05</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Primary financial objective</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Protection, savings goal, retirement, wealth growth or tax planning</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Q06</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Investment horizon</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 5 years, 5–10, 10–20, or over 20 years</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Q07</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Attitude to investment risk</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Capital protection, low, moderate or high</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Q08</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Premium the customer is comfortable committing annually</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Amount</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Greater than zero</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Q09</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Tobacco use in the last 12 months</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or no</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Q10</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Occupation category</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Salaried, self-employed professional, self-employed business, agriculture or other</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value</w:t>
            </w:r>
          </w:p>
        </w:tc>
      </w:tr>
      <w:tr>
        <w:trPr>
          <w:cantSplit/>
        </w:trPr>
        <w:tc>
          <w:tcPr>
            <w:tcW w:type="dxa" w:w="77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Q11</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Has the customer been declined or rated by any life insurer?</w:t>
            </w:r>
          </w:p>
        </w:tc>
        <w:tc>
          <w:tcPr>
            <w:tcW w:type="dxa" w:w="3084"/>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no, or does not know</w:t>
            </w:r>
          </w:p>
        </w:tc>
        <w:tc>
          <w:tcPr>
            <w:tcW w:type="dxa" w:w="2699"/>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Q12</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Is this purchase replacing an existing policy?</w:t>
            </w:r>
          </w:p>
        </w:tc>
        <w:tc>
          <w:tcPr>
            <w:tcW w:type="dxa" w:w="3084"/>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or no</w:t>
            </w:r>
          </w:p>
        </w:tc>
        <w:tc>
          <w:tcPr>
            <w:tcW w:type="dxa" w:w="2699"/>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If yes, the replacement disclosure in §11 applies</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SUIT-R01</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OBL-INS-03</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All sixteen inputs — the four taken from bank records and the twelve asked — MUST be present before an assessment is computed. A partial questionnaire produces no assessment.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Submit eleven of the twelve asked inputs: refused as incomplete, listing what is missing, and no assessment record is written. Repeat with a derived input unavailable: refused in the same way.</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SUIT-R02</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OBL-INS-03</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twelve asked answers MUST be stored exactly as given, and the four derived inputs MUST be stored as the values actually used, each with its source and the time it was read. Both are stored alongside the outcome, with the questionnaire version.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an assessment; twelve raw answers, four derived values each carrying a source and an as-at time, and the questionnaire version are all present. Re-running the computation on the stored values reproduces the stored outcome exactly.</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SUIT-R03</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OBL-DP-08</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 self-declared figure is lower than the figure the bank already holds, the higher figure MUST be used and the discrepancy recorded.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Declare zero existing cover where the bank holds a policy. The computation uses the bank figure and an understatement flag is recorded.</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SUIT-R04</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previous decline or rating by an insurer, or a customer who does not know, MUST set an underwriting-risk flag on the assessment. It does not by itself change the outcome.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Answer yes to Q11; the flag is set and the outcome is computed unchanged.</w:t>
            </w:r>
          </w:p>
        </w:tc>
      </w:tr>
    </w:tbl>
    <w:p>
      <w:pPr>
        <w:pStyle w:val="Heading2"/>
        <w:keepNext/>
        <w:keepLines/>
        <w:pageBreakBefore/>
        <w:spacing w:after="120" w:before="0"/>
      </w:pPr>
      <w:r>
        <w:rPr>
          <w:b/>
          <w:bCs/>
          <w:color w:val="11304E"/>
          <w:sz w:val="24"/>
          <w:szCs w:val="24"/>
        </w:rPr>
        <w:t xml:space="preserve">3.  The computation</w:t>
      </w:r>
    </w:p>
    <w:p>
      <w:pPr>
        <w:spacing w:after="120" w:before="0" w:line="276"/>
        <w:jc w:val="left"/>
      </w:pPr>
      <w:r>
        <w:rPr>
          <w:b w:val="false"/>
          <w:bCs w:val="false"/>
          <w:i w:val="false"/>
          <w:iCs w:val="false"/>
          <w:color w:val="222629"/>
          <w:sz w:val="20"/>
          <w:szCs w:val="20"/>
        </w:rPr>
        <w:t xml:space="preserve">The model is arithmetic, not judgement. Two people running it by hand on the same inputs reach the same answer, which is the property that makes advice defensible.</w:t>
      </w:r>
    </w:p>
    <w:p>
      <w:pPr>
        <w:pStyle w:val="Heading3"/>
        <w:keepNext/>
        <w:keepLines/>
        <w:spacing w:after="100" w:before="220"/>
      </w:pPr>
      <w:r>
        <w:rPr>
          <w:b/>
          <w:bCs/>
          <w:color w:val="0F6E6E"/>
          <w:sz w:val="21"/>
          <w:szCs w:val="21"/>
        </w:rPr>
        <w:t xml:space="preserve">Income bands and the cover multiple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5590"/>
        <w:gridCol w:w="2891"/>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Band</w:t>
            </w:r>
          </w:p>
        </w:tc>
        <w:tc>
          <w:tcPr>
            <w:tcW w:type="dxa" w:w="559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Annual income</w:t>
            </w:r>
          </w:p>
        </w:tc>
        <w:tc>
          <w:tcPr>
            <w:tcW w:type="dxa" w:w="2891"/>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Multiple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1</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Below ₹3,00,000</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10</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2</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₹3,00,000 to ₹4,99,999</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12</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3</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₹5,00,000 to ₹9,99,999</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15</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4</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₹10,00,000 to ₹19,99,999</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18</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5</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₹20,00,000 to ₹34,99,999</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20</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6</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₹35,00,000 to ₹49,99,999</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20</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7</w:t>
            </w:r>
          </w:p>
        </w:tc>
        <w:tc>
          <w:tcPr>
            <w:tcW w:type="dxa" w:w="559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₹50,00,000 to ₹99,99,999</w:t>
            </w:r>
          </w:p>
        </w:tc>
        <w:tc>
          <w:tcPr>
            <w:tcW w:type="dxa" w:w="2891"/>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18</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8</w:t>
            </w:r>
          </w:p>
        </w:tc>
        <w:tc>
          <w:tcPr>
            <w:tcW w:type="dxa" w:w="559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₹1,00,00,000 and above</w:t>
            </w:r>
          </w:p>
        </w:tc>
        <w:tc>
          <w:tcPr>
            <w:tcW w:type="dxa" w:w="2891"/>
            <w:shd w:fill="F1F5F8" w:color="auto" w:val="clear"/>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15</w:t>
            </w:r>
          </w:p>
        </w:tc>
      </w:tr>
    </w:tbl>
    <w:p>
      <w:pPr>
        <w:spacing w:after="100"/>
      </w:pPr>
      <w:r>
        <w:t xml:space="preserve"/>
      </w:r>
    </w:p>
    <w:p>
      <w:pPr>
        <w:spacing w:after="120" w:before="0" w:line="276"/>
        <w:jc w:val="left"/>
      </w:pPr>
      <w:r>
        <w:rPr>
          <w:b w:val="false"/>
          <w:bCs w:val="false"/>
          <w:i/>
          <w:iCs/>
          <w:color w:val="5A6570"/>
          <w:sz w:val="19"/>
          <w:szCs w:val="19"/>
        </w:rPr>
        <w:t xml:space="preserve">The multiple tapers at both ends: at low incomes because affordability binds before need does, and at high incomes because insurer underwriting limits bind. Band boundaries include the lower figure and exclude the upper.</w:t>
      </w:r>
    </w:p>
    <w:p>
      <w:pPr>
        <w:spacing w:after="80"/>
      </w:pPr>
      <w:r>
        <w:t xml:space="preserve"/>
      </w:r>
    </w:p>
    <w:p>
      <w:pPr>
        <w:pStyle w:val="Heading3"/>
        <w:keepNext/>
        <w:keepLines/>
        <w:spacing w:after="100" w:before="220"/>
      </w:pPr>
      <w:r>
        <w:rPr>
          <w:b/>
          <w:bCs/>
          <w:color w:val="0F6E6E"/>
          <w:sz w:val="21"/>
          <w:szCs w:val="21"/>
        </w:rPr>
        <w:t xml:space="preserve">Age adjustment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1060"/>
        <w:gridCol w:w="1060"/>
        <w:gridCol w:w="1060"/>
        <w:gridCol w:w="1060"/>
        <w:gridCol w:w="1060"/>
        <w:gridCol w:w="22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Age at next birthday</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18–30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31–40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41–50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51–60</w:t>
            </w:r>
          </w:p>
        </w:tc>
        <w:tc>
          <w:tcPr>
            <w:tcW w:type="dxa" w:w="1060"/>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61–65</w:t>
            </w:r>
          </w:p>
        </w:tc>
        <w:tc>
          <w:tcPr>
            <w:tcW w:type="dxa" w:w="2218"/>
            <w:shd w:fill="11304E" w:color="auto" w:val="clear"/>
            <w:tcMar>
              <w:top w:type="dxa" w:w="90"/>
              <w:left w:type="dxa" w:w="130"/>
              <w:bottom w:type="dxa" w:w="90"/>
              <w:right w:type="dxa" w:w="130"/>
            </w:tcMar>
            <w:vAlign w:val="center"/>
          </w:tcPr>
          <w:p>
            <w:pPr>
              <w:spacing w:after="40" w:before="40" w:line="252"/>
              <w:jc w:val="center"/>
            </w:pPr>
            <w:r>
              <w:rPr>
                <w:b/>
                <w:bCs/>
                <w:i w:val="false"/>
                <w:iCs w:val="false"/>
                <w:color w:val="FFFFFF"/>
                <w:sz w:val="18"/>
                <w:szCs w:val="18"/>
              </w:rPr>
              <w:t xml:space="preserve">Under 18 or over 65</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Factor</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1.10</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1.00</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0.85</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0.65</w:t>
            </w:r>
          </w:p>
        </w:tc>
        <w:tc>
          <w:tcPr>
            <w:tcW w:type="dxa" w:w="1060"/>
            <w:tcMar>
              <w:top w:type="dxa" w:w="90"/>
              <w:left w:type="dxa" w:w="130"/>
              <w:bottom w:type="dxa" w:w="90"/>
              <w:right w:type="dxa" w:w="130"/>
            </w:tcMar>
            <w:vAlign w:val="top"/>
          </w:tcPr>
          <w:p>
            <w:pPr>
              <w:spacing w:after="40" w:before="40" w:line="252"/>
              <w:jc w:val="center"/>
            </w:pPr>
            <w:r>
              <w:rPr>
                <w:b w:val="false"/>
                <w:bCs w:val="false"/>
                <w:i w:val="false"/>
                <w:iCs w:val="false"/>
                <w:color w:val="222629"/>
                <w:sz w:val="18"/>
                <w:szCs w:val="18"/>
              </w:rPr>
              <w:t xml:space="preserve">0.45</w:t>
            </w:r>
          </w:p>
        </w:tc>
        <w:tc>
          <w:tcPr>
            <w:tcW w:type="dxa" w:w="2218"/>
            <w:tcMar>
              <w:top w:type="dxa" w:w="90"/>
              <w:left w:type="dxa" w:w="130"/>
              <w:bottom w:type="dxa" w:w="90"/>
              <w:right w:type="dxa" w:w="130"/>
            </w:tcMar>
            <w:vAlign w:val="top"/>
          </w:tcPr>
          <w:p>
            <w:pPr>
              <w:spacing w:after="40" w:before="40" w:line="252"/>
              <w:jc w:val="center"/>
            </w:pPr>
            <w:r>
              <w:rPr>
                <w:b/>
                <w:bCs/>
                <w:i w:val="false"/>
                <w:iCs w:val="false"/>
                <w:color w:val="9B2226"/>
                <w:sz w:val="18"/>
                <w:szCs w:val="18"/>
              </w:rPr>
              <w:t xml:space="preserve">Ineligible</w:t>
            </w:r>
          </w:p>
        </w:tc>
      </w:tr>
    </w:tbl>
    <w:p>
      <w:pPr>
        <w:spacing w:after="120"/>
      </w:pPr>
      <w:r>
        <w:t xml:space="preserve"/>
      </w:r>
    </w:p>
    <w:p>
      <w:pPr>
        <w:pStyle w:val="Heading3"/>
        <w:keepNext/>
        <w:keepLines/>
        <w:spacing w:after="100" w:before="220"/>
      </w:pPr>
      <w:r>
        <w:rPr>
          <w:b/>
          <w:bCs/>
          <w:color w:val="0F6E6E"/>
          <w:sz w:val="21"/>
          <w:szCs w:val="21"/>
        </w:rPr>
        <w:t xml:space="preserve">The formula</w:t>
      </w:r>
    </w:p>
    <w:p>
      <w:pPr>
        <w:spacing w:after="100" w:before="0" w:line="276"/>
        <w:jc w:val="left"/>
      </w:pPr>
      <w:r>
        <w:rPr>
          <w:rFonts w:ascii="Consolas" w:cs="Consolas" w:eastAsia="Consolas" w:hAnsi="Consolas"/>
          <w:b w:val="false"/>
          <w:bCs w:val="false"/>
          <w:i w:val="false"/>
          <w:iCs w:val="false"/>
          <w:color w:val="11304E"/>
          <w:sz w:val="18"/>
          <w:szCs w:val="18"/>
        </w:rPr>
        <w:t xml:space="preserve">recommended cover   =  round up to the next lakh of</w:t>
      </w:r>
    </w:p>
    <w:p>
      <w:pPr>
        <w:spacing w:after="100" w:before="0" w:line="276"/>
        <w:jc w:val="left"/>
      </w:pPr>
      <w:r>
        <w:rPr>
          <w:rFonts w:ascii="Consolas" w:cs="Consolas" w:eastAsia="Consolas" w:hAnsi="Consolas"/>
          <w:b w:val="false"/>
          <w:bCs w:val="false"/>
          <w:i w:val="false"/>
          <w:iCs w:val="false"/>
          <w:color w:val="11304E"/>
          <w:sz w:val="18"/>
          <w:szCs w:val="18"/>
        </w:rPr>
        <w:t xml:space="preserve">                       ( annual income × multiple × age factor )</w:t>
      </w:r>
    </w:p>
    <w:p>
      <w:pPr>
        <w:spacing w:after="100" w:before="0" w:line="276"/>
        <w:jc w:val="left"/>
      </w:pPr>
      <w:r>
        <w:rPr>
          <w:rFonts w:ascii="Consolas" w:cs="Consolas" w:eastAsia="Consolas" w:hAnsi="Consolas"/>
          <w:b w:val="false"/>
          <w:bCs w:val="false"/>
          <w:i w:val="false"/>
          <w:iCs w:val="false"/>
          <w:color w:val="11304E"/>
          <w:sz w:val="18"/>
          <w:szCs w:val="18"/>
        </w:rPr>
        <w:t xml:space="preserve">                       + liabilities</w:t>
      </w:r>
    </w:p>
    <w:p>
      <w:pPr>
        <w:spacing w:after="100" w:before="0" w:line="276"/>
        <w:jc w:val="left"/>
      </w:pPr>
      <w:r>
        <w:rPr>
          <w:rFonts w:ascii="Consolas" w:cs="Consolas" w:eastAsia="Consolas" w:hAnsi="Consolas"/>
          <w:b w:val="false"/>
          <w:bCs w:val="false"/>
          <w:i w:val="false"/>
          <w:iCs w:val="false"/>
          <w:color w:val="11304E"/>
          <w:sz w:val="18"/>
          <w:szCs w:val="18"/>
        </w:rPr>
        <w:t xml:space="preserve">                       + ( dependants × ₹5,00,000 )</w:t>
      </w:r>
    </w:p>
    <w:p>
      <w:pPr>
        <w:spacing w:after="100" w:before="0" w:line="276"/>
        <w:jc w:val="left"/>
      </w:pPr>
      <w:r>
        <w:rPr>
          <w:rFonts w:ascii="Consolas" w:cs="Consolas" w:eastAsia="Consolas" w:hAnsi="Consolas"/>
          <w:b w:val="false"/>
          <w:bCs w:val="false"/>
          <w:i w:val="false"/>
          <w:iCs w:val="false"/>
          <w:color w:val="11304E"/>
          <w:sz w:val="18"/>
          <w:szCs w:val="18"/>
        </w:rPr>
        <w:t xml:space="preserve"/>
      </w:r>
    </w:p>
    <w:p>
      <w:pPr>
        <w:spacing w:after="100" w:before="0" w:line="276"/>
        <w:jc w:val="left"/>
      </w:pPr>
      <w:r>
        <w:rPr>
          <w:rFonts w:ascii="Consolas" w:cs="Consolas" w:eastAsia="Consolas" w:hAnsi="Consolas"/>
          <w:b w:val="false"/>
          <w:bCs w:val="false"/>
          <w:i w:val="false"/>
          <w:iCs w:val="false"/>
          <w:color w:val="11304E"/>
          <w:sz w:val="18"/>
          <w:szCs w:val="18"/>
        </w:rPr>
        <w:t xml:space="preserve">protection gap      =  the greater of zero and ( recommended cover − existing cover )</w:t>
      </w:r>
    </w:p>
    <w:p>
      <w:pPr>
        <w:spacing w:after="100" w:before="0" w:line="276"/>
        <w:jc w:val="left"/>
      </w:pPr>
      <w:r>
        <w:rPr>
          <w:rFonts w:ascii="Consolas" w:cs="Consolas" w:eastAsia="Consolas" w:hAnsi="Consolas"/>
          <w:b w:val="false"/>
          <w:bCs w:val="false"/>
          <w:i w:val="false"/>
          <w:iCs w:val="false"/>
          <w:color w:val="11304E"/>
          <w:sz w:val="18"/>
          <w:szCs w:val="18"/>
        </w:rPr>
        <w:t xml:space="preserve">affordability ratio =  declared premium ÷ annual income</w:t>
      </w:r>
    </w:p>
    <w:p>
      <w:pPr>
        <w:spacing w:after="60"/>
      </w:pPr>
      <w:r>
        <w:t xml:space="preserve"/>
      </w:r>
    </w:p>
    <w:p>
      <w:pPr>
        <w:spacing w:after="120" w:before="0" w:line="276"/>
        <w:jc w:val="left"/>
      </w:pPr>
      <w:r>
        <w:rPr>
          <w:b w:val="false"/>
          <w:bCs w:val="false"/>
          <w:i/>
          <w:iCs/>
          <w:color w:val="5A6570"/>
          <w:sz w:val="19"/>
          <w:szCs w:val="19"/>
        </w:rPr>
        <w:t xml:space="preserve">Liabilities and existing cover are each the higher of the customer’s declaration and the figure the bank holds, as SUIT-R03 requires.</w:t>
      </w:r>
    </w:p>
    <w:p>
      <w:pPr>
        <w:spacing w:after="120"/>
      </w:pPr>
      <w:r>
        <w:t xml:space="preserve"/>
      </w:r>
    </w:p>
    <w:p>
      <w:pPr>
        <w:pStyle w:val="Heading3"/>
        <w:keepNext/>
        <w:keepLines/>
        <w:spacing w:after="100" w:before="220"/>
      </w:pPr>
      <w:r>
        <w:rPr>
          <w:b/>
          <w:bCs/>
          <w:color w:val="0F6E6E"/>
          <w:sz w:val="21"/>
          <w:szCs w:val="21"/>
        </w:rPr>
        <w:t xml:space="preserve">Worked reference case</w:t>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This case is a mandatory test of the built service</w:t>
      </w:r>
    </w:p>
    <w:p>
      <w:pPr>
        <w:keepNext/>
        <w:keepLines/>
        <w:pBdr>
          <w:left w:val="single" w:color="0F6E6E" w:sz="18" w:space="10"/>
          <w:right w:val="single" w:color="F1F5F8" w:sz="2" w:space="10"/>
        </w:pBdr>
        <w:shd w:fill="F1F5F8" w:color="auto" w:val="clear"/>
        <w:spacing w:after="100" w:before="0" w:line="276"/>
        <w:ind w:left="200" w:right="200"/>
      </w:pPr>
      <w:r>
        <w:rPr>
          <w:b w:val="false"/>
          <w:bCs w:val="false"/>
          <w:i w:val="false"/>
          <w:iCs w:val="false"/>
          <w:color w:val="222629"/>
          <w:sz w:val="20"/>
          <w:szCs w:val="20"/>
        </w:rPr>
        <w:t xml:space="preserve">Age 38 · income ₹12,00,000 (band 4, multiple 18, age factor 1.00) · 2 dependants · existing cover ₹5,00,000 · liabilities ₹30,00,000 · declared premium ₹25,000.</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Recommended cover = round up to the next lakh of (12,00,000 × 18 × 1.00 + 30,00,000 + 10,00,000) = ₹2,56,00,000.  Protection gap = ₹2,51,00,000.  Affordability ratio = 0.0208.</w:t>
      </w:r>
    </w:p>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SUIT-R05</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OBL-INS-03</w:t>
            </w:r>
            <w:r>
              <w:rPr>
                <w:b w:val="false"/>
                <w:bCs w:val="false"/>
                <w:i w:val="false"/>
                <w:iCs w:val="false"/>
                <w:color w:val="0F6E6E"/>
                <w:sz w:val="15"/>
                <w:szCs w:val="15"/>
              </w:rPr>
              <w:br/>
              <w:t xml:space="preserve">OBL-INS-08</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computation MUST be pure: the same inputs give the same outputs, with no dependence on time, actor or system state other than the algorithm version.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Run the same twenty customer profiles twice, on two days, by two evaluators. The outputs are identical.</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SUIT-R06</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OBL-INS-03</w:t>
            </w:r>
            <w:r>
              <w:rPr>
                <w:b w:val="false"/>
                <w:bCs w:val="false"/>
                <w:i w:val="false"/>
                <w:iCs w:val="false"/>
                <w:color w:val="0F6E6E"/>
                <w:sz w:val="15"/>
                <w:szCs w:val="15"/>
              </w:rPr>
              <w:br/>
              <w:t xml:space="preserve">OBL-INS-08</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Rounding up to the next lakh means the next whole multiple of ₹1,00,000.</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₹12,34,567 becomes ₹13,00,000. ₹12,00,000 stays ₹12,00,000.</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SUIT-R07</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OBL-INS-03</w:t>
            </w:r>
            <w:r>
              <w:rPr>
                <w:b w:val="false"/>
                <w:bCs w:val="false"/>
                <w:i w:val="false"/>
                <w:iCs w:val="false"/>
                <w:color w:val="0F6E6E"/>
                <w:sz w:val="15"/>
                <w:szCs w:val="15"/>
              </w:rPr>
              <w:br/>
              <w:t xml:space="preserve">OBL-INS-05</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algorithm version MUST be recorded on every assessment and MUST be immutable once published.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assessment carries a version. Publishing a change under an existing version is refused.</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SUIT-R08</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age below 18 or above 65 at next birthday MUST produce a not-suitable outcome, and no quote may proceed.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17 and age 66 both produce not-suitable, and the quote is refused.</w:t>
            </w:r>
          </w:p>
        </w:tc>
      </w:tr>
    </w:tbl>
    <w:p>
      <w:pPr>
        <w:pStyle w:val="Heading2"/>
        <w:keepNext/>
        <w:keepLines/>
        <w:pageBreakBefore/>
        <w:spacing w:after="120" w:before="0"/>
      </w:pPr>
      <w:r>
        <w:rPr>
          <w:b/>
          <w:bCs/>
          <w:color w:val="11304E"/>
          <w:sz w:val="24"/>
          <w:szCs w:val="24"/>
        </w:rPr>
        <w:t xml:space="preserve">4.  Product-class outcomes</w:t>
      </w:r>
    </w:p>
    <w:p>
      <w:pPr>
        <w:spacing w:after="120" w:before="0" w:line="276"/>
        <w:jc w:val="left"/>
      </w:pPr>
      <w:r>
        <w:rPr>
          <w:b w:val="false"/>
          <w:bCs w:val="false"/>
          <w:i w:val="false"/>
          <w:iCs w:val="false"/>
          <w:color w:val="222629"/>
          <w:sz w:val="20"/>
          <w:szCs w:val="20"/>
        </w:rPr>
        <w:t xml:space="preserve">An assessment produces one outcome per product class, not one overall. A customer may be suitable for term cover and not suitable for a unit-linked product in the same assessment, and the gate is applied per class.</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024"/>
        <w:gridCol w:w="5301"/>
        <w:gridCol w:w="2313"/>
      </w:tblGrid>
      <w:tr>
        <w:trPr>
          <w:cantSplit/>
          <w:tblHeader/>
        </w:trPr>
        <w:tc>
          <w:tcPr>
            <w:tcW w:type="dxa" w:w="2024"/>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c>
          <w:tcPr>
            <w:tcW w:type="dxa" w:w="530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Quote permitted</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Suitable</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product class matches the stated objective, horizon, risk attitude and affordability</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Suitable with caution</w:t>
            </w:r>
          </w:p>
        </w:tc>
        <w:tc>
          <w:tcPr>
            <w:tcW w:type="dxa" w:w="530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match is defensible but at least one caution condition applies; a disclosure is required</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Yes, with the disclosure in §9</w:t>
            </w:r>
          </w:p>
        </w:tc>
      </w:tr>
      <w:tr>
        <w:trPr>
          <w:cantSplit/>
        </w:trPr>
        <w:tc>
          <w:tcPr>
            <w:tcW w:type="dxa" w:w="2024"/>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w:t>
            </w:r>
          </w:p>
        </w:tc>
        <w:tc>
          <w:tcPr>
            <w:tcW w:type="dxa" w:w="530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product class conflicts with something the customer stated</w:t>
            </w:r>
          </w:p>
        </w:tc>
        <w:tc>
          <w:tcPr>
            <w:tcW w:type="dxa" w:w="2313"/>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No — hard block</w:t>
            </w:r>
          </w:p>
        </w:tc>
      </w:tr>
      <w:tr>
        <w:trPr>
          <w:cantSplit/>
        </w:trPr>
        <w:tc>
          <w:tcPr>
            <w:tcW w:type="dxa" w:w="2024"/>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Insufficient data</w:t>
            </w:r>
          </w:p>
        </w:tc>
        <w:tc>
          <w:tcPr>
            <w:tcW w:type="dxa" w:w="530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mandatory derived input was unavailable</w:t>
            </w:r>
          </w:p>
        </w:tc>
        <w:tc>
          <w:tcPr>
            <w:tcW w:type="dxa" w:w="2313"/>
            <w:shd w:fill="F1F5F8" w:color="auto" w:val="clear"/>
            <w:tcMar>
              <w:top w:type="dxa" w:w="90"/>
              <w:left w:type="dxa" w:w="130"/>
              <w:bottom w:type="dxa" w:w="90"/>
              <w:right w:type="dxa" w:w="130"/>
            </w:tcMar>
            <w:vAlign w:val="top"/>
          </w:tcPr>
          <w:p>
            <w:pPr>
              <w:spacing w:after="40" w:before="40" w:line="252"/>
              <w:jc w:val="left"/>
            </w:pPr>
            <w:r>
              <w:rPr>
                <w:b/>
                <w:bCs/>
                <w:i w:val="false"/>
                <w:iCs w:val="false"/>
                <w:color w:val="9B2226"/>
                <w:sz w:val="18"/>
                <w:szCs w:val="18"/>
              </w:rPr>
              <w:t xml:space="preserve">No — hard block</w:t>
            </w:r>
          </w:p>
        </w:tc>
      </w:tr>
    </w:tbl>
    <w:p>
      <w:pPr>
        <w:spacing w:after="140"/>
      </w:pPr>
      <w:r>
        <w:t xml:space="preserve"/>
      </w:r>
    </w:p>
    <w:p>
      <w:pPr>
        <w:pStyle w:val="Heading3"/>
        <w:keepNext/>
        <w:keepLines/>
        <w:spacing w:after="100" w:before="220"/>
      </w:pPr>
      <w:r>
        <w:rPr>
          <w:b/>
          <w:bCs/>
          <w:color w:val="0F6E6E"/>
          <w:sz w:val="21"/>
          <w:szCs w:val="21"/>
        </w:rPr>
        <w:t xml:space="preserve">Term life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4241"/>
        <w:gridCol w:w="4240"/>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424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SUIT-R09</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protection gap exists and the age is eligible</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SUIT-R10</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protection gap — the customer is already adequately covered</w:t>
            </w:r>
          </w:p>
        </w:tc>
        <w:tc>
          <w:tcPr>
            <w:tcW w:type="dxa" w:w="424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cover already adequate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SUIT-R11</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0.15</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premium high relative to income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SUIT-R12</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0.30</w:t>
            </w:r>
          </w:p>
        </w:tc>
        <w:tc>
          <w:tcPr>
            <w:tcW w:type="dxa" w:w="424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premium unaffordable</w:t>
            </w:r>
          </w:p>
        </w:tc>
      </w:tr>
    </w:tbl>
    <w:p>
      <w:pPr>
        <w:spacing w:after="120"/>
      </w:pPr>
      <w:r>
        <w:t xml:space="preserve"/>
      </w:r>
    </w:p>
    <w:p>
      <w:pPr>
        <w:pStyle w:val="Heading3"/>
        <w:keepNext/>
        <w:keepLines/>
        <w:spacing w:after="100" w:before="220"/>
      </w:pPr>
      <w:r>
        <w:rPr>
          <w:b/>
          <w:bCs/>
          <w:color w:val="0F6E6E"/>
          <w:sz w:val="21"/>
          <w:szCs w:val="21"/>
        </w:rPr>
        <w:t xml:space="preserve">Savings and endowment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4241"/>
        <w:gridCol w:w="4240"/>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424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SUIT-R13</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Objective is savings, retirement or tax planning, and the horizon is 5 years or more, and the affordability ratio is 0.20 or below</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SUIT-R13a</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0.20 and at or below 0.30</w:t>
            </w:r>
          </w:p>
        </w:tc>
        <w:tc>
          <w:tcPr>
            <w:tcW w:type="dxa" w:w="424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premium high relative to income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SUIT-R13b</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0.30</w:t>
            </w:r>
          </w:p>
        </w:tc>
        <w:tc>
          <w:tcPr>
            <w:tcW w:type="dxa" w:w="424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premium unaffordable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SUIT-R14</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Horizon under 5 years</w:t>
            </w:r>
          </w:p>
        </w:tc>
        <w:tc>
          <w:tcPr>
            <w:tcW w:type="dxa" w:w="424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horizon too short for this product class</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SUIT-R15</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protection gap exists and the stated objective is protection</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the protection need is not met by this class</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SUIT-R15a</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Horizon 5 years or more, affordability ratio 0.20 or below, and the stated objective is protection or wealth growth</w:t>
            </w:r>
          </w:p>
        </w:tc>
        <w:tc>
          <w:tcPr>
            <w:tcW w:type="dxa" w:w="424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the stated objective is not the primary purpose of this product class</w:t>
            </w:r>
          </w:p>
        </w:tc>
      </w:tr>
    </w:tbl>
    <w:p>
      <w:pPr>
        <w:spacing w:after="120"/>
      </w:pPr>
      <w:r>
        <w:t xml:space="preserve"/>
      </w:r>
    </w:p>
    <w:p>
      <w:pPr>
        <w:pStyle w:val="Heading3"/>
        <w:keepNext/>
        <w:keepLines/>
        <w:spacing w:after="100" w:before="220"/>
      </w:pPr>
      <w:r>
        <w:rPr>
          <w:b/>
          <w:bCs/>
          <w:color w:val="0F6E6E"/>
          <w:sz w:val="21"/>
          <w:szCs w:val="21"/>
        </w:rPr>
        <w:t xml:space="preserve">Unit-linked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157"/>
        <w:gridCol w:w="4241"/>
        <w:gridCol w:w="4240"/>
      </w:tblGrid>
      <w:tr>
        <w:trPr>
          <w:cantSplit/>
          <w:tblHeader/>
        </w:trPr>
        <w:tc>
          <w:tcPr>
            <w:tcW w:type="dxa" w:w="1157"/>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24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424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Outcome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SUIT-R16</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Risk attitude moderate or high, horizon over 10 years, objective wealth growth or retirement, and affordability ratio 0.20 or below</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SUIT-R16a</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0.20 and at or below 0.30</w:t>
            </w:r>
          </w:p>
        </w:tc>
        <w:tc>
          <w:tcPr>
            <w:tcW w:type="dxa" w:w="424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premium high relative to income</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SUIT-R16b</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Affordability ratio above 0.30</w:t>
            </w:r>
          </w:p>
        </w:tc>
        <w:tc>
          <w:tcPr>
            <w:tcW w:type="dxa" w:w="424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premium unaffordable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SUIT-R16c</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Risk attitude moderate or high, horizon over 10 years, affordability ratio 0.20 or below, and the stated objective is protection, savings or tax planning</w:t>
            </w:r>
          </w:p>
        </w:tc>
        <w:tc>
          <w:tcPr>
            <w:tcW w:type="dxa" w:w="424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the stated objective is not the primary purpose of this product class</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SUIT-R17</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Risk attitude is capital protection</w:t>
            </w:r>
          </w:p>
        </w:tc>
        <w:tc>
          <w:tcPr>
            <w:tcW w:type="dxa" w:w="424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risk attitude incompatible</w:t>
            </w:r>
          </w:p>
        </w:tc>
      </w:tr>
      <w:tr>
        <w:trPr>
          <w:cantSplit/>
        </w:trPr>
        <w:tc>
          <w:tcPr>
            <w:tcW w:type="dxa" w:w="1157"/>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SUIT-R18</w:t>
            </w:r>
          </w:p>
        </w:tc>
        <w:tc>
          <w:tcPr>
            <w:tcW w:type="dxa" w:w="424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Horizon 10 years or less</w:t>
            </w:r>
          </w:p>
        </w:tc>
        <w:tc>
          <w:tcPr>
            <w:tcW w:type="dxa" w:w="424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Not suitable: horizon too short for this product class</w:t>
            </w:r>
          </w:p>
        </w:tc>
      </w:tr>
      <w:tr>
        <w:trPr>
          <w:cantSplit/>
        </w:trPr>
        <w:tc>
          <w:tcPr>
            <w:tcW w:type="dxa" w:w="1157"/>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SUIT-R19</w:t>
            </w:r>
          </w:p>
        </w:tc>
        <w:tc>
          <w:tcPr>
            <w:tcW w:type="dxa" w:w="424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Risk attitude low, with all other conditions of SUIT-R16 met</w:t>
            </w:r>
          </w:p>
        </w:tc>
        <w:tc>
          <w:tcPr>
            <w:tcW w:type="dxa" w:w="424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Suitable with caution: risk attitude below the product’s profile</w:t>
            </w:r>
          </w:p>
        </w:tc>
      </w:tr>
    </w:tbl>
    <w:p>
      <w:pPr>
        <w:spacing w:after="140"/>
      </w:pPr>
      <w:r>
        <w:t xml:space="preserve"/>
      </w:r>
    </w:p>
    <w:p>
      <w:pPr>
        <w:pStyle w:val="Heading3"/>
        <w:keepNext/>
        <w:keepLines/>
        <w:spacing w:after="100" w:before="220"/>
      </w:pPr>
      <w:r>
        <w:rPr>
          <w:b/>
          <w:bCs/>
          <w:color w:val="0F6E6E"/>
          <w:sz w:val="21"/>
          <w:szCs w:val="21"/>
        </w:rPr>
        <w:t xml:space="preserve">Precedence, totality and the safety net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SUIT-R19a</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OBL-INS-08</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more than one rule fires for a class, the most restrictive outcome wins — not suitable over caution, caution over suitable — and every reason that fired MUST be persisted in rule order, not only the one that decided.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profile firing a caution rule and a not-suitable rule records both reasons and returns not suitable. A profile firing two caution rules records both and returns caution.</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SUIT-R19b</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OBL-INS-08</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rules for each product class MUST be exhaustive: every combination of the enumerated inputs MUST cause at least one rule to fire for every class assessed.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Enumerate the complete combination of the five enumerated inputs — objective, horizon, risk attitude, affordability band and protection-gap sign — and assert that every combination produces exactly one outcome for each of the three classes, with at least one reason recorded.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SUIT-R19c</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OBL-INS-08</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If, despite SUIT-R19b, no rule fires for a class, the outcome MUST be insufficient data with reason MODEL_INCOMPLETE, the quote MUST be refused for that class, and a model defect MUST be raised under §12. The model MUST NOT default to suitable.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Disable one outcome rule in a test build and assert the affected combination returns insufficient data, the quote is refused, and a defect record is created. No combination silently produces a permissive outcome.</w:t>
            </w:r>
          </w:p>
        </w:tc>
      </w:tr>
    </w:tbl>
    <w:p>
      <w:pPr>
        <w:spacing w:after="12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Why SUIT-R19c exists</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 decision table with a hole in it does not fail loudly — it produces whatever the implementation happens to default to, and the commercially convenient default is "suitable". SUIT-R19b makes the table total and SUIT-R19c makes the hole fail closed if one is ever introduced. Together they are the reason the outcome tables can be trusted at audit.</w:t>
      </w:r>
    </w:p>
    <w:p>
      <w:pPr>
        <w:pStyle w:val="Heading2"/>
        <w:keepNext/>
        <w:keepLines/>
        <w:pageBreakBefore/>
        <w:spacing w:after="120" w:before="0"/>
      </w:pPr>
      <w:r>
        <w:rPr>
          <w:b/>
          <w:bCs/>
          <w:color w:val="11304E"/>
          <w:sz w:val="24"/>
          <w:szCs w:val="24"/>
        </w:rPr>
        <w:t xml:space="preserve">5.  The assessment record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771"/>
        <w:gridCol w:w="5976"/>
        <w:gridCol w:w="2891"/>
      </w:tblGrid>
      <w:tr>
        <w:trPr>
          <w:cantSplit/>
          <w:tblHeader/>
        </w:trPr>
        <w:tc>
          <w:tcPr>
            <w:tcW w:type="dxa" w:w="77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597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Field</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Optionality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Assessment identifier — this is the identifier the quote gate checks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Customer identifier held by the bank</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Journey identifier</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Questionnaire version</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Algorithm version</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twelve asked answers, exactly as given</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6a</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four bank-sourced inputs as used, each with its source system and the time it was read — the snapshot that makes a historical assessment reproducible</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6b</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income band derived from the declared figure, recorded for reference; the computation uses the exact figure</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Computed values — recommended cover, protection gap, affordability ratio, multiple, age factor</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Outcome and reason codes for each product class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9</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Underwriting-risk flag</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10</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Data-inconsistency flags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may be empty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11</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Identity of the member of staff who ran the assessment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12</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Licence number of the selling agent</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 when assisted</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13</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Time of assessment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14</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until — 30 days after assessment</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15</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Status — active, expired, invalidated or superseded</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16</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Reason for invalidation</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Optional</w:t>
            </w:r>
          </w:p>
        </w:tc>
      </w:tr>
      <w:tr>
        <w:trPr>
          <w:cantSplit/>
        </w:trPr>
        <w:tc>
          <w:tcPr>
            <w:tcW w:type="dxa" w:w="77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17</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solicitation consent this assessment relies on</w:t>
            </w:r>
          </w:p>
        </w:tc>
        <w:tc>
          <w:tcPr>
            <w:tcW w:type="dxa" w:w="2891"/>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Mandatory</w:t>
            </w:r>
          </w:p>
        </w:tc>
      </w:tr>
      <w:tr>
        <w:trPr>
          <w:cantSplit/>
        </w:trPr>
        <w:tc>
          <w:tcPr>
            <w:tcW w:type="dxa" w:w="77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18</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Reference to the stored suitability statement given to the customer</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Mandatory</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SUIT-R21</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OBL-DP-02</w:t>
            </w:r>
            <w:r>
              <w:rPr>
                <w:b w:val="false"/>
                <w:bCs w:val="false"/>
                <w:i w:val="false"/>
                <w:iCs w:val="false"/>
                <w:color w:val="0F6E6E"/>
                <w:sz w:val="15"/>
                <w:szCs w:val="15"/>
              </w:rPr>
              <w:br/>
              <w:t xml:space="preserve">OBL-INS-02</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assessment MUST NOT be created without a valid solicitation consent.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an assessment with no such consent: refused. This is the consent fail-closed rule applied at the suitability boundary.</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SUIT-R22</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OBL-INS-03</w:t>
            </w:r>
            <w:r>
              <w:rPr>
                <w:b w:val="false"/>
                <w:bCs w:val="false"/>
                <w:i w:val="false"/>
                <w:iCs w:val="false"/>
                <w:color w:val="0F6E6E"/>
                <w:sz w:val="15"/>
                <w:szCs w:val="15"/>
              </w:rPr>
              <w:br/>
              <w:t xml:space="preserve">OBL-INS-04</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human-readable suitability statement MUST be produced at the time of assessment and stored unalterably. It is the document shown to the customer and retained for audit.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assessment has a resolvable statement, and that statement contains all sixteen inputs, the computed values, and every outcome with its reasons.</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SUIT-R23</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OBL-INS-05</w:t>
            </w:r>
            <w:r>
              <w:rPr>
                <w:b w:val="false"/>
                <w:bCs w:val="false"/>
                <w:i w:val="false"/>
                <w:iCs w:val="false"/>
                <w:color w:val="0F6E6E"/>
                <w:sz w:val="15"/>
                <w:szCs w:val="15"/>
              </w:rPr>
              <w:br/>
              <w:t xml:space="preserve">OBL-DP-07</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store MUST be append-only, on the same terms as the consent store. No update and no delete by any application identity.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Update and delete by the application’s database account fail on privilege, not on application logic.</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SUIT-R23a</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OBL-INS-05</w:t>
            </w:r>
            <w:r>
              <w:rPr>
                <w:b w:val="false"/>
                <w:bCs w:val="false"/>
                <w:i w:val="false"/>
                <w:iCs w:val="false"/>
                <w:color w:val="0F6E6E"/>
                <w:sz w:val="15"/>
                <w:szCs w:val="15"/>
              </w:rPr>
              <w:br/>
              <w:t xml:space="preserve">OBL-DP-07</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change of assessment status — expiry, invalidation or supersession — MUST be recorded as a new status record referencing the assessment, never as an edit to the original. Each status record carries the new status, the reason, the time and what caused it.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Expire an assessment. The original record is byte-for-byte unchanged and a new status record exists referencing it.</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SUIT-R23b</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OBL-INS-05</w:t>
            </w:r>
            <w:r>
              <w:rPr>
                <w:b w:val="false"/>
                <w:bCs w:val="false"/>
                <w:i w:val="false"/>
                <w:iCs w:val="false"/>
                <w:color w:val="0F6E6E"/>
                <w:sz w:val="15"/>
                <w:szCs w:val="15"/>
              </w:rPr>
              <w:br/>
              <w:t xml:space="preserve">OBL-DP-07</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current status of an assessment MUST be derivable from its records with no ambiguity: exactly one record is the head of the chain, determined by the highest sequence number for that assessment. The gate MUST read the head, never the original.</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For any assessment, exactly one record is the head. Expire an assessment and assert the gate refuses on the head status while the original record still reads as it did when written.</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SUIT-R24</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OBL-INS-05</w:t>
            </w:r>
            <w:r>
              <w:rPr>
                <w:b w:val="false"/>
                <w:bCs w:val="false"/>
                <w:i w:val="false"/>
                <w:iCs w:val="false"/>
                <w:color w:val="0F6E6E"/>
                <w:sz w:val="15"/>
                <w:szCs w:val="15"/>
              </w:rPr>
              <w:br/>
              <w:t xml:space="preserve">OBL-REC-01</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Retention: seven years, write-once, in an India region, on the same terms as consent evidence.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same test as the consent retention rules in Volume 2, §10.</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SUIT-R24a</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OBL-INS-05</w:t>
            </w:r>
            <w:r>
              <w:rPr>
                <w:b w:val="false"/>
                <w:bCs w:val="false"/>
                <w:i w:val="false"/>
                <w:iCs w:val="false"/>
                <w:color w:val="0F6E6E"/>
                <w:sz w:val="15"/>
                <w:szCs w:val="15"/>
              </w:rPr>
              <w:br/>
              <w:t xml:space="preserve">OBL-REC-01</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an assessment is reused across journeys, retention MUST be anchored to the terminal state of the LAST journey that referenced it, not the first. The retention clock MUST restart on each new usage record, and MUST never shorten.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Reuse an assessment across two journeys terminating three months apart. The computed retention expiry equals the later terminal date plus seven years. Re-run after adding a third, later usage: the expiry moves out, never in.</w:t>
            </w:r>
          </w:p>
        </w:tc>
      </w:tr>
    </w:tbl>
    <w:p>
      <w:pPr>
        <w:pStyle w:val="Heading2"/>
        <w:keepNext/>
        <w:keepLines/>
        <w:pageBreakBefore/>
        <w:spacing w:after="120" w:before="0"/>
      </w:pPr>
      <w:r>
        <w:rPr>
          <w:b/>
          <w:bCs/>
          <w:color w:val="11304E"/>
          <w:sz w:val="24"/>
          <w:szCs w:val="24"/>
        </w:rPr>
        <w:t xml:space="preserve">6.  The gate before quote</w:t>
      </w:r>
    </w:p>
    <w:p>
      <w:pPr>
        <w:spacing w:after="120" w:before="0" w:line="276"/>
        <w:jc w:val="left"/>
      </w:pPr>
      <w:r>
        <w:rPr>
          <w:b w:val="false"/>
          <w:bCs w:val="false"/>
          <w:i w:val="false"/>
          <w:iCs w:val="false"/>
          <w:color w:val="222629"/>
          <w:sz w:val="20"/>
          <w:szCs w:val="20"/>
        </w:rPr>
        <w:t xml:space="preserve">All nine refusal cases are mandatory tests of the built service. Cases 8 and 9 exist because a disclosure that the journey merely displays, without the gate checking that it was acknowledged, is a disclosure the customer can be walked past.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482"/>
        <w:gridCol w:w="3855"/>
        <w:gridCol w:w="1446"/>
        <w:gridCol w:w="3855"/>
      </w:tblGrid>
      <w:tr>
        <w:trPr>
          <w:cantSplit/>
          <w:tblHeader/>
        </w:trPr>
        <w:tc>
          <w:tcPr>
            <w:tcW w:type="dxa" w:w="48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t>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Condition</w:t>
            </w:r>
          </w:p>
        </w:tc>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Result</w:t>
            </w:r>
          </w:p>
        </w:tc>
        <w:tc>
          <w:tcPr>
            <w:tcW w:type="dxa" w:w="385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Reason code</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1</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 assessment identifier on the request</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SUITABILITY_EVALUATION_REQUIRED</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2</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identifier does not exist</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SUITABILITY_EVALUATION_NOT_FOUND</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3</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is older than 30 days</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SUITABILITY_EVALUATION_EXPIRED</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4</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belongs to a different customer</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SUITABILITY_SUBJECT_MISMATCH — plus a security event</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5</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outcome for the requested class is not suitable</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PRODUCT_CLASS_NOT_SUITABLE</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6</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outcome is insufficient data</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SUITABILITY_INSUFFICIENT_DATA</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7</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assessment is invalidated, expired or superseded</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SUITABILITY_EVALUATION_INVALID</w:t>
            </w:r>
          </w:p>
        </w:tc>
      </w:tr>
      <w:tr>
        <w:trPr>
          <w:cantSplit/>
        </w:trPr>
        <w:tc>
          <w:tcPr>
            <w:tcW w:type="dxa" w:w="48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8</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outcome for the requested class is suitable with caution, and no acknowledgement of those exact reason codes exists for this customer and assessment</w:t>
            </w:r>
          </w:p>
        </w:tc>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CAUTION_ACKNOWLEDGEMENT_REQUIRED</w:t>
            </w:r>
          </w:p>
        </w:tc>
      </w:tr>
      <w:tr>
        <w:trPr>
          <w:cantSplit/>
        </w:trPr>
        <w:tc>
          <w:tcPr>
            <w:tcW w:type="dxa" w:w="48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9</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customer is replacing an existing policy and no replacement acknowledgement exists for this assessment</w:t>
            </w:r>
          </w:p>
        </w:tc>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Refused</w:t>
            </w:r>
          </w:p>
        </w:tc>
        <w:tc>
          <w:tcPr>
            <w:tcW w:type="dxa" w:w="385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REPLACEMENT_DISCLOSURE_REQUIRED</w:t>
            </w:r>
          </w:p>
        </w:tc>
      </w:tr>
    </w:tbl>
    <w:p>
      <w:pPr>
        <w:spacing w:after="12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SUIT-R25</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MUST be enforced server-side at the quote interface — not in the screen, not in the layer serving the screen alone, and not at the insurer aggregator.</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Call the quote interface directly, bypassing the screen and its serving layer, with no assessment identifier. Refused.</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SUIT-R26</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MUST fail closed. If the assessment service is unavailable, quotes are refused, not permitted.</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Take the assessment service down; quote requests are refused and no quote is generated.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SUIT-R27</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code implementing the gate MUST hold complete branch coverage, with no waiver available to any authority.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coverage report filtered to the gate shows every branch exercised.</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SUIT-R28</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Every refusal by the gate MUST emit an audit event carrying the actor, the customer, the product class, the assessment identifier if any, and the reason.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each of the nine cases; nine audit events exist with nine distinct reasons.</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SUIT-R28a</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MUST verify the two acknowledgements itself, server-side, and MUST compare the acknowledged reason codes against the reason codes the assessment actually produced. An acknowledgement of different reasons, or of an earlier assessment, MUST NOT satisfy the gate.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Acknowledge reason A, then request a quote for a class whose outcome carries reasons A and B: refused. Acknowledge against a superseded assessment: refused. Acknowledge both reasons against the current assessment: permitted.</w:t>
            </w:r>
          </w:p>
        </w:tc>
      </w:tr>
    </w:tbl>
    <w:p>
      <w:pPr>
        <w:spacing w:after="12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SUIT-R26 is the rule that prevents the classic failure</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 gate that fails open under load is a gate that is absent exactly when volume is highest — which is also when the volume of unsuitable sales would be highest.</w:t>
      </w:r>
    </w:p>
    <w:p>
      <w:pPr>
        <w:pStyle w:val="Heading2"/>
        <w:keepNext/>
        <w:keepLines/>
        <w:pageBreakBefore/>
        <w:spacing w:after="120" w:before="0"/>
      </w:pPr>
      <w:r>
        <w:rPr>
          <w:b/>
          <w:bCs/>
          <w:color w:val="11304E"/>
          <w:sz w:val="24"/>
          <w:szCs w:val="24"/>
        </w:rPr>
        <w:t xml:space="preserve">7.  Invalidation, re-assessment and reuse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SUIT-R29</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OBL-INS-03</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Thirty days after assessment, the status becomes expired.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an assessment past 30 days; its status changes and the gate refuses it.</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SUIT-R30</w:t>
            </w:r>
            <w:r>
              <w:rPr>
                <w:b w:val="false"/>
                <w:bCs w:val="false"/>
                <w:i w:val="false"/>
                <w:iCs w:val="false"/>
                <w:color w:val="0F6E6E"/>
                <w:sz w:val="15"/>
                <w:szCs w:val="15"/>
              </w:rPr>
              <w:t xml:space="preserve"/>
            </w:r>
            <w:r>
              <w:rPr>
                <w:b w:val="false"/>
                <w:bCs w:val="false"/>
                <w:i w:val="false"/>
                <w:iCs w:val="false"/>
                <w:color w:val="0F6E6E"/>
                <w:sz w:val="15"/>
                <w:szCs w:val="15"/>
              </w:rPr>
              <w:br/>
              <w:t xml:space="preserve">OBL-DP-04</w:t>
            </w:r>
            <w:r>
              <w:rPr>
                <w:b w:val="false"/>
                <w:bCs w:val="false"/>
                <w:i w:val="false"/>
                <w:iCs w:val="false"/>
                <w:color w:val="0F6E6E"/>
                <w:sz w:val="15"/>
                <w:szCs w:val="15"/>
              </w:rPr>
              <w:br/>
              <w:t xml:space="preserve">OBL-INS-02</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of the solicitation consent invalidates the assessment.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 the consent; the assessment status becomes invalidated with the reason recorded.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SUIT-R31</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OBL-INS-03</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new assessment for the same customer supersedes the previous one, which must then be used no further.</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Create a second assessment; the first is marked superseded and the gate accepts only the new identifier.</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SUIT-R32</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OBL-INS-03</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material change to the questionnaire or the algorithm invalidates all active assessments made under the earlier version.</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Publish a material version change; active assessments under the prior version are invalidated with the reason recorded.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SUIT-R33</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OBL-INS-03</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customer reports a change to income, dependants, existing cover or liabilities, staff MUST re-assess. The platform offers the path; it cannot detect the change.</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re-assessment path is available from the journey at any point before quote.</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SUIT-R34</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OBL-INS-03</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assessment whose journey has reached submitted-proposal MUST NOT be invalidated by expiry or by a model version change.</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Age such an assessment past 30 days; the proposal in flight is unaffected and retains its evidence.</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SUIT-R35</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OBL-INS-05</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active assessment MAY be reused across journeys for the same customer within its 30-day window.</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Abandon one journey and start another 10 days later for the same customer; the existing assessment is reused with no repeat questionnaire.</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SUIT-R36</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OBL-INS-05</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assessment MUST NOT be reused across customers under any circumstances.</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Covered by case 4 of the gate test matrix in §6.</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SUIT-R37</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OBL-INS-02</w:t>
            </w:r>
            <w:r>
              <w:rPr>
                <w:b w:val="false"/>
                <w:bCs w:val="false"/>
                <w:i w:val="false"/>
                <w:iCs w:val="false"/>
                <w:color w:val="0F6E6E"/>
                <w:sz w:val="15"/>
                <w:szCs w:val="15"/>
              </w:rPr>
              <w:br/>
              <w:t xml:space="preserve">OBL-INS-05</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Each reuse MUST be recorded — the journey, the time, and the acting identity.</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Reuse an assessment across two journeys; two usage records exist.</w:t>
            </w:r>
          </w:p>
        </w:tc>
      </w:tr>
    </w:tbl>
    <w:p>
      <w:pPr>
        <w:spacing w:after="120"/>
      </w:pPr>
      <w:r>
        <w:t xml:space="preserve"/>
      </w:r>
    </w:p>
    <w:p>
      <w:pPr>
        <w:keepNext/>
        <w:keepLines/>
        <w:pBdr>
          <w:top w:val="single" w:color="F1F5F8" w:sz="2" w:space="8"/>
          <w:left w:val="single" w:color="0F6E6E" w:sz="18" w:space="10"/>
          <w:right w:val="single" w:color="F1F5F8" w:sz="2" w:space="10"/>
        </w:pBdr>
        <w:shd w:fill="F1F5F8" w:color="auto" w:val="clear"/>
        <w:spacing w:after="100" w:before="140" w:line="276"/>
        <w:ind w:left="200" w:right="200"/>
      </w:pPr>
      <w:r>
        <w:rPr>
          <w:b/>
          <w:bCs/>
          <w:i w:val="false"/>
          <w:iCs w:val="false"/>
          <w:color w:val="0F6E6E"/>
          <w:sz w:val="20"/>
          <w:szCs w:val="20"/>
        </w:rPr>
        <w:t xml:space="preserve">Why SUIT-R34 exists</w:t>
      </w:r>
    </w:p>
    <w:p>
      <w:pPr>
        <w:keepNext w:val="false"/>
        <w:keepLines/>
        <w:pBdr>
          <w:bottom w:val="single" w:color="F1F5F8" w:sz="2" w:space="8"/>
          <w:left w:val="single" w:color="0F6E6E"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A submitted proposal is a completed regulated act. Retrospectively invalidating the basis on which it was made creates a contradiction in the audit record rather than a control. This mirrors the equivalent consent rule, CNS-R05.</w:t>
      </w:r>
    </w:p>
    <w:p>
      <w:pPr>
        <w:pStyle w:val="Heading2"/>
        <w:keepNext/>
        <w:keepLines/>
        <w:pageBreakBefore/>
        <w:spacing w:after="120" w:before="0"/>
      </w:pPr>
      <w:r>
        <w:rPr>
          <w:b/>
          <w:bCs/>
          <w:color w:val="11304E"/>
          <w:sz w:val="24"/>
          <w:szCs w:val="24"/>
        </w:rPr>
        <w:t xml:space="preserve">8.  What may never be overridden</w:t>
      </w:r>
    </w:p>
    <w:p>
      <w:pPr>
        <w:spacing w:after="120" w:before="0" w:line="276"/>
        <w:jc w:val="left"/>
      </w:pPr>
      <w:r>
        <w:rPr>
          <w:b w:val="false"/>
          <w:bCs w:val="false"/>
          <w:i w:val="false"/>
          <w:iCs w:val="false"/>
          <w:color w:val="222629"/>
          <w:sz w:val="20"/>
          <w:szCs w:val="20"/>
        </w:rPr>
        <w:t xml:space="preserve">This is the area where a suitability control usually fails in practice, because a bank that makes overriding easy has an advisory process with a bypass button.</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SUIT-R38</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OBL-INS-08</w:t>
            </w:r>
            <w:r>
              <w:rPr>
                <w:b w:val="false"/>
                <w:bCs w:val="false"/>
                <w:i w:val="false"/>
                <w:iCs w:val="false"/>
                <w:color w:val="0F6E6E"/>
                <w:sz w:val="15"/>
                <w:szCs w:val="15"/>
              </w:rPr>
              <w:br/>
              <w:t xml:space="preserve">OBL-INS-02</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not-suitable outcome MUST NOT be overridden by any actor at any level in the first release. There is no override route, no approval workflow and no configuration switch. The quote is refused.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an override through every route — screen, interface, administrative console, direct service call. All four refused. The absence of a feature is proven by attempting to use it.</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SUIT-R39</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OBL-INS-08</w:t>
            </w:r>
            <w:r>
              <w:rPr>
                <w:b w:val="false"/>
                <w:bCs w:val="false"/>
                <w:i w:val="false"/>
                <w:iCs w:val="false"/>
                <w:color w:val="0F6E6E"/>
                <w:sz w:val="15"/>
                <w:szCs w:val="15"/>
              </w:rPr>
              <w:br/>
              <w:t xml:space="preserve">OBL-INS-02</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insufficient-data outcome MUST NOT be overridden. The missing input is obtained, or the journey stops.</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Attempt to proceed with a missing derived input: refused.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SUIT-R40</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OBL-INS-08</w:t>
            </w:r>
            <w:r>
              <w:rPr>
                <w:b w:val="false"/>
                <w:bCs w:val="false"/>
                <w:i w:val="false"/>
                <w:iCs w:val="false"/>
                <w:color w:val="0F6E6E"/>
                <w:sz w:val="15"/>
                <w:szCs w:val="15"/>
              </w:rPr>
              <w:br/>
              <w:t xml:space="preserve">OBL-INS-02</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gate itself MUST NOT be disableable by feature flag, configuration, environment setting or request header in any environment holding customer data.</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Search the built system for any conditional capable of disabling the gate: none exists. Attempt to pass a bypass header in the test environment: refused.</w:t>
            </w:r>
          </w:p>
        </w:tc>
      </w:tr>
    </w:tbl>
    <w:p>
      <w:pPr>
        <w:spacing w:after="120"/>
      </w:pPr>
      <w:r>
        <w:t xml:space="preserve"/>
      </w:r>
    </w:p>
    <w:p>
      <w:pPr>
        <w:pStyle w:val="Heading2"/>
        <w:keepNext/>
        <w:keepLines/>
        <w:pageBreakBefore/>
        <w:spacing w:after="120" w:before="0"/>
      </w:pPr>
      <w:r>
        <w:rPr>
          <w:b/>
          <w:bCs/>
          <w:color w:val="11304E"/>
          <w:sz w:val="24"/>
          <w:szCs w:val="24"/>
        </w:rPr>
        <w:t xml:space="preserve">9.  Caution outcomes — proceed with disclosure, not with override</w:t>
      </w:r>
    </w:p>
    <w:p>
      <w:pPr>
        <w:spacing w:after="120" w:before="0" w:line="276"/>
        <w:jc w:val="left"/>
      </w:pPr>
      <w:r>
        <w:rPr>
          <w:b w:val="false"/>
          <w:bCs w:val="false"/>
          <w:i w:val="false"/>
          <w:iCs w:val="false"/>
          <w:color w:val="222629"/>
          <w:sz w:val="20"/>
          <w:szCs w:val="20"/>
        </w:rPr>
        <w:t xml:space="preserve">A caution outcome is not an exception. It permits the quote, and it obliges a disclosure.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SUIT-R41</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OBL-INS-04</w:t>
            </w:r>
            <w:r>
              <w:rPr>
                <w:b w:val="false"/>
                <w:bCs w:val="false"/>
                <w:i w:val="false"/>
                <w:iCs w:val="false"/>
                <w:color w:val="0F6E6E"/>
                <w:sz w:val="15"/>
                <w:szCs w:val="15"/>
              </w:rPr>
              <w:br/>
              <w:t xml:space="preserve">OBL-INS-08</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any product class returns a caution outcome, the customer MUST be shown the specific caution reason in plain language before proceeding, and MUST acknowledge it.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Trigger an affordability caution; the disclosure names the affordability concern specifically, not a generic warning.</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SUIT-R42</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OBL-INS-04</w:t>
            </w:r>
            <w:r>
              <w:rPr>
                <w:b w:val="false"/>
                <w:bCs w:val="false"/>
                <w:i w:val="false"/>
                <w:iCs w:val="false"/>
                <w:color w:val="0F6E6E"/>
                <w:sz w:val="15"/>
                <w:szCs w:val="15"/>
              </w:rPr>
              <w:br/>
              <w:t xml:space="preserve">OBL-INS-08</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acknowledgement MUST be captured on the customer’s own device with the same verification as consent.</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Staff cannot acknowledge a caution disclosure on the staff device.</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SUIT-R43</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OBL-INS-04</w:t>
            </w:r>
            <w:r>
              <w:rPr>
                <w:b w:val="false"/>
                <w:bCs w:val="false"/>
                <w:i w:val="false"/>
                <w:iCs w:val="false"/>
                <w:color w:val="0F6E6E"/>
                <w:sz w:val="15"/>
                <w:szCs w:val="15"/>
              </w:rPr>
              <w:br/>
              <w:t xml:space="preserve">OBL-INS-08</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acknowledgement record MUST carry the reasons acknowledged, the disclosure text and its version, the time, and the verification transaction.</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the record; all fields present.</w:t>
            </w:r>
          </w:p>
        </w:tc>
      </w:tr>
    </w:tbl>
    <w:p>
      <w:pPr>
        <w:spacing w:after="120"/>
      </w:pPr>
      <w:r>
        <w:t xml:space="preserve"/>
      </w:r>
    </w:p>
    <w:p>
      <w:pPr>
        <w:pStyle w:val="Heading2"/>
        <w:keepNext/>
        <w:keepLines/>
        <w:spacing w:after="120" w:before="300"/>
      </w:pPr>
      <w:r>
        <w:rPr>
          <w:b/>
          <w:bCs/>
          <w:color w:val="11304E"/>
          <w:sz w:val="24"/>
          <w:szCs w:val="24"/>
        </w:rPr>
        <w:t xml:space="preserve">10.  Customer-initiated deviation</w:t>
      </w:r>
    </w:p>
    <w:p>
      <w:pPr>
        <w:spacing w:after="120" w:before="0" w:line="276"/>
        <w:jc w:val="left"/>
      </w:pPr>
      <w:r>
        <w:rPr>
          <w:b w:val="false"/>
          <w:bCs w:val="false"/>
          <w:i w:val="false"/>
          <w:iCs w:val="false"/>
          <w:color w:val="222629"/>
          <w:sz w:val="20"/>
          <w:szCs w:val="20"/>
        </w:rPr>
        <w:t xml:space="preserve">A customer may want a product the model did not put first, where that product is nonetheless permitted for them. This is legitimate and is not an override.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SUIT-R44</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OBL-INS-08</w:t>
            </w:r>
            <w:r>
              <w:rPr>
                <w:b w:val="false"/>
                <w:bCs w:val="false"/>
                <w:i w:val="false"/>
                <w:iCs w:val="false"/>
                <w:color w:val="0F6E6E"/>
                <w:sz w:val="15"/>
                <w:szCs w:val="15"/>
              </w:rPr>
              <w:br/>
              <w:t xml:space="preserve">OBL-INS-05</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This model determines eligibility per product class. It does not rank products and it does not name a single recommended product; no ranking or recommendation value exists on the assessment record. The customer MAY select any product whose class outcome permits a quote, and the selection MUST be recorded with the class, its outcome and its reason codes.</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Retrieve an assessment: no ranking or recommended-product field exists. Select an eligible product; the class, outcome and reasons are recorded against the journey.</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SUIT-R44a</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OBL-INS-08</w:t>
            </w:r>
            <w:r>
              <w:rPr>
                <w:b w:val="false"/>
                <w:bCs w:val="false"/>
                <w:i w:val="false"/>
                <w:iCs w:val="false"/>
                <w:color w:val="0F6E6E"/>
                <w:sz w:val="15"/>
                <w:szCs w:val="15"/>
              </w:rPr>
              <w:br/>
              <w:t xml:space="preserve">OBL-INS-05</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customer selects a product in a class whose outcome is suitable with caution, while another class assessed at the same time returned an unqualified suitable, the selection MUST be recorded as a diverged selection with a customer-stated reason. This is a deterministic comparison of outcomes, not a judgement about which product was better.</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Construct an assessment returning suitable for term cover and caution for unit-linked. Select the unit-linked product: the divergence flag and the customer-stated reason persist. Select the term product: no divergence is recorded.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SUIT-R45</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OBL-INS-08</w:t>
            </w:r>
            <w:r>
              <w:rPr>
                <w:b w:val="false"/>
                <w:bCs w:val="false"/>
                <w:i w:val="false"/>
                <w:iCs w:val="false"/>
                <w:color w:val="0F6E6E"/>
                <w:sz w:val="15"/>
                <w:szCs w:val="15"/>
              </w:rPr>
              <w:br/>
              <w:t xml:space="preserve">OBL-INS-05</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diverged selection MUST NOT change the outcome of any class. The model result is immutable evidence of what was assessed.</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After a divergence, re-read the assessment; the outcomes are unchanged.</w:t>
            </w:r>
          </w:p>
        </w:tc>
      </w:tr>
    </w:tbl>
    <w:p>
      <w:pPr>
        <w:spacing w:after="120"/>
      </w:pPr>
      <w:r>
        <w:t xml:space="preserve"/>
      </w:r>
    </w:p>
    <w:p>
      <w:pPr>
        <w:pStyle w:val="Heading2"/>
        <w:keepNext/>
        <w:keepLines/>
        <w:spacing w:after="120" w:before="300"/>
      </w:pPr>
      <w:r>
        <w:rPr>
          <w:b/>
          <w:bCs/>
          <w:color w:val="11304E"/>
          <w:sz w:val="24"/>
          <w:szCs w:val="24"/>
        </w:rPr>
        <w:t xml:space="preserve">11.  Replacement of an existing policy</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SUIT-R46</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OBL-INS-07</w:t>
            </w:r>
            <w:r>
              <w:rPr>
                <w:b w:val="false"/>
                <w:bCs w:val="false"/>
                <w:i w:val="false"/>
                <w:iCs w:val="false"/>
                <w:color w:val="0F6E6E"/>
                <w:sz w:val="15"/>
                <w:szCs w:val="15"/>
              </w:rPr>
              <w:br/>
              <w:t xml:space="preserve">OBL-INS-04</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customer is replacing an existing policy, a replacement disclosure MUST be presented and acknowledged on the customer’s device before any quote, covering loss of accrued benefit, fresh waiting and contestability periods, and the risk of re-underwriting.</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Set the replacement answer to yes; the quote is refused until the replacement acknowledgement exists.</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SUIT-R47</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OBL-INS-07</w:t>
            </w:r>
            <w:r>
              <w:rPr>
                <w:b w:val="false"/>
                <w:bCs w:val="false"/>
                <w:i w:val="false"/>
                <w:iCs w:val="false"/>
                <w:color w:val="0F6E6E"/>
                <w:sz w:val="15"/>
                <w:szCs w:val="15"/>
              </w:rPr>
              <w:br/>
              <w:t xml:space="preserve">OBL-INS-04</w:t>
            </w:r>
          </w:p>
        </w:tc>
        <w:tc>
          <w:tcPr>
            <w:tcW w:type="dxa" w:w="453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Replacement cases MUST be flagged for post-sale operations review.</w:t>
            </w:r>
          </w:p>
        </w:tc>
        <w:tc>
          <w:tcPr>
            <w:tcW w:type="dxa" w:w="3662"/>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review task exists for every such journey.</w:t>
            </w:r>
          </w:p>
        </w:tc>
      </w:tr>
    </w:tbl>
    <w:p>
      <w:pPr>
        <w:spacing w:after="120"/>
      </w:pPr>
      <w:r>
        <w:t xml:space="preserve"/>
      </w:r>
    </w:p>
    <w:p>
      <w:pPr>
        <w:pStyle w:val="Heading2"/>
        <w:keepNext/>
        <w:keepLines/>
        <w:spacing w:after="120" w:before="300"/>
      </w:pPr>
      <w:r>
        <w:rPr>
          <w:b/>
          <w:bCs/>
          <w:color w:val="11304E"/>
          <w:sz w:val="24"/>
          <w:szCs w:val="24"/>
        </w:rPr>
        <w:t xml:space="preserve">12.  The one exception that does exist</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4530"/>
        <w:gridCol w:w="3662"/>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w:t>
            </w:r>
          </w:p>
        </w:tc>
        <w:tc>
          <w:tcPr>
            <w:tcW w:type="dxa" w:w="453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Normative statement</w:t>
            </w:r>
          </w:p>
        </w:tc>
        <w:tc>
          <w:tcPr>
            <w:tcW w:type="dxa" w:w="3662"/>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conformance will be demonstrated</w:t>
            </w:r>
          </w:p>
        </w:tc>
      </w:tr>
      <w:tr>
        <w:trPr>
          <w:cantSplit/>
        </w:trPr>
        <w:tc>
          <w:tcPr>
            <w:tcW w:type="dxa" w:w="1446"/>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SUIT-R48</w:t>
            </w:r>
            <w:r>
              <w:rPr>
                <w:b w:val="false"/>
                <w:bCs w:val="false"/>
                <w:i w:val="false"/>
                <w:iCs w:val="false"/>
                <w:color w:val="0F6E6E"/>
                <w:sz w:val="15"/>
                <w:szCs w:val="15"/>
              </w:rPr>
              <w:t xml:space="preserve"/>
            </w:r>
            <w:r>
              <w:rPr>
                <w:b w:val="false"/>
                <w:bCs w:val="false"/>
                <w:i w:val="false"/>
                <w:iCs w:val="false"/>
                <w:color w:val="0F6E6E"/>
                <w:sz w:val="15"/>
                <w:szCs w:val="15"/>
              </w:rPr>
              <w:br/>
              <w:t xml:space="preserve">OBL-INS-08</w:t>
            </w:r>
            <w:r>
              <w:rPr>
                <w:b w:val="false"/>
                <w:bCs w:val="false"/>
                <w:i w:val="false"/>
                <w:iCs w:val="false"/>
                <w:color w:val="0F6E6E"/>
                <w:sz w:val="15"/>
                <w:szCs w:val="15"/>
              </w:rPr>
              <w:br/>
              <w:t xml:space="preserve">OBL-INS-03</w:t>
            </w:r>
          </w:p>
        </w:tc>
        <w:tc>
          <w:tcPr>
            <w:tcW w:type="dxa" w:w="453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the business believes an assessment is wrong because of a defect in the model — not because the answer is inconvenient — the route is a defect report against the algorithm version, raised to Product and Compliance and resolved by publishing a corrected version under change control. It is never resolved for an individual customer in flight.</w:t>
            </w:r>
          </w:p>
        </w:tc>
        <w:tc>
          <w:tcPr>
            <w:tcW w:type="dxa" w:w="3662"/>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defect route exists and is documented; no per-customer correction route exists on any surface.</w:t>
            </w:r>
          </w:p>
        </w:tc>
      </w:tr>
    </w:tbl>
    <w:p>
      <w:pPr>
        <w:spacing w:after="12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The reasoning behind SUIT-R48</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Per-case exceptions to a suitability model are indistinguishable, at audit, from mis-selling. A model that is wrong for one customer is wrong for a population, and the correct remedy operates on the population.</w:t>
      </w:r>
    </w:p>
    <w:p>
      <w:pPr>
        <w:pStyle w:val="Heading2"/>
        <w:keepNext/>
        <w:keepLines/>
        <w:spacing w:after="120" w:before="300"/>
      </w:pPr>
      <w:r>
        <w:rPr>
          <w:b/>
          <w:bCs/>
          <w:color w:val="11304E"/>
          <w:sz w:val="24"/>
          <w:szCs w:val="24"/>
        </w:rPr>
        <w:t xml:space="preserve">13.  Traceability</w:t>
      </w:r>
    </w:p>
    <w:p>
      <w:pPr>
        <w:spacing w:after="120" w:before="0" w:line="276"/>
        <w:jc w:val="left"/>
      </w:pPr>
      <w:r>
        <w:rPr>
          <w:b w:val="false"/>
          <w:bCs w:val="false"/>
          <w:i w:val="false"/>
          <w:iCs w:val="false"/>
          <w:color w:val="222629"/>
          <w:sz w:val="20"/>
          <w:szCs w:val="20"/>
        </w:rPr>
        <w:t xml:space="preserve">Which obligation each group of rules serves. The obligation codes are defined in Appendix A; every individual rule also prints its own codes beneath its identifier.</w:t>
      </w:r>
    </w:p>
    <w:p>
      <w:pPr>
        <w:spacing w:after="60"/>
      </w:pPr>
      <w:r>
        <w:t xml:space="preserve"/>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446"/>
        <w:gridCol w:w="3181"/>
        <w:gridCol w:w="2891"/>
        <w:gridCol w:w="2120"/>
      </w:tblGrid>
      <w:tr>
        <w:trPr>
          <w:cantSplit/>
          <w:tblHeader/>
        </w:trPr>
        <w:tc>
          <w:tcPr>
            <w:tcW w:type="dxa" w:w="144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Rules</w:t>
            </w:r>
          </w:p>
        </w:tc>
        <w:tc>
          <w:tcPr>
            <w:tcW w:type="dxa" w:w="318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Obligations served</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group is for</w:t>
            </w:r>
          </w:p>
        </w:tc>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When it will be proven</w:t>
            </w:r>
          </w:p>
        </w:tc>
      </w:tr>
      <w:tr>
        <w:trPr>
          <w:cantSplit/>
        </w:trPr>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SUIT-R01 – R04</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OBL-INS-02, OBL-INS-03, OBL-DP-08</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documented analysis of the customer’s needs, recorded accurately</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SUIT-R05 – R08</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OBL-INS-02, OBL-INS-03, OBL-INS-05, OBL-INS-08</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Advice that is deterministic and reproducible years later</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SUIT-R09 – R19c</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OBL-INS-02, OBL-INS-08</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the product recommended is suitable, with no gap in the decision table</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SUIT-R20 – R28a</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OBL-INS-02</w:t>
            </w:r>
          </w:p>
        </w:tc>
        <w:tc>
          <w:tcPr>
            <w:tcW w:type="dxa" w:w="2891"/>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Suitability assessed before any quote is shown — the obligation the whole pack exists to discharge</w:t>
            </w:r>
          </w:p>
        </w:tc>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First end-to-end test, with complete branch coverage</w:t>
            </w:r>
          </w:p>
        </w:tc>
      </w:tr>
      <w:tr>
        <w:trPr>
          <w:cantSplit/>
        </w:trPr>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SUIT-R21 – R24a</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OBL-DP-02, OBL-DP-07, OBL-INS-03, OBL-INS-04, OBL-INS-05, OBL-REC-01</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record that evidences the assessment, and its preservation</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SUIT-R29 – R37</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OBL-DP-04, OBL-INS-02, OBL-INS-03, OBL-INS-05</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advice relied on in a sale is current advice</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SUIT-R38 – R40</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OBL-INS-02, OBL-INS-08</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That an unsuitable recommendation cannot be pushed through</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 then hardening before pilot</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SUIT-R41 – R43</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OBL-INS-04, OBL-INS-08</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Pre-sale disclosure where the match is qualified</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SUIT-R44 – R45</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OBL-INS-05, OBL-INS-08</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customer’s own choice recorded as such, without altering the assessment</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SUIT-R46 – R47</w:t>
            </w:r>
          </w:p>
        </w:tc>
        <w:tc>
          <w:tcPr>
            <w:tcW w:type="dxa" w:w="318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OBL-INS-04, OBL-INS-07</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Disclosure and post-sale review where a policy is being replaced</w:t>
            </w:r>
          </w:p>
        </w:tc>
        <w:tc>
          <w:tcPr>
            <w:tcW w:type="dxa" w:w="2120"/>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First end-to-end test</w:t>
            </w:r>
          </w:p>
        </w:tc>
      </w:tr>
      <w:tr>
        <w:trPr>
          <w:cantSplit/>
        </w:trPr>
        <w:tc>
          <w:tcPr>
            <w:tcW w:type="dxa" w:w="144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SUIT-R48</w:t>
            </w:r>
          </w:p>
        </w:tc>
        <w:tc>
          <w:tcPr>
            <w:tcW w:type="dxa" w:w="318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OBL-INS-03, OBL-INS-08</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model defect corrected for the population, never for one customer in flight</w:t>
            </w:r>
          </w:p>
        </w:tc>
        <w:tc>
          <w:tcPr>
            <w:tcW w:type="dxa" w:w="2120"/>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Change control</w:t>
            </w:r>
          </w:p>
        </w:tc>
      </w:tr>
    </w:tbl>
    <w:p>
      <w:pPr>
        <w:spacing w:after="120"/>
      </w:pPr>
      <w:r>
        <w:t xml:space="preserve"/>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What this table cannot yet tell you</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It maps rules to obligations Product has identified. It does not prove those obligations apply, and in one case — OBL-INS-02, the suitability obligation itself — whether this model discharges it at all is the open question that blocks approval of the algorithm. See Volume 1, §10, OPEN-SUIT-01.</w:t>
      </w:r>
    </w:p>
    <w:p>
      <w:pPr>
        <w:pStyle w:val="Heading2"/>
        <w:keepNext/>
        <w:keepLines/>
        <w:spacing w:after="120" w:before="300"/>
      </w:pPr>
      <w:r>
        <w:rPr>
          <w:b/>
          <w:bCs/>
          <w:color w:val="11304E"/>
          <w:sz w:val="24"/>
          <w:szCs w:val="24"/>
        </w:rPr>
        <w:t xml:space="preserve">14.  What this pack does not decide</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5976"/>
        <w:gridCol w:w="2313"/>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w:t>
            </w:r>
          </w:p>
        </w:tc>
        <w:tc>
          <w:tcPr>
            <w:tcW w:type="dxa" w:w="5976"/>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Open item</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Owner</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OPEN-SUIT-01</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income-multiple table and age factors discharge the suitability obligation, or whether a prescribed model applies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OPEN-SUIT-02</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 not-suitable outcome may ever be overridden with senior authorisation in a later release — the position for the first release is never</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the executive sponsor</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OPEN-SUIT-03</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approved wording of the caution and replacement disclosures</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 with Legal</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OPEN-SUIT-04</w:t>
            </w:r>
          </w:p>
        </w:tc>
        <w:tc>
          <w:tcPr>
            <w:tcW w:type="dxa" w:w="5976"/>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the 30-day validity window is acceptable</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Compliance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OPEN-SUIT-05</w:t>
            </w:r>
          </w:p>
        </w:tc>
        <w:tc>
          <w:tcPr>
            <w:tcW w:type="dxa" w:w="5976"/>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any insurer on the panel imposes suitability requirements exceeding this model</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Bancassurance with Compliance</w:t>
            </w:r>
          </w:p>
        </w:tc>
      </w:tr>
    </w:tbl>
    <w:p>
      <w:pPr>
        <w:spacing w:after="100"/>
      </w:pPr>
      <w:r>
        <w:t xml:space="preserve"/>
      </w:r>
    </w:p>
    <w:p>
      <w:pPr>
        <w:spacing w:after="120" w:before="0" w:line="276"/>
        <w:jc w:val="left"/>
      </w:pPr>
      <w:r>
        <w:rPr>
          <w:b w:val="false"/>
          <w:bCs w:val="false"/>
          <w:i/>
          <w:iCs/>
          <w:color w:val="222629"/>
          <w:sz w:val="20"/>
          <w:szCs w:val="20"/>
        </w:rPr>
        <w:t xml:space="preserve">None of these blocks building the Suitability Service. All five are calibration or wording questions over a model whose structure, storage, gate and failure behaviour they do not change.</w:t>
      </w:r>
    </w:p>
    <w:p>
      <w:pPr>
        <w:pStyle w:val="Heading1"/>
        <w:keepNext/>
        <w:keepLines/>
        <w:pageBreakBefore/>
        <w:pBdr>
          <w:bottom w:val="single" w:color="0F6E6E" w:sz="8" w:space="6"/>
        </w:pBdr>
        <w:spacing w:after="160" w:before="0"/>
      </w:pPr>
      <w:r>
        <w:rPr>
          <w:b/>
          <w:bCs/>
          <w:color w:val="11304E"/>
          <w:sz w:val="30"/>
          <w:szCs w:val="30"/>
        </w:rPr>
        <w:t xml:space="preserve">Appendix A — Regulatory register</w:t>
      </w:r>
    </w:p>
    <w:p>
      <w:pPr>
        <w:keepNext/>
        <w:keepLines/>
        <w:pBdr>
          <w:top w:val="single" w:color="F1F5F8" w:sz="2" w:space="8"/>
          <w:left w:val="single" w:color="9B2226" w:sz="18" w:space="10"/>
          <w:right w:val="single" w:color="F1F5F8" w:sz="2" w:space="10"/>
        </w:pBdr>
        <w:shd w:fill="F1F5F8" w:color="auto" w:val="clear"/>
        <w:spacing w:after="100" w:before="140" w:line="276"/>
        <w:ind w:left="200" w:right="200"/>
      </w:pPr>
      <w:r>
        <w:rPr>
          <w:b/>
          <w:bCs/>
          <w:i w:val="false"/>
          <w:iCs w:val="false"/>
          <w:color w:val="9B2226"/>
          <w:sz w:val="20"/>
          <w:szCs w:val="20"/>
        </w:rPr>
        <w:t xml:space="preserve">Read this before reading the register</w:t>
      </w:r>
    </w:p>
    <w:p>
      <w:pPr>
        <w:keepNext w:val="false"/>
        <w:keepLines/>
        <w:pBdr>
          <w:bottom w:val="single" w:color="F1F5F8" w:sz="2" w:space="8"/>
          <w:left w:val="single" w:color="9B2226" w:sz="18" w:space="10"/>
          <w:right w:val="single" w:color="F1F5F8" w:sz="2" w:space="10"/>
        </w:pBdr>
        <w:shd w:fill="F1F5F8" w:color="auto" w:val="clear"/>
        <w:spacing w:after="140" w:before="0" w:line="276"/>
        <w:ind w:left="200" w:right="200"/>
      </w:pPr>
      <w:r>
        <w:rPr>
          <w:b w:val="false"/>
          <w:bCs w:val="false"/>
          <w:i w:val="false"/>
          <w:iCs w:val="false"/>
          <w:color w:val="222629"/>
          <w:sz w:val="20"/>
          <w:szCs w:val="20"/>
        </w:rPr>
        <w:t xml:space="preserve">Every instrument named in this register is Product’s identification of the likely source. None has been verified by Compliance or Legal, no provision pointer has been checked against the text in force, and no applicability determination has been made for this entity in its distribution capacity. Nothing here may be relied on as a citation until Compliance completes the status column.</w:t>
      </w:r>
    </w:p>
    <w:p>
      <w:pPr>
        <w:spacing w:after="140"/>
      </w:pPr>
      <w:r>
        <w:t xml:space="preserve"/>
      </w:r>
    </w:p>
    <w:p>
      <w:pPr>
        <w:spacing w:after="120" w:before="0" w:line="276"/>
        <w:jc w:val="left"/>
      </w:pPr>
      <w:r>
        <w:rPr>
          <w:b w:val="false"/>
          <w:bCs w:val="false"/>
          <w:i w:val="false"/>
          <w:iCs w:val="false"/>
          <w:color w:val="222629"/>
          <w:sz w:val="20"/>
          <w:szCs w:val="20"/>
        </w:rPr>
        <w:t xml:space="preserve">Each rule in this submission carries one or more of the codes below, printed beneath the rule identifier. The code says which obligation the rule is there to serve. Where a rule carries no code, no external obligation is claimed for it and it is Product design.</w:t>
      </w:r>
    </w:p>
    <w:p>
      <w:pPr>
        <w:spacing w:after="60"/>
      </w:pPr>
      <w:r>
        <w:t xml:space="preserve"/>
      </w:r>
    </w:p>
    <w:p>
      <w:pPr>
        <w:pStyle w:val="Heading2"/>
        <w:keepNext/>
        <w:keepLines/>
        <w:spacing w:after="100" w:before="220"/>
      </w:pPr>
      <w:r>
        <w:rPr>
          <w:b/>
          <w:bCs/>
          <w:color w:val="0F6E6E"/>
          <w:sz w:val="21"/>
          <w:szCs w:val="21"/>
        </w:rPr>
        <w:t xml:space="preserve">Data protection</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Notice: an itemised notice describing the personal data and the purpose must be given before, or at the time of, seeking consent.</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Notice provision (understood to be s.5). Provision and current amendment status to be confirmed.</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Valid consent: free, specific, informed, unconditional and unambiguous, given by a clear affirmative action, and limited to the data necessary for the stated purpose.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provision (understood to be s.6(1)). To be confirmed.</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Form of the request: clear and plain language, available in English or a language in the Eighth Schedule, with contact details of a person able to answer.</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s.6(3). To be confirmed.</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Withdrawal: the customer may withdraw consent at any time, with ease comparable to giving it, and processing must stop within a reasonable time.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s.6(4) to s.6(6). To be confirmed.</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OBL-DP-05</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Consent Manager: consent may be given, managed, reviewed and withdrawn through a registered Consent Manager.</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s.6(7) to s.6(9). Applicability depends on notification — see OPEN-CNS-05.</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OBL-DP-06</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Purpose limitation and erasure: erase personal data once the purpose is no longer served, unless retention is required by law.</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s.8(7). Interaction with insurance record-preservation is a live question — see §6.5.</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OBL-DP-07</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Reasonable security safeguards to prevent a personal data breach.</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s.8(5). To be confirmed.</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OBL-DP-08</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Accuracy and completeness where the data is used to make a decision affecting the customer, or is disclosed to another data fiduciary.</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s.8(3). Directly relevant: a suitability assessment is such a decision, and it is disclosed to an insurer.</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OBL-DP-09</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Accountability: the data fiduciary remains responsible for compliance, including for processing carried out by a processor on its behalf.</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s.8(1). Bears on the aggregator and cloud arrangements — see §6.1.</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OBL-DP-10</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Digital Personal Data Protection Act, 2023</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An effective grievance redressal mechanism must be published and operated.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Understood to be s.8(10) with s.13. To be confirmed.</w:t>
            </w:r>
          </w:p>
        </w:tc>
      </w:tr>
    </w:tbl>
    <w:p>
      <w:pPr>
        <w:spacing w:after="160"/>
      </w:pPr>
      <w:r>
        <w:t xml:space="preserve"/>
      </w:r>
    </w:p>
    <w:p>
      <w:pPr>
        <w:pStyle w:val="Heading2"/>
        <w:keepNext/>
        <w:keepLines/>
        <w:spacing w:after="100" w:before="220"/>
      </w:pPr>
      <w:r>
        <w:rPr>
          <w:b/>
          <w:bCs/>
          <w:color w:val="0F6E6E"/>
          <w:sz w:val="21"/>
          <w:szCs w:val="21"/>
        </w:rPr>
        <w:t xml:space="preserve">Insurance distribution</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(Registration of Corporate Agents) Regulations, 2015, as amended, and the intermediary framework consolidated by IRDAI in 2024</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Solicitation and servicing of insurance by a corporate agent may be carried out only within the registration held, and only by persons authorised under it.</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the registration actually held by this entity, and its current conditions, are unknown to Product — see §6.1.</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 and the IRDAI Master Circular on Protection of Policyholders’ Interests, 2024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recommendation of a life insurance product must be preceded by a documented analysis of the prospect’s needs and circumstances, and the product recommended must be suitable to them.</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This is the obligation the whole suitability pack exists to discharge. Instrument named at title level; the operative clause, and whether a prescribed assessment format applies, is OPEN-SUIT-01 and blocks the algorithm decision.</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Master Circular on Protection of Policyholders’ Interests, 2024</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analysis must be recorded, retained, and made available to the prospect; a prescribed prospect–product matrix may apply to life products.</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 prescribed matrix applies, and in what form, is unresolved. If it does, it replaces the arithmetic in Volume 3, §3 but not its structure.</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Pre-sale disclosure of material product information, in a form the prospect can understand, before the sale is concluded.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the specific content requirements for a caution disclosure are not established by Product — see OPEN-SUIT-03.</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OBL-INS-05</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 read with the IRDAI (Maintenance of Insurance Records) framework</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Records relating to a policy and its solicitation must be maintained, preserved for a defined period, and produced on request.</w:t>
            </w:r>
          </w:p>
        </w:tc>
        <w:tc>
          <w:tcPr>
            <w:tcW w:type="dxa" w:w="3085"/>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The seven-year period used throughout these packs is carried from the programme baseline and Product has not established its source.</w:t>
            </w:r>
            <w:r>
              <w:rPr>
                <w:b w:val="false"/>
                <w:bCs w:val="false"/>
                <w:i w:val="false"/>
                <w:iCs w:val="false"/>
                <w:color w:val="222629"/>
                <w:sz w:val="18"/>
                <w:szCs w:val="18"/>
              </w:rPr>
              <w:t xml:space="preserve"> The trigger event — record date, policy termination or relationship end — is equally unestablished. See §6.5.</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OBL-INS-06</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(Registration of Corporate Agents) Regulations, 2015, as amended</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Solicitation may be carried out only by a specified person holding a valid certificate, and the identity of that person must be attributable to the sale.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This is why the agent licence identifier is a mandatory field on the consent record.</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OBL-INS-07</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a proposed policy would replace an existing one, the consequences must be disclosed to the prospect before the sale.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the prescribed content of a replacement disclosure is not established by Product.</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OBL-INS-08</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 and IRDAI conduct requirements for intermediaries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product must not be mis-sold; a recommendation must not be driven by the distributor’s remuneration or commercial preference.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at title level. The no-override rule and the exclusion of commission from ranking are Product’s response to this obligation, not a quotation of it.</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OBL-INS-09</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framework for electronic solicitation and insurance self-network platforms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Where solicitation is conducted electronically, the process must identify the prospect, evidence their assent, and preserve the electronic record.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identified only in general terms; the applicable circular for an assisted branch journey on a bank-owned platform needs Compliance to determine.</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OBL-INS-10</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IRDAI (Protection of Policyholders’ Interests, Operations and Allied Matters of Insurers) Regulations, 2024</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grievance redressal mechanism with defined turnaround times must be available to the policyholder.</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Not yet reflected in these packs — raised as a gap in §6.5.</w:t>
            </w:r>
          </w:p>
        </w:tc>
      </w:tr>
    </w:tbl>
    <w:p>
      <w:pPr>
        <w:spacing w:after="160"/>
      </w:pPr>
      <w:r>
        <w:t xml:space="preserve"/>
      </w:r>
    </w:p>
    <w:p>
      <w:pPr>
        <w:pStyle w:val="Heading2"/>
        <w:keepNext/>
        <w:keepLines/>
        <w:spacing w:after="100" w:before="220"/>
      </w:pPr>
      <w:r>
        <w:rPr>
          <w:b/>
          <w:bCs/>
          <w:color w:val="0F6E6E"/>
          <w:sz w:val="21"/>
          <w:szCs w:val="21"/>
        </w:rPr>
        <w:t xml:space="preserve">Banking and outsourcing</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Master Direction on Financial Services provided by Banks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bank undertaking insurance agency business must do so without linking it to any other facility, and without compelling the customer to buy.</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 named at title level. Bears directly on how a relationship-manager-assisted journey may be conducted in a branch.</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directions on outsourcing of financial services by banks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Responsibility for an outsourced activity remains with the bank, and customer data handled by a service provider remains the bank’s responsibility.</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Relevant because insurer traffic passes through an integration intermediary — see §6.1.</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OBL-RBI-03</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Master Direction on Outsourcing of Information Technology Services, 2023, and the RBI Master Direction on IT Governance, Risk, Controls and Assurance Practices, 2023</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Governance, control and assurance requirements over IT services, including those provided by third parties, and over the records they hold.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Instruments named. Applicability to this platform’s hosting and to the aggregator is for Compliance and Architecture jointly.</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OBL-RBI-04</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circular on storage of payment system data (April 2018)</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Payment system data must be stored within India.</w:t>
            </w:r>
          </w:p>
        </w:tc>
        <w:tc>
          <w:tcPr>
            <w:tcW w:type="dxa" w:w="3085"/>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Product has cited this as the likely source of the residency requirement and is not confident it is the right one</w:t>
            </w:r>
            <w:r>
              <w:rPr>
                <w:b w:val="false"/>
                <w:bCs w:val="false"/>
                <w:i w:val="false"/>
                <w:iCs w:val="false"/>
                <w:color w:val="222629"/>
                <w:sz w:val="18"/>
                <w:szCs w:val="18"/>
              </w:rPr>
              <w:t xml:space="preserve">, because these packs concern insurance records rather than payment system data. Compliance should either confirm a different source or reclassify residency as internal policy.</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OBL-RBI-05</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RBI framework for customer protection in unauthorised electronic transactions, and RBI authentication requirements</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Authentication of a customer-authorised transaction must be performed by the customer, and liability turns on whether it was.</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This is the source Product reasons from by analogy for the rule that staff cannot enter the customer’s one-time password. Product does not claim it applies directly to consent.</w:t>
            </w:r>
          </w:p>
        </w:tc>
      </w:tr>
    </w:tbl>
    <w:p>
      <w:pPr>
        <w:spacing w:after="160"/>
      </w:pPr>
      <w:r>
        <w:t xml:space="preserve"/>
      </w:r>
    </w:p>
    <w:p>
      <w:pPr>
        <w:pStyle w:val="Heading2"/>
        <w:keepNext/>
        <w:keepLines/>
        <w:spacing w:after="100" w:before="220"/>
      </w:pPr>
      <w:r>
        <w:rPr>
          <w:b/>
          <w:bCs/>
          <w:color w:val="0F6E6E"/>
          <w:sz w:val="21"/>
          <w:szCs w:val="21"/>
        </w:rPr>
        <w:t xml:space="preserve">Records and other</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OBL-REC-01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Prevention of Money-Laundering (Maintenance of Records) Rules, 2005, as amended</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Records of transactions and of customer identity must be maintained for the prescribed period.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Named because it is a candidate source for a retention period. Product notes the prescribed period here is commonly understood to be five years, which does not match the seven used in these packs — see §6.5.</w:t>
            </w:r>
          </w:p>
        </w:tc>
      </w:tr>
      <w:tr>
        <w:trPr>
          <w:cantSplit/>
        </w:trPr>
        <w:tc>
          <w:tcPr>
            <w:tcW w:type="dxa" w:w="1349"/>
            <w:shd w:fill="F1F5F8" w:color="auto" w:val="clear"/>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OBL-REC-02</w:t>
            </w:r>
          </w:p>
        </w:tc>
        <w:tc>
          <w:tcPr>
            <w:tcW w:type="dxa" w:w="2313"/>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Information Technology Act, 2000, and the rules made under it on reasonable security practices</w:t>
            </w:r>
          </w:p>
        </w:tc>
        <w:tc>
          <w:tcPr>
            <w:tcW w:type="dxa" w:w="2891"/>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Security practices and procedures for sensitive personal data, to the extent still operative alongside the 2023 Act.</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Whether and how far this remains operative after the 2023 Act is a question for Legal.</w:t>
            </w:r>
          </w:p>
        </w:tc>
      </w:tr>
    </w:tbl>
    <w:p>
      <w:pPr>
        <w:spacing w:after="160"/>
      </w:pPr>
      <w:r>
        <w:t xml:space="preserve"/>
      </w:r>
    </w:p>
    <w:p>
      <w:pPr>
        <w:pStyle w:val="Heading2"/>
        <w:keepNext/>
        <w:keepLines/>
        <w:spacing w:after="100" w:before="220"/>
      </w:pPr>
      <w:r>
        <w:rPr>
          <w:b/>
          <w:bCs/>
          <w:color w:val="0F6E6E"/>
          <w:sz w:val="21"/>
          <w:szCs w:val="21"/>
        </w:rPr>
        <w:t xml:space="preserve">Internal</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349"/>
        <w:gridCol w:w="2313"/>
        <w:gridCol w:w="2891"/>
        <w:gridCol w:w="3085"/>
      </w:tblGrid>
      <w:tr>
        <w:trPr>
          <w:cantSplit/>
          <w:tblHeader/>
        </w:trPr>
        <w:tc>
          <w:tcPr>
            <w:tcW w:type="dxa" w:w="1349"/>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Code</w:t>
            </w:r>
          </w:p>
        </w:tc>
        <w:tc>
          <w:tcPr>
            <w:tcW w:type="dxa" w:w="2313"/>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Instrument as identified by Product</w:t>
            </w:r>
          </w:p>
        </w:tc>
        <w:tc>
          <w:tcPr>
            <w:tcW w:type="dxa" w:w="2891"/>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the obligation requires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Citation status — for Compliance to complete</w:t>
            </w:r>
          </w:p>
        </w:tc>
      </w:tr>
      <w:tr>
        <w:trPr>
          <w:cantSplit/>
        </w:trPr>
        <w:tc>
          <w:tcPr>
            <w:tcW w:type="dxa" w:w="1349"/>
            <w:tcMar>
              <w:top w:type="dxa" w:w="90"/>
              <w:left w:type="dxa" w:w="130"/>
              <w:bottom w:type="dxa" w:w="90"/>
              <w:right w:type="dxa" w:w="130"/>
            </w:tcMar>
            <w:vAlign w:val="top"/>
          </w:tcPr>
          <w:p>
            <w:pPr>
              <w:spacing w:after="40" w:before="40" w:line="252"/>
              <w:jc w:val="left"/>
            </w:pPr>
            <w:r>
              <w:rPr>
                <w:b/>
                <w:bCs/>
                <w:i w:val="false"/>
                <w:iCs w:val="false"/>
                <w:color w:val="11304E"/>
                <w:sz w:val="17"/>
                <w:szCs w:val="17"/>
              </w:rPr>
              <w:t xml:space="preserve">OBL-INT-01</w:t>
            </w:r>
          </w:p>
        </w:tc>
        <w:tc>
          <w:tcPr>
            <w:tcW w:type="dxa" w:w="2313"/>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Internal — the programme’s own non-waivable control list</w:t>
            </w:r>
          </w:p>
        </w:tc>
        <w:tc>
          <w:tcPr>
            <w:tcW w:type="dxa" w:w="2891"/>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Controls the programme has resolved that no authority within it may waive, whatever the external position turns out to be.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Binding internally by decision, not by law. Data residency and consent capture where legally required are both on this list.</w:t>
            </w:r>
          </w:p>
        </w:tc>
      </w:tr>
    </w:tbl>
    <w:p>
      <w:pPr>
        <w:pStyle w:val="Heading1"/>
        <w:keepNext/>
        <w:keepLines/>
        <w:pageBreakBefore/>
        <w:pBdr>
          <w:bottom w:val="single" w:color="0F6E6E" w:sz="8" w:space="6"/>
        </w:pBdr>
        <w:spacing w:after="160" w:before="0"/>
      </w:pPr>
      <w:r>
        <w:rPr>
          <w:b/>
          <w:bCs/>
          <w:color w:val="11304E"/>
          <w:sz w:val="30"/>
          <w:szCs w:val="30"/>
        </w:rPr>
        <w:t xml:space="preserve">Appendix B — Terms and internal references</w:t>
      </w:r>
    </w:p>
    <w:p>
      <w:pPr>
        <w:spacing w:after="120" w:before="0" w:line="276"/>
        <w:jc w:val="left"/>
      </w:pPr>
      <w:r>
        <w:rPr>
          <w:b w:val="false"/>
          <w:bCs w:val="false"/>
          <w:i w:val="false"/>
          <w:iCs w:val="false"/>
          <w:color w:val="222629"/>
          <w:sz w:val="20"/>
          <w:szCs w:val="20"/>
        </w:rPr>
        <w:t xml:space="preserve">Part 1 defines the terms used in the rules themselves. Part 2 explains the programme codes that appear anywhere in this set of documents — they are the labels the delivery organisation uses internally, and they are recorded here so that nothing in this approval depends on knowing them. This appendix is identical in all three volumes.</w:t>
      </w:r>
    </w:p>
    <w:p>
      <w:pPr>
        <w:pStyle w:val="Heading2"/>
        <w:keepNext/>
        <w:keepLines/>
        <w:spacing w:after="120" w:before="300"/>
      </w:pPr>
      <w:r>
        <w:rPr>
          <w:b/>
          <w:bCs/>
          <w:color w:val="11304E"/>
          <w:sz w:val="24"/>
          <w:szCs w:val="24"/>
        </w:rPr>
        <w:t xml:space="preserve">Part 1 — Terms used in the rules</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2120"/>
        <w:gridCol w:w="7518"/>
      </w:tblGrid>
      <w:tr>
        <w:trPr>
          <w:cantSplit/>
          <w:tblHeader/>
        </w:trPr>
        <w:tc>
          <w:tcPr>
            <w:tcW w:type="dxa" w:w="2120"/>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Term</w:t>
            </w:r>
          </w:p>
        </w:tc>
        <w:tc>
          <w:tcPr>
            <w:tcW w:type="dxa" w:w="751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Meaning</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Assessment</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completed suitability evaluation for one customer, carrying an outcome for each product class. The rule identifiers call this an evaluation; the two words mean the same thing here.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Consent event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One of the four occasions on which consent is required in the first release: data processing, solicitation, insurer sharing, and servicing communications.</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Existing bank customer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customer who already holds a relationship with the bank, and therefore an existing customer record. The first release serves these customers only, and no one else.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Fail closed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When a control cannot complete, the business action is refused rather than allowed through. The opposite, fail open, permits the action and records the problem for later.</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Hard block, hard gate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refuses the business action rather than warning about it. The suitability check before quote is a hard gate: it does not caution, it refuses.</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Interaction, ceremony</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single customer-facing exchange in which one or more statements are presented and acknowledged, verified by one one-time password sent to the customer’s phone.</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Non-waivable</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control that no authority within the programme may set aside, however senior. Consent capture where it is legally required, and holding data within India, are both on that list.</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One-time password</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numeric code sent to the customer’s registered mobile number, which the customer enters on their own device to confirm an acknowledgement.</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 approved panel</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set of insurers the bank distributes for in the first release, integrated directly. Insurers outside the panel are handled by a controlled redirect and are out of scope.</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Panel-scoped consent</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sharing consent that names every insurer on the panel at the point of capture, later narrowed to one by the customer’s product selection. Proposed in §9; not part of the packs as drafted.</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Protection gap</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Recommended cover less existing cover, floored at zero. The central output of the suitability computation.</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Scope binding</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act of narrowing a panel-scoped sharing consent to one named insurer, evidenced by the customer’s own product selection.</w:t>
            </w:r>
          </w:p>
        </w:tc>
      </w:tr>
      <w:tr>
        <w:trPr>
          <w:cantSplit/>
        </w:trPr>
        <w:tc>
          <w:tcPr>
            <w:tcW w:type="dxa" w:w="2120"/>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identifier</w:t>
            </w:r>
          </w:p>
        </w:tc>
        <w:tc>
          <w:tcPr>
            <w:tcW w:type="dxa" w:w="7518"/>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 of a consent statement, combining the consent code, the language and the version. Its meaning never changes, which is what allows a record to be interpreted years later.</w:t>
            </w:r>
          </w:p>
        </w:tc>
      </w:tr>
      <w:tr>
        <w:trPr>
          <w:cantSplit/>
        </w:trPr>
        <w:tc>
          <w:tcPr>
            <w:tcW w:type="dxa" w:w="2120"/>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Statement version</w:t>
            </w:r>
          </w:p>
        </w:tc>
        <w:tc>
          <w:tcPr>
            <w:tcW w:type="dxa" w:w="7518"/>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A published wording of a consent statement. A material change of meaning creates a new major version; a typographical or formatting correction creates a minor one.</w:t>
            </w:r>
          </w:p>
        </w:tc>
      </w:tr>
    </w:tbl>
    <w:p>
      <w:pPr>
        <w:pStyle w:val="Heading2"/>
        <w:keepNext/>
        <w:keepLines/>
        <w:pageBreakBefore/>
        <w:spacing w:after="120" w:before="0"/>
      </w:pPr>
      <w:r>
        <w:rPr>
          <w:b/>
          <w:bCs/>
          <w:color w:val="11304E"/>
          <w:sz w:val="24"/>
          <w:szCs w:val="24"/>
        </w:rPr>
        <w:t xml:space="preserve">Part 2 — Internal programme references</w:t>
      </w:r>
    </w:p>
    <w:p>
      <w:pPr>
        <w:spacing w:after="120" w:before="0" w:line="276"/>
        <w:jc w:val="left"/>
      </w:pPr>
      <w:r>
        <w:rPr>
          <w:b w:val="false"/>
          <w:bCs w:val="false"/>
          <w:i w:val="false"/>
          <w:iCs w:val="false"/>
          <w:color w:val="222629"/>
          <w:sz w:val="20"/>
          <w:szCs w:val="20"/>
        </w:rPr>
        <w:t xml:space="preserve">These codes belong to the delivery organisation, not to Compliance. Nothing in this approval requires them to be used or understood — they are set out here only so that a reference encountered in a meeting or a status report can be placed.</w:t>
      </w:r>
    </w:p>
    <w:tbl>
      <w:tblPr>
        <w:tblW w:type="dxa" w:w="9638"/>
        <w:tblBorders>
          <w:top w:val="single" w:color="C7D2DC" w:sz="4"/>
          <w:left w:val="single" w:color="C7D2DC" w:sz="4"/>
          <w:bottom w:val="single" w:color="C7D2DC" w:sz="4"/>
          <w:right w:val="single" w:color="C7D2DC" w:sz="4"/>
          <w:insideH w:val="single" w:color="C7D2DC" w:sz="2"/>
          <w:insideV w:val="single" w:color="C7D2DC" w:sz="2"/>
        </w:tblBorders>
      </w:tblPr>
      <w:tblGrid>
        <w:gridCol w:w="1638"/>
        <w:gridCol w:w="4915"/>
        <w:gridCol w:w="3085"/>
      </w:tblGrid>
      <w:tr>
        <w:trPr>
          <w:cantSplit/>
          <w:tblHeader/>
        </w:trPr>
        <w:tc>
          <w:tcPr>
            <w:tcW w:type="dxa" w:w="1638"/>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Reference</w:t>
            </w:r>
          </w:p>
        </w:tc>
        <w:tc>
          <w:tcPr>
            <w:tcW w:type="dxa" w:w="491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What it is</w:t>
            </w:r>
          </w:p>
        </w:tc>
        <w:tc>
          <w:tcPr>
            <w:tcW w:type="dxa" w:w="3085"/>
            <w:shd w:fill="11304E" w:color="auto" w:val="clear"/>
            <w:tcMar>
              <w:top w:type="dxa" w:w="90"/>
              <w:left w:type="dxa" w:w="130"/>
              <w:bottom w:type="dxa" w:w="90"/>
              <w:right w:type="dxa" w:w="130"/>
            </w:tcMar>
            <w:vAlign w:val="center"/>
          </w:tcPr>
          <w:p>
            <w:pPr>
              <w:spacing w:after="40" w:before="40" w:line="252"/>
              <w:jc w:val="left"/>
            </w:pPr>
            <w:r>
              <w:rPr>
                <w:b/>
                <w:bCs/>
                <w:i w:val="false"/>
                <w:iCs w:val="false"/>
                <w:color w:val="FFFFFF"/>
                <w:sz w:val="18"/>
                <w:szCs w:val="18"/>
              </w:rPr>
              <w:t xml:space="preserve">How it is written in this document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R0</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internal label for the first release of the platform — Life products, existing bank customers, relationship-manager assisted.</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first release" throughout.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GAP-006</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in the programme’s issue register recording that the consent rules were not executable.</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one of the two blocking issues.</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GAP-007</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entry recording that the suitability content and override policy were unknown.</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words as the second blocking issue.</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P0</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highest issue severity. An open item at this severity freezes development.</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"Highest severity; development cannot start while it is open."</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S02-G3</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approval checkpoint that requires a consent rule pack reviewed and signed by Compliance before the stage can close.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consent approval checkpoint."</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S02-G4</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equivalent checkpoint for the suitability rule pack.</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suitability approval checkpoint."</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E1, E2, E3, E4</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programme’s four grades of evidence: the document exists; reviewed and signed; run and observed; run, observed and repeatable. This approval produces the second grade.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Described in plain words in Volume 1, §5, without the codes.</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CNS-Rnn, SUIT-Rnn</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permanent identifiers of individual rules in the two packs. These do appear throughout, because they are how a specific rule is amended or cited.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conventions explained in Volume 1, §7.</w:t>
            </w:r>
          </w:p>
        </w:tc>
      </w:tr>
      <w:tr>
        <w:trPr>
          <w:cantSplit/>
        </w:trPr>
        <w:tc>
          <w:tcPr>
            <w:tcW w:type="dxa" w:w="1638"/>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OPEN-CNS-nn, OPEN-SUIT-nn</w:t>
            </w:r>
          </w:p>
        </w:tc>
        <w:tc>
          <w:tcPr>
            <w:tcW w:type="dxa" w:w="491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identifiers of open questions carried out of each pack for Compliance to determine.</w:t>
            </w:r>
          </w:p>
        </w:tc>
        <w:tc>
          <w:tcPr>
            <w:tcW w:type="dxa" w:w="3085"/>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 all are listed in Volume 1, §10.</w:t>
            </w:r>
          </w:p>
        </w:tc>
      </w:tr>
      <w:tr>
        <w:trPr>
          <w:cantSplit/>
        </w:trPr>
        <w:tc>
          <w:tcPr>
            <w:tcW w:type="dxa" w:w="1638"/>
            <w:shd w:fill="F1F5F8" w:color="auto" w:val="clear"/>
            <w:tcMar>
              <w:top w:type="dxa" w:w="90"/>
              <w:left w:type="dxa" w:w="130"/>
              <w:bottom w:type="dxa" w:w="90"/>
              <w:right w:type="dxa" w:w="130"/>
            </w:tcMar>
            <w:vAlign w:val="top"/>
          </w:tcPr>
          <w:p>
            <w:pPr>
              <w:spacing w:after="40" w:before="40" w:line="252"/>
              <w:jc w:val="left"/>
            </w:pPr>
            <w:r>
              <w:rPr>
                <w:b/>
                <w:bCs/>
                <w:i w:val="false"/>
                <w:iCs w:val="false"/>
                <w:color w:val="222629"/>
                <w:sz w:val="18"/>
                <w:szCs w:val="18"/>
              </w:rPr>
              <w:t xml:space="preserve">SUIT-ALGO-LIFE-v1.1</w:t>
            </w:r>
          </w:p>
        </w:tc>
        <w:tc>
          <w:tcPr>
            <w:tcW w:type="dxa" w:w="491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The version identifier of the suitability algorithm being submitted. It is recorded on every assessment so that any past assessment can be reproduced.</w:t>
            </w:r>
          </w:p>
        </w:tc>
        <w:tc>
          <w:tcPr>
            <w:tcW w:type="dxa" w:w="3085"/>
            <w:shd w:fill="F1F5F8" w:color="auto" w:val="clear"/>
            <w:tcMar>
              <w:top w:type="dxa" w:w="90"/>
              <w:left w:type="dxa" w:w="130"/>
              <w:bottom w:type="dxa" w:w="90"/>
              <w:right w:type="dxa" w:w="130"/>
            </w:tcMar>
            <w:vAlign w:val="top"/>
          </w:tcPr>
          <w:p>
            <w:pPr>
              <w:spacing w:after="40" w:before="40" w:line="252"/>
              <w:jc w:val="left"/>
            </w:pPr>
            <w:r>
              <w:rPr>
                <w:b w:val="false"/>
                <w:bCs w:val="false"/>
                <w:i w:val="false"/>
                <w:iCs w:val="false"/>
                <w:color w:val="222629"/>
                <w:sz w:val="18"/>
                <w:szCs w:val="18"/>
              </w:rPr>
              <w:t xml:space="preserve">Used as written.</w:t>
            </w:r>
          </w:p>
        </w:tc>
      </w:tr>
    </w:tbl>
    <w:p>
      <w:pPr>
        <w:spacing w:after="200"/>
      </w:pPr>
      <w:r>
        <w:t xml:space="preserve"/>
      </w:r>
    </w:p>
    <w:p>
      <w:pPr>
        <w:pBdr>
          <w:top w:val="single" w:color="C7D2DC" w:sz="6" w:space="8"/>
        </w:pBdr>
        <w:spacing w:before="200"/>
      </w:pPr>
      <w:r>
        <w:rPr>
          <w:b w:val="false"/>
          <w:bCs w:val="false"/>
          <w:i/>
          <w:iCs/>
          <w:color w:val="5A6570"/>
          <w:sz w:val="17"/>
          <w:szCs w:val="17"/>
        </w:rPr>
        <w:t xml:space="preserve">Volume 3 of 3 — Suitability Rule Pack · Prepared for the Principal Insurance Platform Product Owner · AU Bank Insurance Distribution Platform · 17 August 2026 · Approval reference COMP-APPROVE-CNS-SUIT-v1.1</w:t>
      </w:r>
    </w:p>
    <w:sectPr>
      <w:headerReference w:type="default" r:id="rId7"/>
      <w:footerReference w:type="default" r:id="rId8"/>
      <w:pgSz w:w="11906" w:h="16838" w:orient="portrait"/>
      <w:pgMar w:top="1191" w:right="1134" w:bottom="1418" w:left="1134" w:header="624"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4"/>
        <w:sz w:val="15"/>
        <w:szCs w:val="15"/>
      </w:rPr>
      <w:t xml:space="preserve">Internal — Compliance, Product, Delivery   |   Page </w:t>
    </w:r>
    <w:r>
      <w:rPr>
        <w:color w:val="7A8794"/>
        <w:sz w:val="15"/>
        <w:szCs w:val="15"/>
      </w:rPr>
      <w:fldChar w:fldCharType="begin"/>
      <w:instrText xml:space="preserve">PAGE</w:instrText>
      <w:fldChar w:fldCharType="separate"/>
      <w:fldChar w:fldCharType="end"/>
    </w:r>
    <w:r>
      <w:rPr>
        <w:color w:val="7A8794"/>
        <w:sz w:val="15"/>
        <w:szCs w:val="15"/>
      </w:rPr>
      <w:t xml:space="preserve"> of </w:t>
    </w:r>
    <w:r>
      <w:rPr>
        <w:color w:val="7A8794"/>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C" w:sz="4" w:space="4"/>
      </w:pBdr>
      <w:jc w:val="right"/>
    </w:pPr>
    <w:r>
      <w:rPr>
        <w:color w:val="7A8794"/>
        <w:sz w:val="15"/>
        <w:szCs w:val="15"/>
      </w:rPr>
      <w:t xml:space="preserve">Volume 3 — Suitability Rule Pack  ·  Consent &amp; Suitability Compliance Approval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9"/>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Approval — Volume 3, Suitability Rule Pack</dc:title>
  <dc:creator>Rajal — Principal Insurance Platform Product Owner</dc:creator>
  <dc:description>Compliance approval sought before development, to close GAP-006 and GAP-007 and pass S02-G3 and S02-G4</dc:description>
  <cp:lastModifiedBy>Un-named</cp:lastModifiedBy>
  <cp:revision>1</cp:revision>
  <dcterms:created xsi:type="dcterms:W3CDTF">2026-08-24T05:59:00.084Z</dcterms:created>
  <dcterms:modified xsi:type="dcterms:W3CDTF">2026-08-24T05:59:00.084Z</dcterms:modified>
</cp:coreProperties>
</file>

<file path=docProps/custom.xml><?xml version="1.0" encoding="utf-8"?>
<Properties xmlns="http://schemas.openxmlformats.org/officeDocument/2006/custom-properties" xmlns:vt="http://schemas.openxmlformats.org/officeDocument/2006/docPropsVTypes"/>
</file>