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t xml:space="preserve"/>
      </w:r>
    </w:p>
    <w:p>
      <w:pPr>
        <w:spacing w:after="60" w:before="0" w:line="276"/>
        <w:jc w:val="left"/>
      </w:pPr>
      <w:r>
        <w:rPr>
          <w:b/>
          <w:bCs/>
          <w:i w:val="false"/>
          <w:iCs w:val="false"/>
          <w:color w:val="0F6E6E"/>
          <w:sz w:val="18"/>
          <w:szCs w:val="18"/>
        </w:rPr>
        <w:t xml:space="preserve">AU BANK  |  INSURANCE DISTRIBUTION PLATFORM</w:t>
      </w:r>
    </w:p>
    <w:p>
      <w:pPr>
        <w:spacing w:after="400" w:before="0" w:line="276"/>
        <w:jc w:val="left"/>
      </w:pPr>
      <w:r>
        <w:rPr>
          <w:b w:val="false"/>
          <w:bCs w:val="false"/>
          <w:i w:val="false"/>
          <w:iCs w:val="false"/>
          <w:color w:val="5A6570"/>
          <w:sz w:val="18"/>
          <w:szCs w:val="18"/>
        </w:rPr>
        <w:t xml:space="preserve">Volume 2 of 3  ·  Reference volume, read alongside Decision Schedule A</w:t>
      </w:r>
    </w:p>
    <w:p>
      <w:pPr>
        <w:spacing w:after="140" w:line="640"/>
      </w:pPr>
      <w:r>
        <w:rPr>
          <w:b/>
          <w:bCs/>
          <w:i w:val="false"/>
          <w:iCs w:val="false"/>
          <w:color w:val="11304E"/>
          <w:sz w:val="52"/>
          <w:szCs w:val="52"/>
        </w:rPr>
        <w:t xml:space="preserve">Consent Rule Pack</w:t>
      </w:r>
    </w:p>
    <w:p>
      <w:pPr>
        <w:spacing w:after="220" w:line="500"/>
      </w:pPr>
      <w:r>
        <w:rPr>
          <w:b/>
          <w:bCs/>
          <w:i w:val="false"/>
          <w:iCs w:val="false"/>
          <w:color w:val="0F6E6E"/>
          <w:sz w:val="40"/>
          <w:szCs w:val="40"/>
        </w:rPr>
        <w:t xml:space="preserve">The 42 rules, in full</w:t>
      </w:r>
    </w:p>
    <w:p>
      <w:pPr>
        <w:pBdr>
          <w:bottom w:val="single" w:color="11304E" w:sz="12" w:space="8"/>
        </w:pBdr>
        <w:spacing w:after="260"/>
      </w:pPr>
      <w:r>
        <w:rPr>
          <w:b w:val="false"/>
          <w:bCs w:val="false"/>
          <w:i/>
          <w:iCs/>
          <w:color w:val="445260"/>
          <w:sz w:val="22"/>
          <w:szCs w:val="22"/>
        </w:rPr>
        <w:t xml:space="preserve">The complete text of what Decision Schedule A in Volume 1 asks Compliance to approve</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2120"/>
        <w:gridCol w:w="7518"/>
      </w:tblGrid>
      <w:tr>
        <w:trPr>
          <w:cantSplit/>
          <w:tblHeader/>
        </w:trPr>
        <w:tc>
          <w:tcPr>
            <w:tcW w:type="dxa" w:w="2120"/>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Field</w:t>
            </w:r>
          </w:p>
        </w:tc>
        <w:tc>
          <w:tcPr>
            <w:tcW w:type="dxa" w:w="7518"/>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Detail</w:t>
            </w:r>
          </w:p>
        </w:tc>
      </w:tr>
      <w:tr>
        <w:trPr>
          <w:cantSplit/>
        </w:trPr>
        <w:tc>
          <w:tcPr>
            <w:tcW w:type="dxa" w:w="212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Volume</w:t>
            </w:r>
          </w:p>
        </w:tc>
        <w:tc>
          <w:tcPr>
            <w:tcW w:type="dxa" w:w="7518"/>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Volume 2 of 3 — Consent Rule Pack</w:t>
            </w:r>
            <w:r>
              <w:rPr>
                <w:b w:val="false"/>
                <w:bCs w:val="false"/>
                <w:i w:val="false"/>
                <w:iCs w:val="false"/>
                <w:color w:val="222629"/>
                <w:sz w:val="18"/>
                <w:szCs w:val="18"/>
              </w:rPr>
              <w:t xml:space="preserve"/>
            </w:r>
            <w:r>
              <w:rPr>
                <w:b w:val="false"/>
                <w:bCs w:val="false"/>
                <w:i w:val="false"/>
                <w:iCs w:val="false"/>
                <w:color w:val="222629"/>
                <w:sz w:val="18"/>
                <w:szCs w:val="18"/>
              </w:rPr>
              <w:br/>
              <w:t xml:space="preserve">Approval reference COMP-APPROVE-CNS-SUIT-v1.1</w:t>
            </w:r>
          </w:p>
        </w:tc>
      </w:tr>
      <w:tr>
        <w:trPr>
          <w:cantSplit/>
        </w:trPr>
        <w:tc>
          <w:tcPr>
            <w:tcW w:type="dxa" w:w="212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Read with</w:t>
            </w:r>
          </w:p>
        </w:tc>
        <w:tc>
          <w:tcPr>
            <w:tcW w:type="dxa" w:w="751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Volume 1 — Decision Pack, Decision Schedule A (§8). That schedule is where the approval is recorded; this volume is what it refers to.</w:t>
            </w:r>
          </w:p>
          <w:p>
            <w:r>
              <w:t xml:space="preserve">Open companion file: </w:t>
            </w:r>
            <w:hyperlink r:id="rId10">
              <w:r>
                <w:rPr>
                  <w:color w:val="0563C1"/>
                  <w:u w:val="single"/>
                </w:rPr>
                <w:t>Volume 1 — Decision Pack</w:t>
              </w:r>
            </w:hyperlink>
          </w:p>
        </w:tc>
      </w:tr>
      <w:tr>
        <w:trPr>
          <w:cantSplit/>
        </w:trPr>
        <w:tc>
          <w:tcPr>
            <w:tcW w:type="dxa" w:w="212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Contains</w:t>
            </w:r>
          </w:p>
        </w:tc>
        <w:tc>
          <w:tcPr>
            <w:tcW w:type="dxa" w:w="751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42 rules — CNS-R01 to CNS-R38 with four sub-numbered rules added at v1.1 — in 13 sections, together with the consent events, the 24-field evidence record and the failure behaviour they govern</w:t>
            </w:r>
          </w:p>
        </w:tc>
      </w:tr>
      <w:tr>
        <w:trPr>
          <w:cantSplit/>
        </w:trPr>
        <w:tc>
          <w:tcPr>
            <w:tcW w:type="dxa" w:w="212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Rules proposed in addition</w:t>
            </w:r>
          </w:p>
        </w:tc>
        <w:tc>
          <w:tcPr>
            <w:tcW w:type="dxa" w:w="751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Six further rules are proposed in Volume 1, §11 (CNS-R12a, CNS-R12b, an amendment to CNS-R22, and CNS-R22b to CNS-R22d). They are not part of this volume, because they are not yet part of the pack.</w:t>
            </w:r>
          </w:p>
        </w:tc>
      </w:tr>
      <w:tr>
        <w:trPr>
          <w:cantSplit/>
        </w:trPr>
        <w:tc>
          <w:tcPr>
            <w:tcW w:type="dxa" w:w="212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Development status</w:t>
            </w:r>
          </w:p>
        </w:tc>
        <w:tc>
          <w:tcPr>
            <w:tcW w:type="dxa" w:w="7518"/>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The Consent Service does not exist. </w:t>
            </w:r>
            <w:r>
              <w:rPr>
                <w:b w:val="false"/>
                <w:bCs w:val="false"/>
                <w:i w:val="false"/>
                <w:iCs w:val="false"/>
                <w:color w:val="222629"/>
                <w:sz w:val="18"/>
                <w:szCs w:val="18"/>
              </w:rPr>
              <w:t xml:space="preserve">It is held behind a build freeze pending this approval. See Volume 1, §3 for the full and less comfortable position on what has already been built.</w:t>
            </w:r>
          </w:p>
        </w:tc>
      </w:tr>
      <w:tr>
        <w:trPr>
          <w:cantSplit/>
        </w:trPr>
        <w:tc>
          <w:tcPr>
            <w:tcW w:type="dxa" w:w="212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Scope</w:t>
            </w:r>
          </w:p>
        </w:tc>
        <w:tc>
          <w:tcPr>
            <w:tcW w:type="dxa" w:w="751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first release — Life distribution assisted by a relationship manager, to existing bank customers, through the approved insurer panel</w:t>
            </w:r>
          </w:p>
        </w:tc>
      </w:tr>
      <w:tr>
        <w:trPr>
          <w:cantSplit/>
        </w:trPr>
        <w:tc>
          <w:tcPr>
            <w:tcW w:type="dxa" w:w="212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Date issued</w:t>
            </w:r>
          </w:p>
        </w:tc>
        <w:tc>
          <w:tcPr>
            <w:tcW w:type="dxa" w:w="751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17 August 2026</w:t>
            </w:r>
          </w:p>
        </w:tc>
      </w:tr>
      <w:tr>
        <w:trPr>
          <w:cantSplit/>
        </w:trPr>
        <w:tc>
          <w:tcPr>
            <w:tcW w:type="dxa" w:w="212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Classification</w:t>
            </w:r>
          </w:p>
        </w:tc>
        <w:tc>
          <w:tcPr>
            <w:tcW w:type="dxa" w:w="751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Internal — Compliance, Product, Delivery</w:t>
            </w:r>
          </w:p>
        </w:tc>
      </w:tr>
    </w:tbl>
    <w:p>
      <w:bookmarkStart w:id="1" w:name="toc"/>
      <w:pPr>
        <w:pStyle w:val="Heading1"/>
        <w:keepNext/>
        <w:keepLines/>
        <w:pageBreakBefore/>
        <w:pBdr>
          <w:bottom w:val="single" w:color="0F6E6E" w:sz="8" w:space="6"/>
        </w:pBdr>
        <w:spacing w:after="160" w:before="0"/>
      </w:pPr>
      <w:r>
        <w:rPr>
          <w:b/>
          <w:bCs/>
          <w:color w:val="11304E"/>
          <w:sz w:val="30"/>
          <w:szCs w:val="30"/>
        </w:rPr>
        <w:t xml:space="preserve">Contents of this volume</w:t>
      </w:r>
      <w:bookmarkEnd w:id="1"/>
    </w:p>
    <w:p>
      <w:pPr>
        <w:spacing w:after="70" w:before="0" w:line="276"/>
        <w:jc w:val="left"/>
      </w:pPr>
      <w:hyperlink w:anchor="sec_002" w:history="1">
        <w:r>
          <w:rPr>
            <w:b/>
            <w:bCs/>
            <w:i w:val="false"/>
            <w:iCs w:val="false"/>
            <w:color w:val="0F6E6E"/>
            <w:sz w:val="20"/>
            <w:szCs w:val="20"/>
            <w:color w:val="0563C1"/>
            <w:u w:val="single"/>
          </w:rPr>
          <w:t xml:space="preserve">1.  </w:t>
        </w:r>
        <w:r>
          <w:rPr>
            <w:b w:val="false"/>
            <w:bCs w:val="false"/>
            <w:i w:val="false"/>
            <w:iCs w:val="false"/>
            <w:color w:val="222629"/>
            <w:sz w:val="20"/>
            <w:szCs w:val="20"/>
            <w:color w:val="0563C1"/>
            <w:u w:val="single"/>
          </w:rPr>
          <w:t xml:space="preserve">Consent events in the first release</w:t>
        </w:r>
      </w:hyperlink>
    </w:p>
    <w:p>
      <w:pPr>
        <w:spacing w:after="70" w:before="0" w:line="276"/>
        <w:jc w:val="left"/>
      </w:pPr>
      <w:hyperlink w:anchor="sec_003" w:history="1">
        <w:r>
          <w:rPr>
            <w:b/>
            <w:bCs/>
            <w:i w:val="false"/>
            <w:iCs w:val="false"/>
            <w:color w:val="0F6E6E"/>
            <w:sz w:val="20"/>
            <w:szCs w:val="20"/>
            <w:color w:val="0563C1"/>
            <w:u w:val="single"/>
          </w:rPr>
          <w:t xml:space="preserve">2.  </w:t>
        </w:r>
        <w:r>
          <w:rPr>
            <w:b w:val="false"/>
            <w:bCs w:val="false"/>
            <w:i w:val="false"/>
            <w:iCs w:val="false"/>
            <w:color w:val="222629"/>
            <w:sz w:val="20"/>
            <w:szCs w:val="20"/>
            <w:color w:val="0563C1"/>
            <w:u w:val="single"/>
          </w:rPr>
          <w:t xml:space="preserve">Statement identity and versioning</w:t>
        </w:r>
      </w:hyperlink>
    </w:p>
    <w:p>
      <w:pPr>
        <w:spacing w:after="70" w:before="0" w:line="276"/>
        <w:jc w:val="left"/>
      </w:pPr>
      <w:hyperlink w:anchor="sec_004" w:history="1">
        <w:r>
          <w:rPr>
            <w:b/>
            <w:bCs/>
            <w:i w:val="false"/>
            <w:iCs w:val="false"/>
            <w:color w:val="0F6E6E"/>
            <w:sz w:val="20"/>
            <w:szCs w:val="20"/>
            <w:color w:val="0563C1"/>
            <w:u w:val="single"/>
          </w:rPr>
          <w:t xml:space="preserve">3.  </w:t>
        </w:r>
        <w:r>
          <w:rPr>
            <w:b w:val="false"/>
            <w:bCs w:val="false"/>
            <w:i w:val="false"/>
            <w:iCs w:val="false"/>
            <w:color w:val="222629"/>
            <w:sz w:val="20"/>
            <w:szCs w:val="20"/>
            <w:color w:val="0563C1"/>
            <w:u w:val="single"/>
          </w:rPr>
          <w:t xml:space="preserve">Version change and journeys already in flight</w:t>
        </w:r>
      </w:hyperlink>
    </w:p>
    <w:p>
      <w:pPr>
        <w:spacing w:after="70" w:before="0" w:line="276"/>
        <w:jc w:val="left"/>
      </w:pPr>
      <w:hyperlink w:anchor="sec_005" w:history="1">
        <w:r>
          <w:rPr>
            <w:b/>
            <w:bCs/>
            <w:i w:val="false"/>
            <w:iCs w:val="false"/>
            <w:color w:val="0F6E6E"/>
            <w:sz w:val="20"/>
            <w:szCs w:val="20"/>
            <w:color w:val="0563C1"/>
            <w:u w:val="single"/>
          </w:rPr>
          <w:t xml:space="preserve">4.  </w:t>
        </w:r>
        <w:r>
          <w:rPr>
            <w:b w:val="false"/>
            <w:bCs w:val="false"/>
            <w:i w:val="false"/>
            <w:iCs w:val="false"/>
            <w:color w:val="222629"/>
            <w:sz w:val="20"/>
            <w:szCs w:val="20"/>
            <w:color w:val="0563C1"/>
            <w:u w:val="single"/>
          </w:rPr>
          <w:t xml:space="preserve">Language</w:t>
        </w:r>
      </w:hyperlink>
    </w:p>
    <w:p>
      <w:pPr>
        <w:spacing w:after="70" w:before="0" w:line="276"/>
        <w:jc w:val="left"/>
      </w:pPr>
      <w:hyperlink w:anchor="sec_006" w:history="1">
        <w:r>
          <w:rPr>
            <w:b/>
            <w:bCs/>
            <w:i w:val="false"/>
            <w:iCs w:val="false"/>
            <w:color w:val="0F6E6E"/>
            <w:sz w:val="20"/>
            <w:szCs w:val="20"/>
            <w:color w:val="0563C1"/>
            <w:u w:val="single"/>
          </w:rPr>
          <w:t xml:space="preserve">5.  </w:t>
        </w:r>
        <w:r>
          <w:rPr>
            <w:b w:val="false"/>
            <w:bCs w:val="false"/>
            <w:i w:val="false"/>
            <w:iCs w:val="false"/>
            <w:color w:val="222629"/>
            <w:sz w:val="20"/>
            <w:szCs w:val="20"/>
            <w:color w:val="0563C1"/>
            <w:u w:val="single"/>
          </w:rPr>
          <w:t xml:space="preserve">Capture mechanism by channel</w:t>
        </w:r>
      </w:hyperlink>
    </w:p>
    <w:p>
      <w:pPr>
        <w:spacing w:after="70" w:before="0" w:line="276"/>
        <w:jc w:val="left"/>
      </w:pPr>
      <w:hyperlink w:anchor="sec_007" w:history="1">
        <w:r>
          <w:rPr>
            <w:b/>
            <w:bCs/>
            <w:i w:val="false"/>
            <w:iCs w:val="false"/>
            <w:color w:val="0F6E6E"/>
            <w:sz w:val="20"/>
            <w:szCs w:val="20"/>
            <w:color w:val="0563C1"/>
            <w:u w:val="single"/>
          </w:rPr>
          <w:t xml:space="preserve">6.  </w:t>
        </w:r>
        <w:r>
          <w:rPr>
            <w:b w:val="false"/>
            <w:bCs w:val="false"/>
            <w:i w:val="false"/>
            <w:iCs w:val="false"/>
            <w:color w:val="222629"/>
            <w:sz w:val="20"/>
            <w:szCs w:val="20"/>
            <w:color w:val="0563C1"/>
            <w:u w:val="single"/>
          </w:rPr>
          <w:t xml:space="preserve">The consent evidence record</w:t>
        </w:r>
      </w:hyperlink>
    </w:p>
    <w:p>
      <w:pPr>
        <w:spacing w:after="70" w:before="0" w:line="276"/>
        <w:jc w:val="left"/>
      </w:pPr>
      <w:hyperlink w:anchor="sec_008" w:history="1">
        <w:r>
          <w:rPr>
            <w:b/>
            <w:bCs/>
            <w:i w:val="false"/>
            <w:iCs w:val="false"/>
            <w:color w:val="0F6E6E"/>
            <w:sz w:val="20"/>
            <w:szCs w:val="20"/>
            <w:color w:val="0563C1"/>
            <w:u w:val="single"/>
          </w:rPr>
          <w:t xml:space="preserve">7.  </w:t>
        </w:r>
        <w:r>
          <w:rPr>
            <w:b w:val="false"/>
            <w:bCs w:val="false"/>
            <w:i w:val="false"/>
            <w:iCs w:val="false"/>
            <w:color w:val="222629"/>
            <w:sz w:val="20"/>
            <w:szCs w:val="20"/>
            <w:color w:val="0563C1"/>
            <w:u w:val="single"/>
          </w:rPr>
          <w:t xml:space="preserve">Immutability</w:t>
        </w:r>
      </w:hyperlink>
    </w:p>
    <w:p>
      <w:pPr>
        <w:spacing w:after="70" w:before="0" w:line="276"/>
        <w:jc w:val="left"/>
      </w:pPr>
      <w:hyperlink w:anchor="sec_009" w:history="1">
        <w:r>
          <w:rPr>
            <w:b/>
            <w:bCs/>
            <w:i w:val="false"/>
            <w:iCs w:val="false"/>
            <w:color w:val="0F6E6E"/>
            <w:sz w:val="20"/>
            <w:szCs w:val="20"/>
            <w:color w:val="0563C1"/>
            <w:u w:val="single"/>
          </w:rPr>
          <w:t xml:space="preserve">8.  </w:t>
        </w:r>
        <w:r>
          <w:rPr>
            <w:b w:val="false"/>
            <w:bCs w:val="false"/>
            <w:i w:val="false"/>
            <w:iCs w:val="false"/>
            <w:color w:val="222629"/>
            <w:sz w:val="20"/>
            <w:szCs w:val="20"/>
            <w:color w:val="0563C1"/>
            <w:u w:val="single"/>
          </w:rPr>
          <w:t xml:space="preserve">Validity, expiry and reuse</w:t>
        </w:r>
      </w:hyperlink>
    </w:p>
    <w:p>
      <w:pPr>
        <w:spacing w:after="70" w:before="0" w:line="276"/>
        <w:jc w:val="left"/>
      </w:pPr>
      <w:hyperlink w:anchor="sec_010" w:history="1">
        <w:r>
          <w:rPr>
            <w:b/>
            <w:bCs/>
            <w:i w:val="false"/>
            <w:iCs w:val="false"/>
            <w:color w:val="0F6E6E"/>
            <w:sz w:val="20"/>
            <w:szCs w:val="20"/>
            <w:color w:val="0563C1"/>
            <w:u w:val="single"/>
          </w:rPr>
          <w:t xml:space="preserve">9.  </w:t>
        </w:r>
        <w:r>
          <w:rPr>
            <w:b w:val="false"/>
            <w:bCs w:val="false"/>
            <w:i w:val="false"/>
            <w:iCs w:val="false"/>
            <w:color w:val="222629"/>
            <w:sz w:val="20"/>
            <w:szCs w:val="20"/>
            <w:color w:val="0563C1"/>
            <w:u w:val="single"/>
          </w:rPr>
          <w:t xml:space="preserve">Withdrawal</w:t>
        </w:r>
      </w:hyperlink>
    </w:p>
    <w:p>
      <w:pPr>
        <w:spacing w:after="70" w:before="0" w:line="276"/>
        <w:jc w:val="left"/>
      </w:pPr>
      <w:hyperlink w:anchor="sec_011" w:history="1">
        <w:r>
          <w:rPr>
            <w:b/>
            <w:bCs/>
            <w:i w:val="false"/>
            <w:iCs w:val="false"/>
            <w:color w:val="0F6E6E"/>
            <w:sz w:val="20"/>
            <w:szCs w:val="20"/>
            <w:color w:val="0563C1"/>
            <w:u w:val="single"/>
          </w:rPr>
          <w:t xml:space="preserve">10.  </w:t>
        </w:r>
        <w:r>
          <w:rPr>
            <w:b w:val="false"/>
            <w:bCs w:val="false"/>
            <w:i w:val="false"/>
            <w:iCs w:val="false"/>
            <w:color w:val="222629"/>
            <w:sz w:val="20"/>
            <w:szCs w:val="20"/>
            <w:color w:val="0563C1"/>
            <w:u w:val="single"/>
          </w:rPr>
          <w:t xml:space="preserve">Retention and retrieval</w:t>
        </w:r>
      </w:hyperlink>
    </w:p>
    <w:p>
      <w:pPr>
        <w:spacing w:after="70" w:before="0" w:line="276"/>
        <w:jc w:val="left"/>
      </w:pPr>
      <w:hyperlink w:anchor="sec_012" w:history="1">
        <w:r>
          <w:rPr>
            <w:b/>
            <w:bCs/>
            <w:i w:val="false"/>
            <w:iCs w:val="false"/>
            <w:color w:val="0F6E6E"/>
            <w:sz w:val="20"/>
            <w:szCs w:val="20"/>
            <w:color w:val="0563C1"/>
            <w:u w:val="single"/>
          </w:rPr>
          <w:t xml:space="preserve">11.  </w:t>
        </w:r>
        <w:r>
          <w:rPr>
            <w:b w:val="false"/>
            <w:bCs w:val="false"/>
            <w:i w:val="false"/>
            <w:iCs w:val="false"/>
            <w:color w:val="222629"/>
            <w:sz w:val="20"/>
            <w:szCs w:val="20"/>
            <w:color w:val="0563C1"/>
            <w:u w:val="single"/>
          </w:rPr>
          <w:t xml:space="preserve">Failure behaviour</w:t>
        </w:r>
      </w:hyperlink>
    </w:p>
    <w:p>
      <w:pPr>
        <w:spacing w:after="70" w:before="0" w:line="276"/>
        <w:jc w:val="left"/>
      </w:pPr>
      <w:hyperlink w:anchor="sec_013" w:history="1">
        <w:r>
          <w:rPr>
            <w:b/>
            <w:bCs/>
            <w:i w:val="false"/>
            <w:iCs w:val="false"/>
            <w:color w:val="0F6E6E"/>
            <w:sz w:val="20"/>
            <w:szCs w:val="20"/>
            <w:color w:val="0563C1"/>
            <w:u w:val="single"/>
          </w:rPr>
          <w:t xml:space="preserve">12.  </w:t>
        </w:r>
        <w:r>
          <w:rPr>
            <w:b w:val="false"/>
            <w:bCs w:val="false"/>
            <w:i w:val="false"/>
            <w:iCs w:val="false"/>
            <w:color w:val="222629"/>
            <w:sz w:val="20"/>
            <w:szCs w:val="20"/>
            <w:color w:val="0563C1"/>
            <w:u w:val="single"/>
          </w:rPr>
          <w:t xml:space="preserve">Traceability</w:t>
        </w:r>
      </w:hyperlink>
    </w:p>
    <w:p>
      <w:pPr>
        <w:spacing w:after="70" w:before="0" w:line="276"/>
        <w:jc w:val="left"/>
      </w:pPr>
      <w:hyperlink w:anchor="sec_014" w:history="1">
        <w:r>
          <w:rPr>
            <w:b/>
            <w:bCs/>
            <w:i w:val="false"/>
            <w:iCs w:val="false"/>
            <w:color w:val="0F6E6E"/>
            <w:sz w:val="20"/>
            <w:szCs w:val="20"/>
            <w:color w:val="0563C1"/>
            <w:u w:val="single"/>
          </w:rPr>
          <w:t xml:space="preserve">13.  </w:t>
        </w:r>
        <w:r>
          <w:rPr>
            <w:b w:val="false"/>
            <w:bCs w:val="false"/>
            <w:i w:val="false"/>
            <w:iCs w:val="false"/>
            <w:color w:val="222629"/>
            <w:sz w:val="20"/>
            <w:szCs w:val="20"/>
            <w:color w:val="0563C1"/>
            <w:u w:val="single"/>
          </w:rPr>
          <w:t xml:space="preserve">What this pack does not decide</w:t>
        </w:r>
      </w:hyperlink>
    </w:p>
    <w:p>
      <w:pPr>
        <w:spacing w:after="70" w:before="0" w:line="276"/>
        <w:jc w:val="left"/>
      </w:pPr>
      <w:hyperlink w:anchor="sec_015" w:history="1">
        <w:r>
          <w:rPr>
            <w:b/>
            <w:bCs/>
            <w:i w:val="false"/>
            <w:iCs w:val="false"/>
            <w:color w:val="0F6E6E"/>
            <w:sz w:val="20"/>
            <w:szCs w:val="20"/>
            <w:color w:val="0563C1"/>
            <w:u w:val="single"/>
          </w:rPr>
          <w:t xml:space="preserve">—  </w:t>
        </w:r>
        <w:r>
          <w:rPr>
            <w:b w:val="false"/>
            <w:bCs w:val="false"/>
            <w:i w:val="false"/>
            <w:iCs w:val="false"/>
            <w:color w:val="222629"/>
            <w:sz w:val="20"/>
            <w:szCs w:val="20"/>
            <w:color w:val="0563C1"/>
            <w:u w:val="single"/>
          </w:rPr>
          <w:t xml:space="preserve">Appendix — Terms and internal references</w:t>
        </w:r>
      </w:hyperlink>
    </w:p>
    <w:p>
      <w:pPr>
        <w:spacing w:after="240"/>
      </w:pPr>
      <w:r>
        <w:t xml:space="preserve"/>
      </w:r>
    </w:p>
    <w:p>
      <w:pPr>
        <w:keepNext/>
        <w:keepLines/>
        <w:pBdr>
          <w:top w:val="single" w:color="F1F5F8" w:sz="2" w:space="8"/>
          <w:left w:val="single" w:color="0F6E6E" w:sz="18" w:space="10"/>
          <w:right w:val="single" w:color="F1F5F8" w:sz="2" w:space="10"/>
        </w:pBdr>
        <w:shd w:fill="F1F5F8" w:color="auto" w:val="clear"/>
        <w:spacing w:after="100" w:before="140" w:line="276"/>
        <w:ind w:left="200" w:right="200"/>
      </w:pPr>
      <w:r>
        <w:rPr>
          <w:b/>
          <w:bCs/>
          <w:i w:val="false"/>
          <w:iCs w:val="false"/>
          <w:color w:val="0F6E6E"/>
          <w:sz w:val="20"/>
          <w:szCs w:val="20"/>
        </w:rPr>
        <w:t xml:space="preserve">How the sections map to the decision</w:t>
      </w:r>
    </w:p>
    <w:p>
      <w:pPr>
        <w:keepNext w:val="false"/>
        <w:keepLines/>
        <w:pBdr>
          <w:bottom w:val="single" w:color="F1F5F8" w:sz="2" w:space="8"/>
          <w:left w:val="single" w:color="0F6E6E" w:sz="18" w:space="10"/>
          <w:right w:val="single" w:color="F1F5F8" w:sz="2" w:space="10"/>
        </w:pBdr>
        <w:shd w:fill="F1F5F8" w:color="auto" w:val="clear"/>
        <w:spacing w:after="140" w:before="0" w:line="276"/>
        <w:ind w:left="200" w:right="200"/>
      </w:pPr>
      <w:r>
        <w:rPr>
          <w:b w:val="false"/>
          <w:bCs w:val="false"/>
          <w:i w:val="false"/>
          <w:iCs w:val="false"/>
          <w:color w:val="222629"/>
          <w:sz w:val="20"/>
          <w:szCs w:val="20"/>
        </w:rPr>
        <w:t xml:space="preserve">Decision Schedule A in Volume 1 has one row per section of this volume, in the same order, and each row names the section to read. Sections 1 to 11 each carry a row and a decision box. Sections 12 and 13 carry none: section 12 records which obligation each rule serves, and section 13 sets out what the pack deliberately leaves open for Compliance to determine.</w:t>
      </w:r>
    </w:p>
    <w:p>
      <w:pPr>
        <w:spacing w:after="140"/>
      </w:pPr>
      <w:r>
        <w:t xml:space="preserve"/>
      </w:r>
    </w:p>
    <w:p>
      <w:pPr>
        <w:spacing w:after="120" w:before="0" w:line="276"/>
        <w:jc w:val="left"/>
      </w:pPr>
      <w:r>
        <w:rPr>
          <w:b w:val="false"/>
          <w:bCs w:val="false"/>
          <w:i/>
          <w:iCs/>
          <w:color w:val="5A6570"/>
          <w:sz w:val="19"/>
          <w:szCs w:val="19"/>
        </w:rPr>
        <w:t xml:space="preserve">This volume is one of three issued together as a single submission: Volume 1 — Decision Pack, Volume 2 — Consent Rule Pack, Volume 3 — Suitability Rule Pack.</w:t>
      </w:r>
    </w:p>
    <w:p>
      <w:bookmarkStart w:id="2" w:name="sec_002"/>
      <w:pPr>
        <w:pStyle w:val="Heading2"/>
        <w:keepNext/>
        <w:keepLines/>
        <w:spacing w:after="120" w:before="300"/>
      </w:pPr>
      <w:r>
        <w:rPr>
          <w:b/>
          <w:bCs/>
          <w:color w:val="11304E"/>
          <w:sz w:val="24"/>
          <w:szCs w:val="24"/>
        </w:rPr>
        <w:t xml:space="preserve">1.  Consent events in the first release</w:t>
      </w:r>
      <w:bookmarkEnd w:id="2"/>
    </w:p>
    <w:p>
      <w:pPr>
        <w:spacing w:after="120" w:before="0" w:line="276"/>
        <w:jc w:val="left"/>
      </w:pPr>
      <w:r>
        <w:rPr>
          <w:b w:val="false"/>
          <w:bCs w:val="false"/>
          <w:i w:val="false"/>
          <w:iCs w:val="false"/>
          <w:color w:val="222629"/>
          <w:sz w:val="20"/>
          <w:szCs w:val="20"/>
        </w:rPr>
        <w:t xml:space="preserve">Five consent events are defined; four are in scope for the first release. Each has a code, a position in the journey, and an effect if it is absent. The position given is the earliest point at which the consent must exist — it may always be captured earlier, which is the subject of the proposal in Volume 1, §11.</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964"/>
        <w:gridCol w:w="2313"/>
        <w:gridCol w:w="2313"/>
        <w:gridCol w:w="2602"/>
        <w:gridCol w:w="1446"/>
      </w:tblGrid>
      <w:tr>
        <w:trPr>
          <w:cantSplit/>
          <w:tblHeader/>
        </w:trPr>
        <w:tc>
          <w:tcPr>
            <w:tcW w:type="dxa" w:w="964"/>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Code</w:t>
            </w:r>
          </w:p>
        </w:tc>
        <w:tc>
          <w:tcPr>
            <w:tcW w:type="dxa" w:w="231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Consent event</w:t>
            </w:r>
          </w:p>
        </w:tc>
        <w:tc>
          <w:tcPr>
            <w:tcW w:type="dxa" w:w="231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Must exist before</w:t>
            </w:r>
          </w:p>
        </w:tc>
        <w:tc>
          <w:tcPr>
            <w:tcW w:type="dxa" w:w="2602"/>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Effect if absent</w:t>
            </w:r>
          </w:p>
        </w:tc>
        <w:tc>
          <w:tcPr>
            <w:tcW w:type="dxa" w:w="1446"/>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In scope now</w:t>
            </w:r>
          </w:p>
        </w:tc>
      </w:tr>
      <w:tr>
        <w:trPr>
          <w:cantSplit/>
        </w:trPr>
        <w:tc>
          <w:tcPr>
            <w:tcW w:type="dxa" w:w="964"/>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CNS-DP</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Data processing and pre-fill from bank records</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Any customer data is read from the bank record into the journey</w:t>
            </w:r>
          </w:p>
        </w:tc>
        <w:tc>
          <w:tcPr>
            <w:tcW w:type="dxa" w:w="260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Customer search returns identity only; no pre-fill and no progression</w:t>
            </w:r>
          </w:p>
        </w:tc>
        <w:tc>
          <w:tcPr>
            <w:tcW w:type="dxa" w:w="1446"/>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Yes</w:t>
            </w:r>
          </w:p>
        </w:tc>
      </w:tr>
      <w:tr>
        <w:trPr>
          <w:cantSplit/>
        </w:trPr>
        <w:tc>
          <w:tcPr>
            <w:tcW w:type="dxa" w:w="964"/>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CNS-SOL</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Insurance solicitation, need analysis and suitability</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suitability questionnaire is presented</w:t>
            </w:r>
          </w:p>
        </w:tc>
        <w:tc>
          <w:tcPr>
            <w:tcW w:type="dxa" w:w="260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No suitability assessment can be created</w:t>
            </w:r>
          </w:p>
        </w:tc>
        <w:tc>
          <w:tcPr>
            <w:tcW w:type="dxa" w:w="1446"/>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Yes</w:t>
            </w:r>
          </w:p>
        </w:tc>
      </w:tr>
      <w:tr>
        <w:trPr>
          <w:cantSplit/>
        </w:trPr>
        <w:tc>
          <w:tcPr>
            <w:tcW w:type="dxa" w:w="964"/>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CNS-SHR</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Sharing data with the selected insurer</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proposal is submitted to the insurer</w:t>
            </w:r>
          </w:p>
        </w:tc>
        <w:tc>
          <w:tcPr>
            <w:tcW w:type="dxa" w:w="260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Proposal submission is refused</w:t>
            </w:r>
          </w:p>
        </w:tc>
        <w:tc>
          <w:tcPr>
            <w:tcW w:type="dxa" w:w="1446"/>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Yes</w:t>
            </w:r>
          </w:p>
        </w:tc>
      </w:tr>
      <w:tr>
        <w:trPr>
          <w:cantSplit/>
        </w:trPr>
        <w:tc>
          <w:tcPr>
            <w:tcW w:type="dxa" w:w="964"/>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CNS-COM</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Servicing communications by message, email or push</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first outbound customer communication</w:t>
            </w:r>
          </w:p>
        </w:tc>
        <w:tc>
          <w:tcPr>
            <w:tcW w:type="dxa" w:w="260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Communication suppressed; the journey continues</w:t>
            </w:r>
          </w:p>
        </w:tc>
        <w:tc>
          <w:tcPr>
            <w:tcW w:type="dxa" w:w="1446"/>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Yes</w:t>
            </w:r>
          </w:p>
        </w:tc>
      </w:tr>
      <w:tr>
        <w:trPr>
          <w:cantSplit/>
        </w:trPr>
        <w:tc>
          <w:tcPr>
            <w:tcW w:type="dxa" w:w="964"/>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CNS-RDR</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Controlled redirect to an off-panel insurer</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redirect link is generated</w:t>
            </w:r>
          </w:p>
        </w:tc>
        <w:tc>
          <w:tcPr>
            <w:tcW w:type="dxa" w:w="260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Redirect refused</w:t>
            </w:r>
          </w:p>
        </w:tc>
        <w:tc>
          <w:tcPr>
            <w:tcW w:type="dxa" w:w="1446"/>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No — later release</w:t>
            </w:r>
          </w:p>
        </w:tc>
      </w:tr>
    </w:tbl>
    <w:p>
      <w:pPr>
        <w:spacing w:after="120"/>
      </w:pPr>
      <w:r>
        <w:t xml:space="preserve"/>
      </w:r>
    </w:p>
    <w:p>
      <w:pPr>
        <w:keepNext/>
        <w:keepLines/>
        <w:pBdr>
          <w:top w:val="single" w:color="F1F5F8" w:sz="2" w:space="8"/>
          <w:left w:val="single" w:color="0F6E6E" w:sz="18" w:space="10"/>
          <w:right w:val="single" w:color="F1F5F8" w:sz="2" w:space="10"/>
        </w:pBdr>
        <w:shd w:fill="F1F5F8" w:color="auto" w:val="clear"/>
        <w:spacing w:after="100" w:before="140" w:line="276"/>
        <w:ind w:left="200" w:right="200"/>
      </w:pPr>
      <w:r>
        <w:rPr>
          <w:b/>
          <w:bCs/>
          <w:i w:val="false"/>
          <w:iCs w:val="false"/>
          <w:color w:val="0F6E6E"/>
          <w:sz w:val="20"/>
          <w:szCs w:val="20"/>
        </w:rPr>
        <w:t xml:space="preserve">Product’s position on presentation</w:t>
      </w:r>
    </w:p>
    <w:p>
      <w:pPr>
        <w:keepNext w:val="false"/>
        <w:keepLines/>
        <w:pBdr>
          <w:bottom w:val="single" w:color="F1F5F8" w:sz="2" w:space="8"/>
          <w:left w:val="single" w:color="0F6E6E" w:sz="18" w:space="10"/>
          <w:right w:val="single" w:color="F1F5F8" w:sz="2" w:space="10"/>
        </w:pBdr>
        <w:shd w:fill="F1F5F8" w:color="auto" w:val="clear"/>
        <w:spacing w:after="140" w:before="0" w:line="276"/>
        <w:ind w:left="200" w:right="200"/>
      </w:pPr>
      <w:r>
        <w:rPr>
          <w:b w:val="false"/>
          <w:bCs w:val="false"/>
          <w:i w:val="false"/>
          <w:iCs w:val="false"/>
          <w:color w:val="222629"/>
          <w:sz w:val="20"/>
          <w:szCs w:val="20"/>
        </w:rPr>
        <w:t xml:space="preserve">Data processing, solicitation and servicing communications are presented to the customer as one acknowledgement with three separately-recorded consents. The customer experiences one interaction; the record holds three rows with three statement identifiers. This gives the experience benefit without the exposure of a bundled consent. Sharing consent is captured separately in the pack as drafted, because the counterparty is named in the statement and the customer must see which insurer receives their data — this is the point the proposal in Volume 1, §11 seeks to change. Whether data processing and solicitation may share a single affirmative act at all is OPEN-CNS-01.</w:t>
      </w:r>
    </w:p>
    <w:p>
      <w:bookmarkStart w:id="3" w:name="sec_003"/>
      <w:pPr>
        <w:pStyle w:val="Heading2"/>
        <w:keepNext/>
        <w:keepLines/>
        <w:spacing w:after="120" w:before="300"/>
      </w:pPr>
      <w:r>
        <w:rPr>
          <w:b/>
          <w:bCs/>
          <w:color w:val="11304E"/>
          <w:sz w:val="24"/>
          <w:szCs w:val="24"/>
        </w:rPr>
        <w:t xml:space="preserve">2.  Statement identity and versioning</w:t>
      </w:r>
      <w:bookmarkEnd w:id="3"/>
    </w:p>
    <w:p>
      <w:pPr>
        <w:spacing w:after="120" w:before="0" w:line="276"/>
        <w:jc w:val="left"/>
      </w:pPr>
      <w:r>
        <w:rPr>
          <w:b w:val="false"/>
          <w:bCs w:val="false"/>
          <w:i w:val="false"/>
          <w:iCs w:val="false"/>
          <w:color w:val="222629"/>
          <w:sz w:val="20"/>
          <w:szCs w:val="20"/>
        </w:rPr>
        <w:t xml:space="preserve">Every consent statement carries an identifier whose meaning never changes:</w:t>
      </w:r>
    </w:p>
    <w:p>
      <w:pPr>
        <w:spacing w:after="100" w:before="0" w:line="276"/>
        <w:jc w:val="left"/>
      </w:pPr>
      <w:r>
        <w:rPr>
          <w:rFonts w:ascii="Consolas" w:cs="Consolas" w:eastAsia="Consolas" w:hAnsi="Consolas"/>
          <w:b w:val="false"/>
          <w:bCs w:val="false"/>
          <w:i w:val="false"/>
          <w:iCs w:val="false"/>
          <w:color w:val="11304E"/>
          <w:sz w:val="18"/>
          <w:szCs w:val="18"/>
        </w:rPr>
        <w:t xml:space="preserve">&lt;CONSENT_CODE&gt;-&lt;LANGUAGE&gt;-v&lt;MAJOR&gt;.&lt;MINOR&gt;          for example:  CNS-DP-en-IN-v1.0</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253"/>
        <w:gridCol w:w="4723"/>
        <w:gridCol w:w="3662"/>
      </w:tblGrid>
      <w:tr>
        <w:trPr>
          <w:cantSplit/>
          <w:tblHeader/>
        </w:trPr>
        <w:tc>
          <w:tcPr>
            <w:tcW w:type="dxa" w:w="125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Rule</w:t>
            </w:r>
          </w:p>
        </w:tc>
        <w:tc>
          <w:tcPr>
            <w:tcW w:type="dxa" w:w="472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Normative statement</w:t>
            </w:r>
          </w:p>
        </w:tc>
        <w:tc>
          <w:tcPr>
            <w:tcW w:type="dxa" w:w="3662"/>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How conformance will be demonstrated</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CNS-R01</w:t>
            </w:r>
          </w:p>
        </w:tc>
        <w:tc>
          <w:tcPr>
            <w:tcW w:type="dxa" w:w="472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Every captured consent MUST record the statement identifier, the statement version, and a SHA-256 hash of the exact statement text rendered to the customer.</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Retrieve any consent record: all three fields present and non-null, and recomputing the hash over the stored text reproduces the stored hash.</w:t>
            </w:r>
          </w:p>
        </w:tc>
      </w:tr>
      <w:tr>
        <w:trPr>
          <w:cantSplit/>
        </w:trPr>
        <w:tc>
          <w:tcPr>
            <w:tcW w:type="dxa" w:w="1253"/>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CNS-R02</w:t>
            </w:r>
          </w:p>
        </w:tc>
        <w:tc>
          <w:tcPr>
            <w:tcW w:type="dxa" w:w="472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Statement text MUST be immutable once a version is published. A change of wording MUST create a new version.</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Attempt to alter the text of a published version. The attempt is refused.</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CNS-R03</w:t>
            </w:r>
          </w:p>
        </w:tc>
        <w:tc>
          <w:tcPr>
            <w:tcW w:type="dxa" w:w="472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major version increment signals a material change of meaning; a minor increment signals a non-material change such as a typographical or formatting correction. Only Compliance may classify which it is.</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Every published version carries a change classification and the name of the Compliance approver who set it. Without both, publication is refused.</w:t>
            </w:r>
          </w:p>
        </w:tc>
      </w:tr>
      <w:tr>
        <w:trPr>
          <w:cantSplit/>
        </w:trPr>
        <w:tc>
          <w:tcPr>
            <w:tcW w:type="dxa" w:w="1253"/>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CNS-R04</w:t>
            </w:r>
          </w:p>
        </w:tc>
        <w:tc>
          <w:tcPr>
            <w:tcW w:type="dxa" w:w="472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statement text stored with the evidence record MUST be the text actually shown to the customer, not a reference resolved when the record is later read.</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Publish a new version, then retrieve a consent captured under the previous version. The previous text is returned word for word.</w:t>
            </w:r>
          </w:p>
        </w:tc>
      </w:tr>
    </w:tbl>
    <w:p>
      <w:pPr>
        <w:spacing w:after="120"/>
      </w:pPr>
      <w:r>
        <w:t xml:space="preserve"/>
      </w:r>
    </w:p>
    <w:p>
      <w:pPr>
        <w:keepNext/>
        <w:keepLines/>
        <w:pBdr>
          <w:top w:val="single" w:color="F1F5F8" w:sz="2" w:space="8"/>
          <w:left w:val="single" w:color="8A5A00" w:sz="18" w:space="10"/>
          <w:right w:val="single" w:color="F1F5F8" w:sz="2" w:space="10"/>
        </w:pBdr>
        <w:shd w:fill="F1F5F8" w:color="auto" w:val="clear"/>
        <w:spacing w:after="100" w:before="140" w:line="276"/>
        <w:ind w:left="200" w:right="200"/>
      </w:pPr>
      <w:r>
        <w:rPr>
          <w:b/>
          <w:bCs/>
          <w:i w:val="false"/>
          <w:iCs w:val="false"/>
          <w:color w:val="8A5A00"/>
          <w:sz w:val="20"/>
          <w:szCs w:val="20"/>
        </w:rPr>
        <w:t xml:space="preserve">CNS-R04 is the rule that makes the evidence defensible</w:t>
      </w:r>
    </w:p>
    <w:p>
      <w:pPr>
        <w:keepNext w:val="false"/>
        <w:keepLines/>
        <w:pBdr>
          <w:bottom w:val="single" w:color="F1F5F8" w:sz="2" w:space="8"/>
          <w:left w:val="single" w:color="8A5A00" w:sz="18" w:space="10"/>
          <w:right w:val="single" w:color="F1F5F8" w:sz="2" w:space="10"/>
        </w:pBdr>
        <w:shd w:fill="F1F5F8" w:color="auto" w:val="clear"/>
        <w:spacing w:after="140" w:before="0" w:line="276"/>
        <w:ind w:left="200" w:right="200"/>
      </w:pPr>
      <w:r>
        <w:rPr>
          <w:b w:val="false"/>
          <w:bCs w:val="false"/>
          <w:i w:val="false"/>
          <w:iCs w:val="false"/>
          <w:color w:val="222629"/>
          <w:sz w:val="20"/>
          <w:szCs w:val="20"/>
        </w:rPr>
        <w:t xml:space="preserve">A record saying "the customer accepted statement version 1.0", which then resolves version 1.0 from a table that can change, proves nothing three years later. The text has to travel with the record.</w:t>
      </w:r>
    </w:p>
    <w:p>
      <w:bookmarkStart w:id="4" w:name="sec_004"/>
      <w:pPr>
        <w:pStyle w:val="Heading2"/>
        <w:keepNext/>
        <w:keepLines/>
        <w:spacing w:after="120" w:before="300"/>
      </w:pPr>
      <w:r>
        <w:rPr>
          <w:b/>
          <w:bCs/>
          <w:color w:val="11304E"/>
          <w:sz w:val="24"/>
          <w:szCs w:val="24"/>
        </w:rPr>
        <w:t xml:space="preserve">3.  Version change and journeys already in flight</w:t>
      </w:r>
      <w:bookmarkEnd w:id="4"/>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253"/>
        <w:gridCol w:w="4723"/>
        <w:gridCol w:w="3662"/>
      </w:tblGrid>
      <w:tr>
        <w:trPr>
          <w:cantSplit/>
          <w:tblHeader/>
        </w:trPr>
        <w:tc>
          <w:tcPr>
            <w:tcW w:type="dxa" w:w="125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Rule</w:t>
            </w:r>
          </w:p>
        </w:tc>
        <w:tc>
          <w:tcPr>
            <w:tcW w:type="dxa" w:w="472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Normative statement</w:t>
            </w:r>
          </w:p>
        </w:tc>
        <w:tc>
          <w:tcPr>
            <w:tcW w:type="dxa" w:w="3662"/>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How conformance will be demonstrated</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CNS-R05</w:t>
            </w:r>
          </w:p>
        </w:tc>
        <w:tc>
          <w:tcPr>
            <w:tcW w:type="dxa" w:w="472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material version change MUST invalidate consents captured under earlier versions for journeys that have not yet passed the point the consent gates. Journeys past that point continue under the version they captured.</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Publish a material new version. A journey still at lead stage is blocked and re-prompted; a journey already at proposal stage is undisturbed and retains its original evidence.</w:t>
            </w:r>
          </w:p>
        </w:tc>
      </w:tr>
      <w:tr>
        <w:trPr>
          <w:cantSplit/>
        </w:trPr>
        <w:tc>
          <w:tcPr>
            <w:tcW w:type="dxa" w:w="1253"/>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CNS-R06</w:t>
            </w:r>
          </w:p>
        </w:tc>
        <w:tc>
          <w:tcPr>
            <w:tcW w:type="dxa" w:w="472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non-material version change MUST NOT invalidate any existing consent.</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Publish a minor version. No journey is re-prompted and no consent record changes state.</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CNS-R07</w:t>
            </w:r>
          </w:p>
        </w:tc>
        <w:tc>
          <w:tcPr>
            <w:tcW w:type="dxa" w:w="472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Staff MUST be told why a re-consent is required, in business language, naming the consent event.</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Trigger a re-consent. The message identifies the consent event and the action required. No generic error is shown.</w:t>
            </w:r>
          </w:p>
        </w:tc>
      </w:tr>
    </w:tbl>
    <w:p>
      <w:bookmarkStart w:id="5" w:name="sec_005"/>
      <w:pPr>
        <w:pStyle w:val="Heading2"/>
        <w:keepNext/>
        <w:keepLines/>
        <w:spacing w:after="120" w:before="300"/>
      </w:pPr>
      <w:r>
        <w:rPr>
          <w:b/>
          <w:bCs/>
          <w:color w:val="11304E"/>
          <w:sz w:val="24"/>
          <w:szCs w:val="24"/>
        </w:rPr>
        <w:t xml:space="preserve">4.  Language</w:t>
      </w:r>
      <w:bookmarkEnd w:id="5"/>
    </w:p>
    <w:p>
      <w:pPr>
        <w:spacing w:after="120" w:before="0" w:line="276"/>
        <w:jc w:val="left"/>
      </w:pPr>
      <w:r>
        <w:rPr>
          <w:b w:val="false"/>
          <w:bCs w:val="false"/>
          <w:i w:val="false"/>
          <w:iCs w:val="false"/>
          <w:color w:val="222629"/>
          <w:sz w:val="20"/>
          <w:szCs w:val="20"/>
        </w:rPr>
        <w:t xml:space="preserve">The first release ships in Indian English only. Additional languages follow later.</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253"/>
        <w:gridCol w:w="4723"/>
        <w:gridCol w:w="3662"/>
      </w:tblGrid>
      <w:tr>
        <w:trPr>
          <w:cantSplit/>
          <w:tblHeader/>
        </w:trPr>
        <w:tc>
          <w:tcPr>
            <w:tcW w:type="dxa" w:w="125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Rule</w:t>
            </w:r>
          </w:p>
        </w:tc>
        <w:tc>
          <w:tcPr>
            <w:tcW w:type="dxa" w:w="472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Normative statement</w:t>
            </w:r>
          </w:p>
        </w:tc>
        <w:tc>
          <w:tcPr>
            <w:tcW w:type="dxa" w:w="3662"/>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How conformance will be demonstrated</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CNS-R08</w:t>
            </w:r>
          </w:p>
        </w:tc>
        <w:tc>
          <w:tcPr>
            <w:tcW w:type="dxa" w:w="472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language of the statement shown MUST be recorded on the evidence record.</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Every record carries a language code matching a published statement version.</w:t>
            </w:r>
          </w:p>
        </w:tc>
      </w:tr>
      <w:tr>
        <w:trPr>
          <w:cantSplit/>
        </w:trPr>
        <w:tc>
          <w:tcPr>
            <w:tcW w:type="dxa" w:w="1253"/>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CNS-R09</w:t>
            </w:r>
          </w:p>
        </w:tc>
        <w:tc>
          <w:tcPr>
            <w:tcW w:type="dxa" w:w="472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translated statement MUST carry the same version number as its source-language statement and MUST be Compliance-approved in its own right.</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translated variant exists only where the source-language version exists, and carries its own named Compliance approver.</w:t>
            </w:r>
          </w:p>
        </w:tc>
      </w:tr>
    </w:tbl>
    <w:p>
      <w:bookmarkStart w:id="6" w:name="sec_006"/>
      <w:pPr>
        <w:pStyle w:val="Heading2"/>
        <w:keepNext/>
        <w:keepLines/>
        <w:pageBreakBefore/>
        <w:spacing w:after="120" w:before="0"/>
      </w:pPr>
      <w:r>
        <w:rPr>
          <w:b/>
          <w:bCs/>
          <w:color w:val="11304E"/>
          <w:sz w:val="24"/>
          <w:szCs w:val="24"/>
        </w:rPr>
        <w:t xml:space="preserve">5.  Capture mechanism by channel</w:t>
      </w:r>
      <w:bookmarkEnd w:id="6"/>
    </w:p>
    <w:p>
      <w:pPr>
        <w:spacing w:after="120" w:before="0" w:line="276"/>
        <w:jc w:val="left"/>
      </w:pPr>
      <w:r>
        <w:rPr>
          <w:b w:val="false"/>
          <w:bCs w:val="false"/>
          <w:i w:val="false"/>
          <w:iCs w:val="false"/>
          <w:color w:val="222629"/>
          <w:sz w:val="20"/>
          <w:szCs w:val="20"/>
        </w:rPr>
        <w:t xml:space="preserve">The evidence captured MUST be identical across channels. The interaction differs; the record does not.</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2313"/>
        <w:gridCol w:w="5301"/>
        <w:gridCol w:w="2024"/>
      </w:tblGrid>
      <w:tr>
        <w:trPr>
          <w:cantSplit/>
          <w:tblHeader/>
        </w:trPr>
        <w:tc>
          <w:tcPr>
            <w:tcW w:type="dxa" w:w="231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Channel</w:t>
            </w:r>
          </w:p>
        </w:tc>
        <w:tc>
          <w:tcPr>
            <w:tcW w:type="dxa" w:w="5301"/>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Interaction</w:t>
            </w:r>
          </w:p>
        </w:tc>
        <w:tc>
          <w:tcPr>
            <w:tcW w:type="dxa" w:w="2024"/>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Recorded method</w:t>
            </w:r>
          </w:p>
        </w:tc>
      </w:tr>
      <w:tr>
        <w:trPr>
          <w:cantSplit/>
        </w:trPr>
        <w:tc>
          <w:tcPr>
            <w:tcW w:type="dxa" w:w="231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Relationship-manager assisted</w:t>
            </w:r>
          </w:p>
        </w:tc>
        <w:tc>
          <w:tcPr>
            <w:tcW w:type="dxa" w:w="530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statement is displayed on the staff device and sent to the customer’s registered mobile; the customer enters the code delivered to their own device.</w:t>
            </w:r>
          </w:p>
        </w:tc>
        <w:tc>
          <w:tcPr>
            <w:tcW w:type="dxa" w:w="2024"/>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Code to customer device</w:t>
            </w:r>
          </w:p>
        </w:tc>
      </w:tr>
      <w:tr>
        <w:trPr>
          <w:cantSplit/>
        </w:trPr>
        <w:tc>
          <w:tcPr>
            <w:tcW w:type="dxa" w:w="2313"/>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Customer self-service (later release)</w:t>
            </w:r>
          </w:p>
        </w:tc>
        <w:tc>
          <w:tcPr>
            <w:tcW w:type="dxa" w:w="530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An affirmative action in the app — never a pre-ticked box — plus a code to the registered mobile.</w:t>
            </w:r>
          </w:p>
        </w:tc>
        <w:tc>
          <w:tcPr>
            <w:tcW w:type="dxa" w:w="2024"/>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In-app affirmative plus code</w:t>
            </w:r>
          </w:p>
        </w:tc>
      </w:tr>
      <w:tr>
        <w:trPr>
          <w:cantSplit/>
        </w:trPr>
        <w:tc>
          <w:tcPr>
            <w:tcW w:type="dxa" w:w="231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Hybrid (later release)</w:t>
            </w:r>
          </w:p>
        </w:tc>
        <w:tc>
          <w:tcPr>
            <w:tcW w:type="dxa" w:w="530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Whichever device the customer is using at the moment of capture, recorded as such.</w:t>
            </w:r>
          </w:p>
        </w:tc>
        <w:tc>
          <w:tcPr>
            <w:tcW w:type="dxa" w:w="2024"/>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As above</w:t>
            </w:r>
          </w:p>
        </w:tc>
      </w:tr>
    </w:tbl>
    <w:p>
      <w:pPr>
        <w:spacing w:after="120"/>
      </w:pPr>
      <w:r>
        <w:t xml:space="preserve"/>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253"/>
        <w:gridCol w:w="4723"/>
        <w:gridCol w:w="3662"/>
      </w:tblGrid>
      <w:tr>
        <w:trPr>
          <w:cantSplit/>
          <w:tblHeader/>
        </w:trPr>
        <w:tc>
          <w:tcPr>
            <w:tcW w:type="dxa" w:w="125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Rule</w:t>
            </w:r>
          </w:p>
        </w:tc>
        <w:tc>
          <w:tcPr>
            <w:tcW w:type="dxa" w:w="472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Normative statement</w:t>
            </w:r>
          </w:p>
        </w:tc>
        <w:tc>
          <w:tcPr>
            <w:tcW w:type="dxa" w:w="3662"/>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How conformance will be demonstrated</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CNS-R10</w:t>
            </w:r>
          </w:p>
        </w:tc>
        <w:tc>
          <w:tcPr>
            <w:tcW w:type="dxa" w:w="472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Consent MUST NOT be recorded without a verified one-time password transaction. A tick by a member of staff is never consent.</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Submit a capture with no verification transaction: refused. Submit one with an unverified transaction: refused.</w:t>
            </w:r>
          </w:p>
        </w:tc>
      </w:tr>
      <w:tr>
        <w:trPr>
          <w:cantSplit/>
        </w:trPr>
        <w:tc>
          <w:tcPr>
            <w:tcW w:type="dxa" w:w="1253"/>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CNS-R11</w:t>
            </w:r>
          </w:p>
        </w:tc>
        <w:tc>
          <w:tcPr>
            <w:tcW w:type="dxa" w:w="472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code MUST be delivered to the customer’s mobile number as held in the bank record, never to a number entered during the journey.</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Alter the mobile number in the journey data; the code is still dispatched to the number of record.</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CNS-R12</w:t>
            </w:r>
          </w:p>
        </w:tc>
        <w:tc>
          <w:tcPr>
            <w:tcW w:type="dxa" w:w="472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acknowledgement control MUST NOT be pre-selected or defaulted to accepted.</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Render the consent screen. The affirmative control is in its un-actioned state when the screen is first drawn.</w:t>
            </w:r>
          </w:p>
        </w:tc>
      </w:tr>
      <w:tr>
        <w:trPr>
          <w:cantSplit/>
        </w:trPr>
        <w:tc>
          <w:tcPr>
            <w:tcW w:type="dxa" w:w="1253"/>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CNS-R13</w:t>
            </w:r>
          </w:p>
        </w:tc>
        <w:tc>
          <w:tcPr>
            <w:tcW w:type="dxa" w:w="472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Staff MUST NOT be able to enter, on the staff device, a code that was delivered to the customer’s device.</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staff screen exposes no entry field for a customer-device code. It shows pending or verified status only.</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CNS-R14</w:t>
            </w:r>
          </w:p>
        </w:tc>
        <w:tc>
          <w:tcPr>
            <w:tcW w:type="dxa" w:w="472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code is valid for 10 minutes. Expiry requires a new code to be issued, not a retry of the old one.</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Verify at 9 minutes 59 seconds: accepted. Verify at 10 minutes 1 second: refused as expired.</w:t>
            </w:r>
          </w:p>
        </w:tc>
      </w:tr>
      <w:tr>
        <w:trPr>
          <w:cantSplit/>
        </w:trPr>
        <w:tc>
          <w:tcPr>
            <w:tcW w:type="dxa" w:w="1253"/>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CNS-R15</w:t>
            </w:r>
          </w:p>
        </w:tc>
        <w:tc>
          <w:tcPr>
            <w:tcW w:type="dxa" w:w="472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maximum of 3 verification attempts per transaction, after which the transaction locks and a new code must be issued. A maximum of 5 codes issued per consent event in 24 hours.</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fourth attempt is refused. A sixth issue within 24 hours is refused.</w:t>
            </w:r>
          </w:p>
        </w:tc>
      </w:tr>
    </w:tbl>
    <w:p>
      <w:pPr>
        <w:spacing w:after="120"/>
      </w:pPr>
      <w:r>
        <w:t xml:space="preserve"/>
      </w:r>
    </w:p>
    <w:p>
      <w:pPr>
        <w:keepNext/>
        <w:keepLines/>
        <w:pBdr>
          <w:top w:val="single" w:color="F1F5F8" w:sz="2" w:space="8"/>
          <w:left w:val="single" w:color="8A5A00" w:sz="18" w:space="10"/>
          <w:right w:val="single" w:color="F1F5F8" w:sz="2" w:space="10"/>
        </w:pBdr>
        <w:shd w:fill="F1F5F8" w:color="auto" w:val="clear"/>
        <w:spacing w:after="100" w:before="140" w:line="276"/>
        <w:ind w:left="200" w:right="200"/>
      </w:pPr>
      <w:r>
        <w:rPr>
          <w:b/>
          <w:bCs/>
          <w:i w:val="false"/>
          <w:iCs w:val="false"/>
          <w:color w:val="8A5A00"/>
          <w:sz w:val="20"/>
          <w:szCs w:val="20"/>
        </w:rPr>
        <w:t xml:space="preserve">Why CNS-R13 exists</w:t>
      </w:r>
    </w:p>
    <w:p>
      <w:pPr>
        <w:keepNext w:val="false"/>
        <w:keepLines/>
        <w:pBdr>
          <w:bottom w:val="single" w:color="F1F5F8" w:sz="2" w:space="8"/>
          <w:left w:val="single" w:color="8A5A00" w:sz="18" w:space="10"/>
          <w:right w:val="single" w:color="F1F5F8" w:sz="2" w:space="10"/>
        </w:pBdr>
        <w:shd w:fill="F1F5F8" w:color="auto" w:val="clear"/>
        <w:spacing w:after="140" w:before="0" w:line="276"/>
        <w:ind w:left="200" w:right="200"/>
      </w:pPr>
      <w:r>
        <w:rPr>
          <w:b w:val="false"/>
          <w:bCs w:val="false"/>
          <w:i w:val="false"/>
          <w:iCs w:val="false"/>
          <w:color w:val="222629"/>
          <w:sz w:val="20"/>
          <w:szCs w:val="20"/>
        </w:rPr>
        <w:t xml:space="preserve">This is the consent equivalent of the payment-device separation principle. If a member of staff can complete the customer’s acknowledgement, the record evidences an act the customer did not perform, and every downstream compliance claim rests on it.</w:t>
      </w:r>
    </w:p>
    <w:p>
      <w:bookmarkStart w:id="7" w:name="sec_007"/>
      <w:pPr>
        <w:pStyle w:val="Heading2"/>
        <w:keepNext/>
        <w:keepLines/>
        <w:pageBreakBefore/>
        <w:spacing w:after="120" w:before="0"/>
      </w:pPr>
      <w:r>
        <w:rPr>
          <w:b/>
          <w:bCs/>
          <w:color w:val="11304E"/>
          <w:sz w:val="24"/>
          <w:szCs w:val="24"/>
        </w:rPr>
        <w:t xml:space="preserve">6.  The consent evidence record</w:t>
      </w:r>
      <w:bookmarkEnd w:id="7"/>
    </w:p>
    <w:p>
      <w:pPr>
        <w:spacing w:after="120" w:before="0" w:line="276"/>
        <w:jc w:val="left"/>
      </w:pPr>
      <w:r>
        <w:rPr>
          <w:b w:val="false"/>
          <w:bCs w:val="false"/>
          <w:i w:val="false"/>
          <w:iCs w:val="false"/>
          <w:color w:val="222629"/>
          <w:sz w:val="20"/>
          <w:szCs w:val="20"/>
        </w:rPr>
        <w:t xml:space="preserve">The 24 fields every consent record must carry. Field names are business names; their physical representation is a database design matter.</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675"/>
        <w:gridCol w:w="2988"/>
        <w:gridCol w:w="2313"/>
        <w:gridCol w:w="2024"/>
        <w:gridCol w:w="1638"/>
      </w:tblGrid>
      <w:tr>
        <w:trPr>
          <w:cantSplit/>
          <w:tblHeader/>
        </w:trPr>
        <w:tc>
          <w:tcPr>
            <w:tcW w:type="dxa" w:w="675"/>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w:t>
            </w:r>
          </w:p>
        </w:tc>
        <w:tc>
          <w:tcPr>
            <w:tcW w:type="dxa" w:w="2988"/>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Field</w:t>
            </w:r>
          </w:p>
        </w:tc>
        <w:tc>
          <w:tcPr>
            <w:tcW w:type="dxa" w:w="231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Type</w:t>
            </w:r>
          </w:p>
        </w:tc>
        <w:tc>
          <w:tcPr>
            <w:tcW w:type="dxa" w:w="2024"/>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Optionality</w:t>
            </w:r>
          </w:p>
        </w:tc>
        <w:tc>
          <w:tcPr>
            <w:tcW w:type="dxa" w:w="1638"/>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Classification</w:t>
            </w:r>
          </w:p>
        </w:tc>
      </w:tr>
      <w:tr>
        <w:trPr>
          <w:cantSplit/>
        </w:trPr>
        <w:tc>
          <w:tcPr>
            <w:tcW w:type="dxa" w:w="67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1</w:t>
            </w:r>
          </w:p>
        </w:tc>
        <w:tc>
          <w:tcPr>
            <w:tcW w:type="dxa" w:w="298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Consent identifier</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Unique identifier</w:t>
            </w:r>
          </w:p>
        </w:tc>
        <w:tc>
          <w:tcPr>
            <w:tcW w:type="dxa" w:w="2024"/>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w:t>
            </w:r>
          </w:p>
        </w:tc>
        <w:tc>
          <w:tcPr>
            <w:tcW w:type="dxa" w:w="163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Internal</w:t>
            </w:r>
          </w:p>
        </w:tc>
      </w:tr>
      <w:tr>
        <w:trPr>
          <w:cantSplit/>
        </w:trPr>
        <w:tc>
          <w:tcPr>
            <w:tcW w:type="dxa" w:w="67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2</w:t>
            </w:r>
          </w:p>
        </w:tc>
        <w:tc>
          <w:tcPr>
            <w:tcW w:type="dxa" w:w="298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Journey identifier</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Unique identifier</w:t>
            </w:r>
          </w:p>
        </w:tc>
        <w:tc>
          <w:tcPr>
            <w:tcW w:type="dxa" w:w="2024"/>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w:t>
            </w:r>
          </w:p>
        </w:tc>
        <w:tc>
          <w:tcPr>
            <w:tcW w:type="dxa" w:w="163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Internal</w:t>
            </w:r>
          </w:p>
        </w:tc>
      </w:tr>
      <w:tr>
        <w:trPr>
          <w:cantSplit/>
        </w:trPr>
        <w:tc>
          <w:tcPr>
            <w:tcW w:type="dxa" w:w="67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3</w:t>
            </w:r>
          </w:p>
        </w:tc>
        <w:tc>
          <w:tcPr>
            <w:tcW w:type="dxa" w:w="298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Lead identifier</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Text</w:t>
            </w:r>
          </w:p>
        </w:tc>
        <w:tc>
          <w:tcPr>
            <w:tcW w:type="dxa" w:w="2024"/>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w:t>
            </w:r>
          </w:p>
        </w:tc>
        <w:tc>
          <w:tcPr>
            <w:tcW w:type="dxa" w:w="163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Internal</w:t>
            </w:r>
          </w:p>
        </w:tc>
      </w:tr>
      <w:tr>
        <w:trPr>
          <w:cantSplit/>
        </w:trPr>
        <w:tc>
          <w:tcPr>
            <w:tcW w:type="dxa" w:w="67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4</w:t>
            </w:r>
          </w:p>
        </w:tc>
        <w:tc>
          <w:tcPr>
            <w:tcW w:type="dxa" w:w="298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Customer identifier held by the bank</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Text</w:t>
            </w:r>
          </w:p>
        </w:tc>
        <w:tc>
          <w:tcPr>
            <w:tcW w:type="dxa" w:w="2024"/>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w:t>
            </w:r>
          </w:p>
        </w:tc>
        <w:tc>
          <w:tcPr>
            <w:tcW w:type="dxa" w:w="163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Restricted — personal data</w:t>
            </w:r>
          </w:p>
        </w:tc>
      </w:tr>
      <w:tr>
        <w:trPr>
          <w:cantSplit/>
        </w:trPr>
        <w:tc>
          <w:tcPr>
            <w:tcW w:type="dxa" w:w="67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5</w:t>
            </w:r>
          </w:p>
        </w:tc>
        <w:tc>
          <w:tcPr>
            <w:tcW w:type="dxa" w:w="298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Consent event code</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One of the four codes in §1</w:t>
            </w:r>
          </w:p>
        </w:tc>
        <w:tc>
          <w:tcPr>
            <w:tcW w:type="dxa" w:w="2024"/>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w:t>
            </w:r>
          </w:p>
        </w:tc>
        <w:tc>
          <w:tcPr>
            <w:tcW w:type="dxa" w:w="163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Internal</w:t>
            </w:r>
          </w:p>
        </w:tc>
      </w:tr>
      <w:tr>
        <w:trPr>
          <w:cantSplit/>
        </w:trPr>
        <w:tc>
          <w:tcPr>
            <w:tcW w:type="dxa" w:w="67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6</w:t>
            </w:r>
          </w:p>
        </w:tc>
        <w:tc>
          <w:tcPr>
            <w:tcW w:type="dxa" w:w="298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Statement identifier</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Text</w:t>
            </w:r>
          </w:p>
        </w:tc>
        <w:tc>
          <w:tcPr>
            <w:tcW w:type="dxa" w:w="2024"/>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w:t>
            </w:r>
          </w:p>
        </w:tc>
        <w:tc>
          <w:tcPr>
            <w:tcW w:type="dxa" w:w="163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Internal</w:t>
            </w:r>
          </w:p>
        </w:tc>
      </w:tr>
      <w:tr>
        <w:trPr>
          <w:cantSplit/>
        </w:trPr>
        <w:tc>
          <w:tcPr>
            <w:tcW w:type="dxa" w:w="67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7</w:t>
            </w:r>
          </w:p>
        </w:tc>
        <w:tc>
          <w:tcPr>
            <w:tcW w:type="dxa" w:w="298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Statement version</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Text</w:t>
            </w:r>
          </w:p>
        </w:tc>
        <w:tc>
          <w:tcPr>
            <w:tcW w:type="dxa" w:w="2024"/>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w:t>
            </w:r>
          </w:p>
        </w:tc>
        <w:tc>
          <w:tcPr>
            <w:tcW w:type="dxa" w:w="163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Internal</w:t>
            </w:r>
          </w:p>
        </w:tc>
      </w:tr>
      <w:tr>
        <w:trPr>
          <w:cantSplit/>
        </w:trPr>
        <w:tc>
          <w:tcPr>
            <w:tcW w:type="dxa" w:w="67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8</w:t>
            </w:r>
          </w:p>
        </w:tc>
        <w:tc>
          <w:tcPr>
            <w:tcW w:type="dxa" w:w="298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Statement text as shown</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Long text</w:t>
            </w:r>
          </w:p>
        </w:tc>
        <w:tc>
          <w:tcPr>
            <w:tcW w:type="dxa" w:w="2024"/>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w:t>
            </w:r>
          </w:p>
        </w:tc>
        <w:tc>
          <w:tcPr>
            <w:tcW w:type="dxa" w:w="163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Internal</w:t>
            </w:r>
          </w:p>
        </w:tc>
      </w:tr>
      <w:tr>
        <w:trPr>
          <w:cantSplit/>
        </w:trPr>
        <w:tc>
          <w:tcPr>
            <w:tcW w:type="dxa" w:w="67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9</w:t>
            </w:r>
          </w:p>
        </w:tc>
        <w:tc>
          <w:tcPr>
            <w:tcW w:type="dxa" w:w="298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Hash of the statement text</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SHA-256</w:t>
            </w:r>
          </w:p>
        </w:tc>
        <w:tc>
          <w:tcPr>
            <w:tcW w:type="dxa" w:w="2024"/>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w:t>
            </w:r>
          </w:p>
        </w:tc>
        <w:tc>
          <w:tcPr>
            <w:tcW w:type="dxa" w:w="163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Internal</w:t>
            </w:r>
          </w:p>
        </w:tc>
      </w:tr>
      <w:tr>
        <w:trPr>
          <w:cantSplit/>
        </w:trPr>
        <w:tc>
          <w:tcPr>
            <w:tcW w:type="dxa" w:w="67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10</w:t>
            </w:r>
          </w:p>
        </w:tc>
        <w:tc>
          <w:tcPr>
            <w:tcW w:type="dxa" w:w="298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Language shown</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Language tag</w:t>
            </w:r>
          </w:p>
        </w:tc>
        <w:tc>
          <w:tcPr>
            <w:tcW w:type="dxa" w:w="2024"/>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w:t>
            </w:r>
          </w:p>
        </w:tc>
        <w:tc>
          <w:tcPr>
            <w:tcW w:type="dxa" w:w="163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Internal</w:t>
            </w:r>
          </w:p>
        </w:tc>
      </w:tr>
      <w:tr>
        <w:trPr>
          <w:cantSplit/>
        </w:trPr>
        <w:tc>
          <w:tcPr>
            <w:tcW w:type="dxa" w:w="67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11</w:t>
            </w:r>
          </w:p>
        </w:tc>
        <w:tc>
          <w:tcPr>
            <w:tcW w:type="dxa" w:w="298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Channel</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Assisted, self-service or hybrid</w:t>
            </w:r>
          </w:p>
        </w:tc>
        <w:tc>
          <w:tcPr>
            <w:tcW w:type="dxa" w:w="2024"/>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w:t>
            </w:r>
          </w:p>
        </w:tc>
        <w:tc>
          <w:tcPr>
            <w:tcW w:type="dxa" w:w="163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Internal</w:t>
            </w:r>
          </w:p>
        </w:tc>
      </w:tr>
      <w:tr>
        <w:trPr>
          <w:cantSplit/>
        </w:trPr>
        <w:tc>
          <w:tcPr>
            <w:tcW w:type="dxa" w:w="67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12</w:t>
            </w:r>
          </w:p>
        </w:tc>
        <w:tc>
          <w:tcPr>
            <w:tcW w:type="dxa" w:w="298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Acknowledgement method</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One of the methods in §5</w:t>
            </w:r>
          </w:p>
        </w:tc>
        <w:tc>
          <w:tcPr>
            <w:tcW w:type="dxa" w:w="2024"/>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w:t>
            </w:r>
          </w:p>
        </w:tc>
        <w:tc>
          <w:tcPr>
            <w:tcW w:type="dxa" w:w="163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Internal</w:t>
            </w:r>
          </w:p>
        </w:tc>
      </w:tr>
      <w:tr>
        <w:trPr>
          <w:cantSplit/>
        </w:trPr>
        <w:tc>
          <w:tcPr>
            <w:tcW w:type="dxa" w:w="67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13</w:t>
            </w:r>
          </w:p>
        </w:tc>
        <w:tc>
          <w:tcPr>
            <w:tcW w:type="dxa" w:w="298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Verification transaction identifier</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Text</w:t>
            </w:r>
          </w:p>
        </w:tc>
        <w:tc>
          <w:tcPr>
            <w:tcW w:type="dxa" w:w="2024"/>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w:t>
            </w:r>
          </w:p>
        </w:tc>
        <w:tc>
          <w:tcPr>
            <w:tcW w:type="dxa" w:w="163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Confidential</w:t>
            </w:r>
          </w:p>
        </w:tc>
      </w:tr>
      <w:tr>
        <w:trPr>
          <w:cantSplit/>
        </w:trPr>
        <w:tc>
          <w:tcPr>
            <w:tcW w:type="dxa" w:w="67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14</w:t>
            </w:r>
          </w:p>
        </w:tc>
        <w:tc>
          <w:tcPr>
            <w:tcW w:type="dxa" w:w="298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Time the code was verified</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Timestamp, UTC with offset</w:t>
            </w:r>
          </w:p>
        </w:tc>
        <w:tc>
          <w:tcPr>
            <w:tcW w:type="dxa" w:w="2024"/>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w:t>
            </w:r>
          </w:p>
        </w:tc>
        <w:tc>
          <w:tcPr>
            <w:tcW w:type="dxa" w:w="163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Internal</w:t>
            </w:r>
          </w:p>
        </w:tc>
      </w:tr>
      <w:tr>
        <w:trPr>
          <w:cantSplit/>
        </w:trPr>
        <w:tc>
          <w:tcPr>
            <w:tcW w:type="dxa" w:w="67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15</w:t>
            </w:r>
          </w:p>
        </w:tc>
        <w:tc>
          <w:tcPr>
            <w:tcW w:type="dxa" w:w="298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Time the consent was captured</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Timestamp, UTC with offset</w:t>
            </w:r>
          </w:p>
        </w:tc>
        <w:tc>
          <w:tcPr>
            <w:tcW w:type="dxa" w:w="2024"/>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w:t>
            </w:r>
          </w:p>
        </w:tc>
        <w:tc>
          <w:tcPr>
            <w:tcW w:type="dxa" w:w="163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Internal</w:t>
            </w:r>
          </w:p>
        </w:tc>
      </w:tr>
      <w:tr>
        <w:trPr>
          <w:cantSplit/>
        </w:trPr>
        <w:tc>
          <w:tcPr>
            <w:tcW w:type="dxa" w:w="67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16</w:t>
            </w:r>
          </w:p>
        </w:tc>
        <w:tc>
          <w:tcPr>
            <w:tcW w:type="dxa" w:w="298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Originating network address</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Text</w:t>
            </w:r>
          </w:p>
        </w:tc>
        <w:tc>
          <w:tcPr>
            <w:tcW w:type="dxa" w:w="2024"/>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w:t>
            </w:r>
          </w:p>
        </w:tc>
        <w:tc>
          <w:tcPr>
            <w:tcW w:type="dxa" w:w="163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Confidential</w:t>
            </w:r>
          </w:p>
        </w:tc>
      </w:tr>
      <w:tr>
        <w:trPr>
          <w:cantSplit/>
        </w:trPr>
        <w:tc>
          <w:tcPr>
            <w:tcW w:type="dxa" w:w="67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17</w:t>
            </w:r>
          </w:p>
        </w:tc>
        <w:tc>
          <w:tcPr>
            <w:tcW w:type="dxa" w:w="298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Identity of the member of staff</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Text</w:t>
            </w:r>
          </w:p>
        </w:tc>
        <w:tc>
          <w:tcPr>
            <w:tcW w:type="dxa" w:w="2024"/>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 when assisted</w:t>
            </w:r>
          </w:p>
        </w:tc>
        <w:tc>
          <w:tcPr>
            <w:tcW w:type="dxa" w:w="163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Internal</w:t>
            </w:r>
          </w:p>
        </w:tc>
      </w:tr>
      <w:tr>
        <w:trPr>
          <w:cantSplit/>
        </w:trPr>
        <w:tc>
          <w:tcPr>
            <w:tcW w:type="dxa" w:w="67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18</w:t>
            </w:r>
          </w:p>
        </w:tc>
        <w:tc>
          <w:tcPr>
            <w:tcW w:type="dxa" w:w="298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Licence number of the selling agent</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Text</w:t>
            </w:r>
          </w:p>
        </w:tc>
        <w:tc>
          <w:tcPr>
            <w:tcW w:type="dxa" w:w="2024"/>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 when assisted</w:t>
            </w:r>
          </w:p>
        </w:tc>
        <w:tc>
          <w:tcPr>
            <w:tcW w:type="dxa" w:w="163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Confidential</w:t>
            </w:r>
          </w:p>
        </w:tc>
      </w:tr>
      <w:tr>
        <w:trPr>
          <w:cantSplit/>
        </w:trPr>
        <w:tc>
          <w:tcPr>
            <w:tcW w:type="dxa" w:w="67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19</w:t>
            </w:r>
          </w:p>
        </w:tc>
        <w:tc>
          <w:tcPr>
            <w:tcW w:type="dxa" w:w="298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Distributor identifier</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Text</w:t>
            </w:r>
          </w:p>
        </w:tc>
        <w:tc>
          <w:tcPr>
            <w:tcW w:type="dxa" w:w="2024"/>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 — server-side only, never exposed to a client</w:t>
            </w:r>
          </w:p>
        </w:tc>
        <w:tc>
          <w:tcPr>
            <w:tcW w:type="dxa" w:w="163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Confidential</w:t>
            </w:r>
          </w:p>
        </w:tc>
      </w:tr>
      <w:tr>
        <w:trPr>
          <w:cantSplit/>
        </w:trPr>
        <w:tc>
          <w:tcPr>
            <w:tcW w:type="dxa" w:w="67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20</w:t>
            </w:r>
          </w:p>
        </w:tc>
        <w:tc>
          <w:tcPr>
            <w:tcW w:type="dxa" w:w="298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Valid from</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Timestamp — equals field 14</w:t>
            </w:r>
          </w:p>
        </w:tc>
        <w:tc>
          <w:tcPr>
            <w:tcW w:type="dxa" w:w="2024"/>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w:t>
            </w:r>
          </w:p>
        </w:tc>
        <w:tc>
          <w:tcPr>
            <w:tcW w:type="dxa" w:w="163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Internal</w:t>
            </w:r>
          </w:p>
        </w:tc>
      </w:tr>
      <w:tr>
        <w:trPr>
          <w:cantSplit/>
        </w:trPr>
        <w:tc>
          <w:tcPr>
            <w:tcW w:type="dxa" w:w="67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21</w:t>
            </w:r>
          </w:p>
        </w:tc>
        <w:tc>
          <w:tcPr>
            <w:tcW w:type="dxa" w:w="298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Valid until</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Timestamp, or the explicit value OPEN_ENDED for a consent that does not expire — per §8 and CNS-R23a</w:t>
            </w:r>
          </w:p>
        </w:tc>
        <w:tc>
          <w:tcPr>
            <w:tcW w:type="dxa" w:w="2024"/>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w:t>
            </w:r>
          </w:p>
        </w:tc>
        <w:tc>
          <w:tcPr>
            <w:tcW w:type="dxa" w:w="163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Internal</w:t>
            </w:r>
          </w:p>
        </w:tc>
      </w:tr>
      <w:tr>
        <w:trPr>
          <w:cantSplit/>
        </w:trPr>
        <w:tc>
          <w:tcPr>
            <w:tcW w:type="dxa" w:w="67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22</w:t>
            </w:r>
          </w:p>
        </w:tc>
        <w:tc>
          <w:tcPr>
            <w:tcW w:type="dxa" w:w="298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Status</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Active, expired, withdrawn or superseded</w:t>
            </w:r>
          </w:p>
        </w:tc>
        <w:tc>
          <w:tcPr>
            <w:tcW w:type="dxa" w:w="2024"/>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w:t>
            </w:r>
          </w:p>
        </w:tc>
        <w:tc>
          <w:tcPr>
            <w:tcW w:type="dxa" w:w="163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Internal</w:t>
            </w:r>
          </w:p>
        </w:tc>
      </w:tr>
      <w:tr>
        <w:trPr>
          <w:cantSplit/>
        </w:trPr>
        <w:tc>
          <w:tcPr>
            <w:tcW w:type="dxa" w:w="67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23</w:t>
            </w:r>
          </w:p>
        </w:tc>
        <w:tc>
          <w:tcPr>
            <w:tcW w:type="dxa" w:w="298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Identifier of the consent this supersedes</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Unique identifier</w:t>
            </w:r>
          </w:p>
        </w:tc>
        <w:tc>
          <w:tcPr>
            <w:tcW w:type="dxa" w:w="2024"/>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Optional</w:t>
            </w:r>
          </w:p>
        </w:tc>
        <w:tc>
          <w:tcPr>
            <w:tcW w:type="dxa" w:w="163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Internal</w:t>
            </w:r>
          </w:p>
        </w:tc>
      </w:tr>
      <w:tr>
        <w:trPr>
          <w:cantSplit/>
        </w:trPr>
        <w:tc>
          <w:tcPr>
            <w:tcW w:type="dxa" w:w="67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24</w:t>
            </w:r>
          </w:p>
        </w:tc>
        <w:tc>
          <w:tcPr>
            <w:tcW w:type="dxa" w:w="298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Record sequence number</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Integer, append-only</w:t>
            </w:r>
          </w:p>
        </w:tc>
        <w:tc>
          <w:tcPr>
            <w:tcW w:type="dxa" w:w="2024"/>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w:t>
            </w:r>
          </w:p>
        </w:tc>
        <w:tc>
          <w:tcPr>
            <w:tcW w:type="dxa" w:w="163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Internal</w:t>
            </w:r>
          </w:p>
        </w:tc>
      </w:tr>
    </w:tbl>
    <w:p>
      <w:bookmarkStart w:id="8" w:name="sec_008"/>
      <w:pPr>
        <w:pStyle w:val="Heading2"/>
        <w:keepNext/>
        <w:keepLines/>
        <w:pageBreakBefore/>
        <w:spacing w:after="120" w:before="0"/>
      </w:pPr>
      <w:r>
        <w:rPr>
          <w:b/>
          <w:bCs/>
          <w:color w:val="11304E"/>
          <w:sz w:val="24"/>
          <w:szCs w:val="24"/>
        </w:rPr>
        <w:t xml:space="preserve">7.  Immutability</w:t>
      </w:r>
      <w:bookmarkEnd w:id="8"/>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253"/>
        <w:gridCol w:w="4723"/>
        <w:gridCol w:w="3662"/>
      </w:tblGrid>
      <w:tr>
        <w:trPr>
          <w:cantSplit/>
          <w:tblHeader/>
        </w:trPr>
        <w:tc>
          <w:tcPr>
            <w:tcW w:type="dxa" w:w="125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Rule</w:t>
            </w:r>
          </w:p>
        </w:tc>
        <w:tc>
          <w:tcPr>
            <w:tcW w:type="dxa" w:w="472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Normative statement</w:t>
            </w:r>
          </w:p>
        </w:tc>
        <w:tc>
          <w:tcPr>
            <w:tcW w:type="dxa" w:w="3662"/>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How conformance will be demonstrated</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CNS-R16</w:t>
            </w:r>
          </w:p>
        </w:tc>
        <w:tc>
          <w:tcPr>
            <w:tcW w:type="dxa" w:w="472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consent store MUST be append-only. No update and no delete against a consent record, by any application identity.</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Issue an update and a delete against a consent record using the application’s own database account. Both fail on privilege rather than on application logic.</w:t>
            </w:r>
          </w:p>
        </w:tc>
      </w:tr>
      <w:tr>
        <w:trPr>
          <w:cantSplit/>
        </w:trPr>
        <w:tc>
          <w:tcPr>
            <w:tcW w:type="dxa" w:w="1253"/>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CNS-R17</w:t>
            </w:r>
          </w:p>
        </w:tc>
        <w:tc>
          <w:tcPr>
            <w:tcW w:type="dxa" w:w="472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change of state — expiry, withdrawal, supersession — MUST be represented as a new record referencing the earlier one, never as an edit.</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Withdraw a consent. Two records exist: the original unchanged, and a new one recording the withdrawal.</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CNS-R18</w:t>
            </w:r>
          </w:p>
        </w:tc>
        <w:tc>
          <w:tcPr>
            <w:tcW w:type="dxa" w:w="472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current status of a consent MUST be derivable from the record chain with no ambiguity about which record is current.</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For any consent, exactly one record is the head of its chain.</w:t>
            </w:r>
          </w:p>
        </w:tc>
      </w:tr>
      <w:tr>
        <w:trPr>
          <w:cantSplit/>
        </w:trPr>
        <w:tc>
          <w:tcPr>
            <w:tcW w:type="dxa" w:w="1253"/>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CNS-R19</w:t>
            </w:r>
          </w:p>
        </w:tc>
        <w:tc>
          <w:tcPr>
            <w:tcW w:type="dxa" w:w="472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Consent evidence MUST be retrievable by journey, by customer and by consent identifier, returning the full chain each time.</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Three retrievals, each returning every record in the chain in sequence order.</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CNS-R20</w:t>
            </w:r>
          </w:p>
        </w:tc>
        <w:tc>
          <w:tcPr>
            <w:tcW w:type="dxa" w:w="472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No consent field classified restricted or confidential MUST appear in application logs.</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Run the full test suite and scan the emitted logs for customer identifiers, verification transaction identifiers, network addresses and agent licence numbers. No matches.</w:t>
            </w:r>
          </w:p>
        </w:tc>
      </w:tr>
    </w:tbl>
    <w:p>
      <w:pPr>
        <w:spacing w:after="120"/>
      </w:pPr>
      <w:r>
        <w:t xml:space="preserve"/>
      </w:r>
    </w:p>
    <w:p>
      <w:pPr>
        <w:keepNext/>
        <w:keepLines/>
        <w:pBdr>
          <w:top w:val="single" w:color="F1F5F8" w:sz="2" w:space="8"/>
          <w:left w:val="single" w:color="8A5A00" w:sz="18" w:space="10"/>
          <w:right w:val="single" w:color="F1F5F8" w:sz="2" w:space="10"/>
        </w:pBdr>
        <w:shd w:fill="F1F5F8" w:color="auto" w:val="clear"/>
        <w:spacing w:after="100" w:before="140" w:line="276"/>
        <w:ind w:left="200" w:right="200"/>
      </w:pPr>
      <w:r>
        <w:rPr>
          <w:b/>
          <w:bCs/>
          <w:i w:val="false"/>
          <w:iCs w:val="false"/>
          <w:color w:val="8A5A00"/>
          <w:sz w:val="20"/>
          <w:szCs w:val="20"/>
        </w:rPr>
        <w:t xml:space="preserve">CNS-R16 is enforced by database privilege, not by code</w:t>
      </w:r>
    </w:p>
    <w:p>
      <w:pPr>
        <w:keepNext w:val="false"/>
        <w:keepLines/>
        <w:pBdr>
          <w:bottom w:val="single" w:color="F1F5F8" w:sz="2" w:space="8"/>
          <w:left w:val="single" w:color="8A5A00" w:sz="18" w:space="10"/>
          <w:right w:val="single" w:color="F1F5F8" w:sz="2" w:space="10"/>
        </w:pBdr>
        <w:shd w:fill="F1F5F8" w:color="auto" w:val="clear"/>
        <w:spacing w:after="140" w:before="0" w:line="276"/>
        <w:ind w:left="200" w:right="200"/>
      </w:pPr>
      <w:r>
        <w:rPr>
          <w:b w:val="false"/>
          <w:bCs w:val="false"/>
          <w:i w:val="false"/>
          <w:iCs w:val="false"/>
          <w:color w:val="222629"/>
          <w:sz w:val="20"/>
          <w:szCs w:val="20"/>
        </w:rPr>
        <w:t xml:space="preserve">An append-only rule that lives inside a service is an append-only rule that one urgent fix removes. This is a hard requirement on the physical database design and a condition on the infrastructure stage. It is carried forward as a condition in Volume 1, §12.</w:t>
      </w:r>
    </w:p>
    <w:p>
      <w:bookmarkStart w:id="9" w:name="sec_009"/>
      <w:pPr>
        <w:pStyle w:val="Heading2"/>
        <w:keepNext/>
        <w:keepLines/>
        <w:spacing w:after="120" w:before="300"/>
      </w:pPr>
      <w:r>
        <w:rPr>
          <w:b/>
          <w:bCs/>
          <w:color w:val="11304E"/>
          <w:sz w:val="24"/>
          <w:szCs w:val="24"/>
        </w:rPr>
        <w:t xml:space="preserve">8.  Validity, expiry and reuse</w:t>
      </w:r>
      <w:bookmarkEnd w:id="9"/>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253"/>
        <w:gridCol w:w="4723"/>
        <w:gridCol w:w="3662"/>
      </w:tblGrid>
      <w:tr>
        <w:trPr>
          <w:cantSplit/>
          <w:tblHeader/>
        </w:trPr>
        <w:tc>
          <w:tcPr>
            <w:tcW w:type="dxa" w:w="125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Rule</w:t>
            </w:r>
          </w:p>
        </w:tc>
        <w:tc>
          <w:tcPr>
            <w:tcW w:type="dxa" w:w="472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Normative statement</w:t>
            </w:r>
          </w:p>
        </w:tc>
        <w:tc>
          <w:tcPr>
            <w:tcW w:type="dxa" w:w="3662"/>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How conformance will be demonstrated</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CNS-R21</w:t>
            </w:r>
          </w:p>
        </w:tc>
        <w:tc>
          <w:tcPr>
            <w:tcW w:type="dxa" w:w="472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Data-processing and solicitation consents are valid for 90 days from the time they take effect.</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consent at 89 days permits the journey to proceed; at 91 days the journey is blocked as expired.</w:t>
            </w:r>
          </w:p>
        </w:tc>
      </w:tr>
      <w:tr>
        <w:trPr>
          <w:cantSplit/>
        </w:trPr>
        <w:tc>
          <w:tcPr>
            <w:tcW w:type="dxa" w:w="1253"/>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CNS-R22</w:t>
            </w:r>
          </w:p>
        </w:tc>
        <w:tc>
          <w:tcPr>
            <w:tcW w:type="dxa" w:w="472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Insurer-sharing consent is valid for 30 days and is scoped to a named insurer. Sharing with a second insurer requires a second consent.</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Capture sharing consent for one insurer and submit a proposal to another: refused as a scope mismatch.</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CNS-R23</w:t>
            </w:r>
          </w:p>
        </w:tc>
        <w:tc>
          <w:tcPr>
            <w:tcW w:type="dxa" w:w="472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Servicing-communications consent has no expiry; it persists until withdrawn.</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consent given 400 days earlier still permits communication.</w:t>
            </w:r>
          </w:p>
        </w:tc>
      </w:tr>
      <w:tr>
        <w:trPr>
          <w:cantSplit/>
        </w:trPr>
        <w:tc>
          <w:tcPr>
            <w:tcW w:type="dxa" w:w="1253"/>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CNS-R23a</w:t>
            </w:r>
          </w:p>
        </w:tc>
        <w:tc>
          <w:tcPr>
            <w:tcW w:type="dxa" w:w="472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Where a consent does not expire, the mandatory “valid until” field MUST carry the explicit value OPEN_ENDED. It MUST NOT be left null, and it MUST NOT be filled with a far-future date that would read at audit as a fixed expiry the customer was never told about.</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Capture a servicing-communications consent: the field reads OPEN_ENDED. Assert that no null and no synthetic date is accepted in that field, and that an expiry check on OPEN_ENDED never returns expired.</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CNS-R24</w:t>
            </w:r>
          </w:p>
        </w:tc>
        <w:tc>
          <w:tcPr>
            <w:tcW w:type="dxa" w:w="472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Consent MUST NOT be reused across customers. A consent is bound to one customer for its lifetime.</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Present a valid consent alongside a different customer identifier: refused as a subject mismatch.</w:t>
            </w:r>
          </w:p>
        </w:tc>
      </w:tr>
      <w:tr>
        <w:trPr>
          <w:cantSplit/>
        </w:trPr>
        <w:tc>
          <w:tcPr>
            <w:tcW w:type="dxa" w:w="1253"/>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CNS-R25</w:t>
            </w:r>
          </w:p>
        </w:tc>
        <w:tc>
          <w:tcPr>
            <w:tcW w:type="dxa" w:w="472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Consent MAY be reused across journeys for the same customer within its validity window, for the same event and the same scope.</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Abandon one journey, then start another 10 days later for the same customer. The existing consent is reused with no re-prompt, and the new journey references it.</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CNS-R26</w:t>
            </w:r>
          </w:p>
        </w:tc>
        <w:tc>
          <w:tcPr>
            <w:tcW w:type="dxa" w:w="472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re-consent MUST create a new record chained to the one it supersedes, and the superseded record MUST be retained.</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Re-consent. The earlier record is present and marked superseded; the new record references it.</w:t>
            </w:r>
          </w:p>
        </w:tc>
      </w:tr>
    </w:tbl>
    <w:p>
      <w:pPr>
        <w:spacing w:after="120"/>
      </w:pPr>
      <w:r>
        <w:t xml:space="preserve"/>
      </w:r>
    </w:p>
    <w:p>
      <w:pPr>
        <w:keepNext/>
        <w:keepLines/>
        <w:pBdr>
          <w:top w:val="single" w:color="F1F5F8" w:sz="2" w:space="8"/>
          <w:left w:val="single" w:color="0F6E6E" w:sz="18" w:space="10"/>
          <w:right w:val="single" w:color="F1F5F8" w:sz="2" w:space="10"/>
        </w:pBdr>
        <w:shd w:fill="F1F5F8" w:color="auto" w:val="clear"/>
        <w:spacing w:after="100" w:before="140" w:line="276"/>
        <w:ind w:left="200" w:right="200"/>
      </w:pPr>
      <w:r>
        <w:rPr>
          <w:b/>
          <w:bCs/>
          <w:i w:val="false"/>
          <w:iCs w:val="false"/>
          <w:color w:val="0F6E6E"/>
          <w:sz w:val="20"/>
          <w:szCs w:val="20"/>
        </w:rPr>
        <w:t xml:space="preserve">Why reuse is deliberate</w:t>
      </w:r>
    </w:p>
    <w:p>
      <w:pPr>
        <w:keepNext w:val="false"/>
        <w:keepLines/>
        <w:pBdr>
          <w:bottom w:val="single" w:color="F1F5F8" w:sz="2" w:space="8"/>
          <w:left w:val="single" w:color="0F6E6E" w:sz="18" w:space="10"/>
          <w:right w:val="single" w:color="F1F5F8" w:sz="2" w:space="10"/>
        </w:pBdr>
        <w:shd w:fill="F1F5F8" w:color="auto" w:val="clear"/>
        <w:spacing w:after="140" w:before="0" w:line="276"/>
        <w:ind w:left="200" w:right="200"/>
      </w:pPr>
      <w:r>
        <w:rPr>
          <w:b w:val="false"/>
          <w:bCs w:val="false"/>
          <w:i w:val="false"/>
          <w:iCs w:val="false"/>
          <w:color w:val="222629"/>
          <w:sz w:val="20"/>
          <w:szCs w:val="20"/>
        </w:rPr>
        <w:t xml:space="preserve">An existing customer re-prompted for identical data-processing consent ten days apart learns that consent is noise, which is the outcome the obligation exists to prevent. Reuse is bounded by customer, event, scope and window — all four, together.</w:t>
      </w:r>
    </w:p>
    <w:p>
      <w:bookmarkStart w:id="10" w:name="sec_010"/>
      <w:pPr>
        <w:pStyle w:val="Heading2"/>
        <w:keepNext/>
        <w:keepLines/>
        <w:pageBreakBefore/>
        <w:spacing w:after="120" w:before="0"/>
      </w:pPr>
      <w:r>
        <w:rPr>
          <w:b/>
          <w:bCs/>
          <w:color w:val="11304E"/>
          <w:sz w:val="24"/>
          <w:szCs w:val="24"/>
        </w:rPr>
        <w:t xml:space="preserve">9.  Withdrawal</w:t>
      </w:r>
      <w:bookmarkEnd w:id="10"/>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253"/>
        <w:gridCol w:w="4723"/>
        <w:gridCol w:w="3662"/>
      </w:tblGrid>
      <w:tr>
        <w:trPr>
          <w:cantSplit/>
          <w:tblHeader/>
        </w:trPr>
        <w:tc>
          <w:tcPr>
            <w:tcW w:type="dxa" w:w="125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Rule</w:t>
            </w:r>
          </w:p>
        </w:tc>
        <w:tc>
          <w:tcPr>
            <w:tcW w:type="dxa" w:w="472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Normative statement</w:t>
            </w:r>
          </w:p>
        </w:tc>
        <w:tc>
          <w:tcPr>
            <w:tcW w:type="dxa" w:w="3662"/>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How conformance will be demonstrated</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CNS-R27</w:t>
            </w:r>
          </w:p>
        </w:tc>
        <w:tc>
          <w:tcPr>
            <w:tcW w:type="dxa" w:w="472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customer MUST be able to withdraw any consent at any time, through staff or in the app. Withdrawal requires the same verification as capture.</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Withdraw through each channel; a verified transaction is present on each withdrawal record.</w:t>
            </w:r>
          </w:p>
        </w:tc>
      </w:tr>
      <w:tr>
        <w:trPr>
          <w:cantSplit/>
        </w:trPr>
        <w:tc>
          <w:tcPr>
            <w:tcW w:type="dxa" w:w="1253"/>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CNS-R28</w:t>
            </w:r>
          </w:p>
        </w:tc>
        <w:tc>
          <w:tcPr>
            <w:tcW w:type="dxa" w:w="472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withdrawal MUST record the time, the acting identity, the channel, an optional customer-stated reason, and the verification transaction.</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Retrieve a withdrawal record; all mandatory fields are present.</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CNS-R29</w:t>
            </w:r>
          </w:p>
        </w:tc>
        <w:tc>
          <w:tcPr>
            <w:tcW w:type="dxa" w:w="472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Withdrawal of data-processing or solicitation consent MUST halt the journey immediately at its current step. Journey data is retained under the retention schedule; processing stops.</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Withdraw mid-journey. The next journey action is refused as halted, and no further insurer call occurs.</w:t>
            </w:r>
          </w:p>
        </w:tc>
      </w:tr>
      <w:tr>
        <w:trPr>
          <w:cantSplit/>
        </w:trPr>
        <w:tc>
          <w:tcPr>
            <w:tcW w:type="dxa" w:w="1253"/>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CNS-R30</w:t>
            </w:r>
          </w:p>
        </w:tc>
        <w:tc>
          <w:tcPr>
            <w:tcW w:type="dxa" w:w="472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Withdrawal of sharing consent after a proposal has been submitted to the insurer MUST NOT be presented to the customer as retracting the submission. The platform records the withdrawal, stops further sharing, and raises an operations task to contact the insurer.</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Withdraw after submission. The chain shows the withdrawal, an operations task exists, and the message to the customer states that the insurer will be contacted — not that the proposal is cancelled.</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CNS-R31</w:t>
            </w:r>
          </w:p>
        </w:tc>
        <w:tc>
          <w:tcPr>
            <w:tcW w:type="dxa" w:w="472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Withdrawal of servicing-communications consent MUST suppress non-mandatory communications only. Regulatory and transactional messages continue.</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Withdraw it: marketing messages are suppressed and the issuance confirmation is still sent.</w:t>
            </w:r>
          </w:p>
        </w:tc>
      </w:tr>
      <w:tr>
        <w:trPr>
          <w:cantSplit/>
        </w:trPr>
        <w:tc>
          <w:tcPr>
            <w:tcW w:type="dxa" w:w="1253"/>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CNS-R32</w:t>
            </w:r>
          </w:p>
        </w:tc>
        <w:tc>
          <w:tcPr>
            <w:tcW w:type="dxa" w:w="472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Withdrawal MUST NOT delete prior consent evidence.</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After withdrawal, the original capture record is retrievable in full.</w:t>
            </w:r>
          </w:p>
        </w:tc>
      </w:tr>
    </w:tbl>
    <w:p>
      <w:pPr>
        <w:spacing w:after="120"/>
      </w:pPr>
      <w:r>
        <w:t xml:space="preserve"/>
      </w:r>
    </w:p>
    <w:p>
      <w:pPr>
        <w:keepNext/>
        <w:keepLines/>
        <w:pBdr>
          <w:top w:val="single" w:color="F1F5F8" w:sz="2" w:space="8"/>
          <w:left w:val="single" w:color="9B2226" w:sz="18" w:space="10"/>
          <w:right w:val="single" w:color="F1F5F8" w:sz="2" w:space="10"/>
        </w:pBdr>
        <w:shd w:fill="F1F5F8" w:color="auto" w:val="clear"/>
        <w:spacing w:after="100" w:before="140" w:line="276"/>
        <w:ind w:left="200" w:right="200"/>
      </w:pPr>
      <w:r>
        <w:rPr>
          <w:b/>
          <w:bCs/>
          <w:i w:val="false"/>
          <w:iCs w:val="false"/>
          <w:color w:val="9B2226"/>
          <w:sz w:val="20"/>
          <w:szCs w:val="20"/>
        </w:rPr>
        <w:t xml:space="preserve">CNS-R30 is the honest rule</w:t>
      </w:r>
    </w:p>
    <w:p>
      <w:pPr>
        <w:keepNext w:val="false"/>
        <w:keepLines/>
        <w:pBdr>
          <w:bottom w:val="single" w:color="F1F5F8" w:sz="2" w:space="8"/>
          <w:left w:val="single" w:color="9B2226" w:sz="18" w:space="10"/>
          <w:right w:val="single" w:color="F1F5F8" w:sz="2" w:space="10"/>
        </w:pBdr>
        <w:shd w:fill="F1F5F8" w:color="auto" w:val="clear"/>
        <w:spacing w:after="140" w:before="0" w:line="276"/>
        <w:ind w:left="200" w:right="200"/>
      </w:pPr>
      <w:r>
        <w:rPr>
          <w:b w:val="false"/>
          <w:bCs w:val="false"/>
          <w:i w:val="false"/>
          <w:iCs w:val="false"/>
          <w:color w:val="222629"/>
          <w:sz w:val="20"/>
          <w:szCs w:val="20"/>
        </w:rPr>
        <w:t xml:space="preserve">The platform cannot un-send data already transmitted to an insurer. Telling the customer otherwise would be a false statement about a regulated act. The behaviour is: stop, record, escalate to a person, and tell the customer exactly that.</w:t>
      </w:r>
    </w:p>
    <w:p>
      <w:bookmarkStart w:id="11" w:name="sec_011"/>
      <w:pPr>
        <w:pStyle w:val="Heading2"/>
        <w:keepNext/>
        <w:keepLines/>
        <w:spacing w:after="120" w:before="300"/>
      </w:pPr>
      <w:r>
        <w:rPr>
          <w:b/>
          <w:bCs/>
          <w:color w:val="11304E"/>
          <w:sz w:val="24"/>
          <w:szCs w:val="24"/>
        </w:rPr>
        <w:t xml:space="preserve">10.  Retention and retrieval</w:t>
      </w:r>
      <w:bookmarkEnd w:id="11"/>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253"/>
        <w:gridCol w:w="4723"/>
        <w:gridCol w:w="3662"/>
      </w:tblGrid>
      <w:tr>
        <w:trPr>
          <w:cantSplit/>
          <w:tblHeader/>
        </w:trPr>
        <w:tc>
          <w:tcPr>
            <w:tcW w:type="dxa" w:w="125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Rule</w:t>
            </w:r>
          </w:p>
        </w:tc>
        <w:tc>
          <w:tcPr>
            <w:tcW w:type="dxa" w:w="472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Normative statement</w:t>
            </w:r>
          </w:p>
        </w:tc>
        <w:tc>
          <w:tcPr>
            <w:tcW w:type="dxa" w:w="3662"/>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How conformance will be demonstrated</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CNS-R33</w:t>
            </w:r>
          </w:p>
        </w:tc>
        <w:tc>
          <w:tcPr>
            <w:tcW w:type="dxa" w:w="472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Consent evidence MUST be retained for 7 years from the terminal state of the journey it belongs to — policy issued, lapsed, or abandoned and closed.</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Compute the retention expiry for records across all three terminal states; each equals the terminal date plus seven years.</w:t>
            </w:r>
          </w:p>
        </w:tc>
      </w:tr>
      <w:tr>
        <w:trPr>
          <w:cantSplit/>
        </w:trPr>
        <w:tc>
          <w:tcPr>
            <w:tcW w:type="dxa" w:w="1253"/>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CNS-R33a</w:t>
            </w:r>
          </w:p>
        </w:tc>
        <w:tc>
          <w:tcPr>
            <w:tcW w:type="dxa" w:w="472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Where a consent is reused across journeys under CNS-R25, retention MUST be anchored to the terminal state of the LAST journey that relied on it. The clock restarts on each reuse and MUST never shorten. A consent that has not yet been relied upon by any terminated journey MUST NOT become eligible for disposal.</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Reuse one consent across two journeys terminating three months apart: the expiry equals the later terminal date plus seven years. Add a third, later journey: the expiry moves out. Assert no path shortens a previously computed expiry.</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CNS-R33b</w:t>
            </w:r>
          </w:p>
        </w:tc>
        <w:tc>
          <w:tcPr>
            <w:tcW w:type="dxa" w:w="472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consent with no expiry under CNS-R23 MUST be retained for 7 years from its withdrawal, or from the terminal state of the last journey that relied on it, whichever is later.</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Withdraw a servicing-communications consent one year after the last journey terminated: retention runs seven years from the withdrawal.</w:t>
            </w:r>
          </w:p>
        </w:tc>
      </w:tr>
      <w:tr>
        <w:trPr>
          <w:cantSplit/>
        </w:trPr>
        <w:tc>
          <w:tcPr>
            <w:tcW w:type="dxa" w:w="1253"/>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CNS-R33c</w:t>
            </w:r>
          </w:p>
        </w:tc>
        <w:tc>
          <w:tcPr>
            <w:tcW w:type="dxa" w:w="472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legal hold MUST suspend disposal for the records it names, MUST be recorded with who placed it and when, and MUST be releasable only by Compliance. Retention MUST NOT be computed as expired while a hold is in force.</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Place a hold on a record past its retention expiry: disposal is refused and the refusal is logged. Release the hold as Compliance: disposal becomes possible. Attempt release as any other role: refused.</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CNS-R34</w:t>
            </w:r>
          </w:p>
        </w:tc>
        <w:tc>
          <w:tcPr>
            <w:tcW w:type="dxa" w:w="472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Retained evidence MUST be held in write-once storage in an India region.</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Inspect the storage configuration: write-once locking enabled, retention set to seven years, region within India.</w:t>
            </w:r>
          </w:p>
        </w:tc>
      </w:tr>
      <w:tr>
        <w:trPr>
          <w:cantSplit/>
        </w:trPr>
        <w:tc>
          <w:tcPr>
            <w:tcW w:type="dxa" w:w="1253"/>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CNS-R35</w:t>
            </w:r>
          </w:p>
        </w:tc>
        <w:tc>
          <w:tcPr>
            <w:tcW w:type="dxa" w:w="472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single consent record MUST be retrievable within 4 business hours of a regulator or internal audit request; a full journey bundle within 1 business day.</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timed retrieval exercise, recorded.</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CNS-R36</w:t>
            </w:r>
          </w:p>
        </w:tc>
        <w:tc>
          <w:tcPr>
            <w:tcW w:type="dxa" w:w="472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Retention MUST NOT be shortenable by an application configuration change.</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Attempt to reduce the retention period through application configuration; the value is bound to the infrastructure and the change has no effect on stored records.</w:t>
            </w:r>
          </w:p>
        </w:tc>
      </w:tr>
    </w:tbl>
    <w:p>
      <w:pPr>
        <w:spacing w:after="100"/>
      </w:pPr>
      <w:r>
        <w:t xml:space="preserve"/>
      </w:r>
    </w:p>
    <w:p>
      <w:pPr>
        <w:spacing w:after="120" w:before="0" w:line="276"/>
        <w:jc w:val="left"/>
      </w:pPr>
      <w:r>
        <w:rPr>
          <w:b/>
          <w:bCs/>
          <w:i w:val="false"/>
          <w:iCs w:val="false"/>
          <w:color w:val="222629"/>
          <w:sz w:val="20"/>
          <w:szCs w:val="20"/>
        </w:rPr>
        <w:t xml:space="preserve">Data residency is on the agreed non-waivable list. </w:t>
      </w:r>
      <w:r>
        <w:rPr>
          <w:b w:val="false"/>
          <w:bCs w:val="false"/>
          <w:i w:val="false"/>
          <w:iCs w:val="false"/>
          <w:color w:val="222629"/>
          <w:sz w:val="20"/>
          <w:szCs w:val="20"/>
        </w:rPr>
        <w:t xml:space="preserve">CNS-R34 is therefore a hard dependency on the infrastructure stage and cannot be deferred to the build stage.</w:t>
      </w:r>
    </w:p>
    <w:p>
      <w:bookmarkStart w:id="12" w:name="sec_012"/>
      <w:pPr>
        <w:pStyle w:val="Heading2"/>
        <w:keepNext/>
        <w:keepLines/>
        <w:pageBreakBefore/>
        <w:spacing w:after="120" w:before="0"/>
      </w:pPr>
      <w:r>
        <w:rPr>
          <w:b/>
          <w:bCs/>
          <w:color w:val="11304E"/>
          <w:sz w:val="24"/>
          <w:szCs w:val="24"/>
        </w:rPr>
        <w:t xml:space="preserve">11.  Failure behaviour</w:t>
      </w:r>
      <w:bookmarkEnd w:id="12"/>
    </w:p>
    <w:p>
      <w:pPr>
        <w:spacing w:after="120" w:before="0" w:line="276"/>
        <w:jc w:val="left"/>
      </w:pPr>
      <w:r>
        <w:rPr>
          <w:b w:val="false"/>
          <w:bCs w:val="false"/>
          <w:i w:val="false"/>
          <w:iCs w:val="false"/>
          <w:color w:val="222629"/>
          <w:sz w:val="20"/>
          <w:szCs w:val="20"/>
        </w:rPr>
        <w:t xml:space="preserve">Every rule above has a failure path. What the actor experiences is specified, because a control that produces an unexplained error trains staff to work around it.</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928"/>
        <w:gridCol w:w="2313"/>
        <w:gridCol w:w="3277"/>
        <w:gridCol w:w="2120"/>
      </w:tblGrid>
      <w:tr>
        <w:trPr>
          <w:cantSplit/>
          <w:tblHeader/>
        </w:trPr>
        <w:tc>
          <w:tcPr>
            <w:tcW w:type="dxa" w:w="1928"/>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Condition</w:t>
            </w:r>
          </w:p>
        </w:tc>
        <w:tc>
          <w:tcPr>
            <w:tcW w:type="dxa" w:w="231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Reason code</w:t>
            </w:r>
          </w:p>
        </w:tc>
        <w:tc>
          <w:tcPr>
            <w:tcW w:type="dxa" w:w="3277"/>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What staff are told</w:t>
            </w:r>
          </w:p>
        </w:tc>
        <w:tc>
          <w:tcPr>
            <w:tcW w:type="dxa" w:w="2120"/>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Effect on the journey</w:t>
            </w:r>
          </w:p>
        </w:tc>
      </w:tr>
      <w:tr>
        <w:trPr>
          <w:cantSplit/>
        </w:trPr>
        <w:tc>
          <w:tcPr>
            <w:tcW w:type="dxa" w:w="192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Required consent absent</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CONSENT_REQUIRED</w:t>
            </w:r>
          </w:p>
        </w:tc>
        <w:tc>
          <w:tcPr>
            <w:tcW w:type="dxa" w:w="3277"/>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"Customer consent for [named event] is needed before this step", with an action to obtain it</w:t>
            </w:r>
          </w:p>
        </w:tc>
        <w:tc>
          <w:tcPr>
            <w:tcW w:type="dxa" w:w="212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Blocked at that step</w:t>
            </w:r>
          </w:p>
        </w:tc>
      </w:tr>
      <w:tr>
        <w:trPr>
          <w:cantSplit/>
        </w:trPr>
        <w:tc>
          <w:tcPr>
            <w:tcW w:type="dxa" w:w="192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Consent expired</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CONSENT_EXPIRED</w:t>
            </w:r>
          </w:p>
        </w:tc>
        <w:tc>
          <w:tcPr>
            <w:tcW w:type="dxa" w:w="3277"/>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"Consent given on [date] has expired. Re-confirm with the customer."</w:t>
            </w:r>
          </w:p>
        </w:tc>
        <w:tc>
          <w:tcPr>
            <w:tcW w:type="dxa" w:w="212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Blocked; a re-consent path is offered</w:t>
            </w:r>
          </w:p>
        </w:tc>
      </w:tr>
      <w:tr>
        <w:trPr>
          <w:cantSplit/>
        </w:trPr>
        <w:tc>
          <w:tcPr>
            <w:tcW w:type="dxa" w:w="192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Consent withdrawn</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JOURNEY_HALTED_CONSENT_WITHDRAWN</w:t>
            </w:r>
          </w:p>
        </w:tc>
        <w:tc>
          <w:tcPr>
            <w:tcW w:type="dxa" w:w="3277"/>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customer withdrew consent on [date]. This journey is closed."</w:t>
            </w:r>
          </w:p>
        </w:tc>
        <w:tc>
          <w:tcPr>
            <w:tcW w:type="dxa" w:w="212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Halted</w:t>
            </w:r>
          </w:p>
        </w:tc>
      </w:tr>
      <w:tr>
        <w:trPr>
          <w:cantSplit/>
        </w:trPr>
        <w:tc>
          <w:tcPr>
            <w:tcW w:type="dxa" w:w="192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Scope mismatch on insurer</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CONSENT_SCOPE_MISMATCH</w:t>
            </w:r>
          </w:p>
        </w:tc>
        <w:tc>
          <w:tcPr>
            <w:tcW w:type="dxa" w:w="3277"/>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"Consent covers [insurer A]. Capture consent for [insurer B]."</w:t>
            </w:r>
          </w:p>
        </w:tc>
        <w:tc>
          <w:tcPr>
            <w:tcW w:type="dxa" w:w="212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Blocked for that insurer only</w:t>
            </w:r>
          </w:p>
        </w:tc>
      </w:tr>
      <w:tr>
        <w:trPr>
          <w:cantSplit/>
        </w:trPr>
        <w:tc>
          <w:tcPr>
            <w:tcW w:type="dxa" w:w="192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Customer identity mismatch</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CONSENT_SUBJECT_MISMATCH</w:t>
            </w:r>
          </w:p>
        </w:tc>
        <w:tc>
          <w:tcPr>
            <w:tcW w:type="dxa" w:w="3277"/>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generic failure; an incident is raised</w:t>
            </w:r>
          </w:p>
        </w:tc>
        <w:tc>
          <w:tcPr>
            <w:tcW w:type="dxa" w:w="2120"/>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Blocked — treated as a security event</w:t>
            </w:r>
          </w:p>
        </w:tc>
      </w:tr>
      <w:tr>
        <w:trPr>
          <w:cantSplit/>
        </w:trPr>
        <w:tc>
          <w:tcPr>
            <w:tcW w:type="dxa" w:w="192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Code not yet verified</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CONSENT_OTP_NOT_VERIFIED</w:t>
            </w:r>
          </w:p>
        </w:tc>
        <w:tc>
          <w:tcPr>
            <w:tcW w:type="dxa" w:w="3277"/>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"Waiting for the customer to confirm the code sent to their mobile."</w:t>
            </w:r>
          </w:p>
        </w:tc>
        <w:tc>
          <w:tcPr>
            <w:tcW w:type="dxa" w:w="212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Pending</w:t>
            </w:r>
          </w:p>
        </w:tc>
      </w:tr>
      <w:tr>
        <w:trPr>
          <w:cantSplit/>
        </w:trPr>
        <w:tc>
          <w:tcPr>
            <w:tcW w:type="dxa" w:w="192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Code expired</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OTP_EXPIRED</w:t>
            </w:r>
          </w:p>
        </w:tc>
        <w:tc>
          <w:tcPr>
            <w:tcW w:type="dxa" w:w="3277"/>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code expired. Send a new one."</w:t>
            </w:r>
          </w:p>
        </w:tc>
        <w:tc>
          <w:tcPr>
            <w:tcW w:type="dxa" w:w="212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Pending; re-issue offered</w:t>
            </w:r>
          </w:p>
        </w:tc>
      </w:tr>
      <w:tr>
        <w:trPr>
          <w:cantSplit/>
        </w:trPr>
        <w:tc>
          <w:tcPr>
            <w:tcW w:type="dxa" w:w="192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Too many attempts</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OTP_ATTEMPTS_EXCEEDED</w:t>
            </w:r>
          </w:p>
        </w:tc>
        <w:tc>
          <w:tcPr>
            <w:tcW w:type="dxa" w:w="3277"/>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"Too many incorrect attempts. Send a new code."</w:t>
            </w:r>
          </w:p>
        </w:tc>
        <w:tc>
          <w:tcPr>
            <w:tcW w:type="dxa" w:w="212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Pending; re-issue offered</w:t>
            </w:r>
          </w:p>
        </w:tc>
      </w:tr>
      <w:tr>
        <w:trPr>
          <w:cantSplit/>
        </w:trPr>
        <w:tc>
          <w:tcPr>
            <w:tcW w:type="dxa" w:w="192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Evidence could not be written</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CONSENT_EVIDENCE_WRITE_FAILED</w:t>
            </w:r>
          </w:p>
        </w:tc>
        <w:tc>
          <w:tcPr>
            <w:tcW w:type="dxa" w:w="3277"/>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"Could not record consent. Do not proceed."</w:t>
            </w:r>
          </w:p>
        </w:tc>
        <w:tc>
          <w:tcPr>
            <w:tcW w:type="dxa" w:w="2120"/>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Fails closed — the business step does not succeed</w:t>
            </w:r>
          </w:p>
        </w:tc>
      </w:tr>
    </w:tbl>
    <w:p>
      <w:pPr>
        <w:spacing w:after="120"/>
      </w:pPr>
      <w:r>
        <w:t xml:space="preserve"/>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253"/>
        <w:gridCol w:w="4723"/>
        <w:gridCol w:w="3662"/>
      </w:tblGrid>
      <w:tr>
        <w:trPr>
          <w:cantSplit/>
          <w:tblHeader/>
        </w:trPr>
        <w:tc>
          <w:tcPr>
            <w:tcW w:type="dxa" w:w="125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Rule</w:t>
            </w:r>
          </w:p>
        </w:tc>
        <w:tc>
          <w:tcPr>
            <w:tcW w:type="dxa" w:w="472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Normative statement</w:t>
            </w:r>
          </w:p>
        </w:tc>
        <w:tc>
          <w:tcPr>
            <w:tcW w:type="dxa" w:w="3662"/>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How conformance will be demonstrated</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CNS-R37</w:t>
            </w:r>
          </w:p>
        </w:tc>
        <w:tc>
          <w:tcPr>
            <w:tcW w:type="dxa" w:w="472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Consent capture MUST fail closed. If the evidence cannot be written, the business action MUST NOT succeed.</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Inject a failure in the consent store; the calling business action returns an error and no downstream call is made.</w:t>
            </w:r>
          </w:p>
        </w:tc>
      </w:tr>
      <w:tr>
        <w:trPr>
          <w:cantSplit/>
        </w:trPr>
        <w:tc>
          <w:tcPr>
            <w:tcW w:type="dxa" w:w="1253"/>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CNS-R38</w:t>
            </w:r>
          </w:p>
        </w:tc>
        <w:tc>
          <w:tcPr>
            <w:tcW w:type="dxa" w:w="472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customer-identity mismatch MUST raise a security event, not merely a business error.</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Trigger the condition; a security event is emitted carrying the actor, the journey and both customer identifiers, masked as CNS-R20 requires.</w:t>
            </w:r>
          </w:p>
        </w:tc>
      </w:tr>
    </w:tbl>
    <w:p>
      <w:bookmarkStart w:id="13" w:name="sec_013"/>
      <w:pPr>
        <w:pStyle w:val="Heading2"/>
        <w:keepNext/>
        <w:keepLines/>
        <w:spacing w:after="120" w:before="300"/>
      </w:pPr>
      <w:r>
        <w:rPr>
          <w:b/>
          <w:bCs/>
          <w:color w:val="11304E"/>
          <w:sz w:val="24"/>
          <w:szCs w:val="24"/>
        </w:rPr>
        <w:t xml:space="preserve">12.  Traceability</w:t>
      </w:r>
      <w:bookmarkEnd w:id="13"/>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542"/>
        <w:gridCol w:w="3277"/>
        <w:gridCol w:w="2891"/>
        <w:gridCol w:w="1928"/>
      </w:tblGrid>
      <w:tr>
        <w:trPr>
          <w:cantSplit/>
          <w:tblHeader/>
        </w:trPr>
        <w:tc>
          <w:tcPr>
            <w:tcW w:type="dxa" w:w="1542"/>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Rules</w:t>
            </w:r>
          </w:p>
        </w:tc>
        <w:tc>
          <w:tcPr>
            <w:tcW w:type="dxa" w:w="3277"/>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Obligation the rules serve</w:t>
            </w:r>
          </w:p>
        </w:tc>
        <w:tc>
          <w:tcPr>
            <w:tcW w:type="dxa" w:w="2891"/>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Where the control lives</w:t>
            </w:r>
          </w:p>
        </w:tc>
        <w:tc>
          <w:tcPr>
            <w:tcW w:type="dxa" w:w="1928"/>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When it will be proven</w:t>
            </w:r>
          </w:p>
        </w:tc>
      </w:tr>
      <w:tr>
        <w:trPr>
          <w:cantSplit/>
        </w:trPr>
        <w:tc>
          <w:tcPr>
            <w:tcW w:type="dxa" w:w="154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CNS-R01 – R09</w:t>
            </w:r>
          </w:p>
        </w:tc>
        <w:tc>
          <w:tcPr>
            <w:tcW w:type="dxa" w:w="3277"/>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Consent and disclosure obligations; notice requirements under data-protection law</w:t>
            </w:r>
          </w:p>
        </w:tc>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Configuration store, record store, journey orchestration, screens</w:t>
            </w:r>
          </w:p>
        </w:tc>
        <w:tc>
          <w:tcPr>
            <w:tcW w:type="dxa" w:w="192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First end-to-end test</w:t>
            </w:r>
          </w:p>
        </w:tc>
      </w:tr>
      <w:tr>
        <w:trPr>
          <w:cantSplit/>
        </w:trPr>
        <w:tc>
          <w:tcPr>
            <w:tcW w:type="dxa" w:w="154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CNS-R10 – R15</w:t>
            </w:r>
          </w:p>
        </w:tc>
        <w:tc>
          <w:tcPr>
            <w:tcW w:type="dxa" w:w="3277"/>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Verifiability of digital consent; device-separation principle</w:t>
            </w:r>
          </w:p>
        </w:tc>
        <w:tc>
          <w:tcPr>
            <w:tcW w:type="dxa" w:w="289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Interface layer, notification service, screens</w:t>
            </w:r>
          </w:p>
        </w:tc>
        <w:tc>
          <w:tcPr>
            <w:tcW w:type="dxa" w:w="192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First end-to-end test</w:t>
            </w:r>
          </w:p>
        </w:tc>
      </w:tr>
      <w:tr>
        <w:trPr>
          <w:cantSplit/>
        </w:trPr>
        <w:tc>
          <w:tcPr>
            <w:tcW w:type="dxa" w:w="154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CNS-R16 – R20</w:t>
            </w:r>
          </w:p>
        </w:tc>
        <w:tc>
          <w:tcPr>
            <w:tcW w:type="dxa" w:w="3277"/>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Immutable audit trail; integrity of personal data</w:t>
            </w:r>
          </w:p>
        </w:tc>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Database privileges, logging framework</w:t>
            </w:r>
          </w:p>
        </w:tc>
        <w:tc>
          <w:tcPr>
            <w:tcW w:type="dxa" w:w="192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First end-to-end test, then hardening before pilot</w:t>
            </w:r>
          </w:p>
        </w:tc>
      </w:tr>
      <w:tr>
        <w:trPr>
          <w:cantSplit/>
        </w:trPr>
        <w:tc>
          <w:tcPr>
            <w:tcW w:type="dxa" w:w="154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CNS-R21 – R26</w:t>
            </w:r>
          </w:p>
        </w:tc>
        <w:tc>
          <w:tcPr>
            <w:tcW w:type="dxa" w:w="3277"/>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Validity of consent over time</w:t>
            </w:r>
          </w:p>
        </w:tc>
        <w:tc>
          <w:tcPr>
            <w:tcW w:type="dxa" w:w="289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Interface layer, journey orchestration</w:t>
            </w:r>
          </w:p>
        </w:tc>
        <w:tc>
          <w:tcPr>
            <w:tcW w:type="dxa" w:w="192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First end-to-end test</w:t>
            </w:r>
          </w:p>
        </w:tc>
      </w:tr>
      <w:tr>
        <w:trPr>
          <w:cantSplit/>
        </w:trPr>
        <w:tc>
          <w:tcPr>
            <w:tcW w:type="dxa" w:w="154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CNS-R27 – R32</w:t>
            </w:r>
          </w:p>
        </w:tc>
        <w:tc>
          <w:tcPr>
            <w:tcW w:type="dxa" w:w="3277"/>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right to withdraw consent</w:t>
            </w:r>
          </w:p>
        </w:tc>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Interface layer, screens, notification service, operations</w:t>
            </w:r>
          </w:p>
        </w:tc>
        <w:tc>
          <w:tcPr>
            <w:tcW w:type="dxa" w:w="192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First end-to-end test</w:t>
            </w:r>
          </w:p>
        </w:tc>
      </w:tr>
      <w:tr>
        <w:trPr>
          <w:cantSplit/>
        </w:trPr>
        <w:tc>
          <w:tcPr>
            <w:tcW w:type="dxa" w:w="154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CNS-R33 – R36</w:t>
            </w:r>
          </w:p>
        </w:tc>
        <w:tc>
          <w:tcPr>
            <w:tcW w:type="dxa" w:w="3277"/>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Seven-year record preservation; data residency</w:t>
            </w:r>
          </w:p>
        </w:tc>
        <w:tc>
          <w:tcPr>
            <w:tcW w:type="dxa" w:w="289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Infrastructure, operations runbook</w:t>
            </w:r>
          </w:p>
        </w:tc>
        <w:tc>
          <w:tcPr>
            <w:tcW w:type="dxa" w:w="1928"/>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Infrastructure build, before any customer record exists</w:t>
            </w:r>
          </w:p>
        </w:tc>
      </w:tr>
      <w:tr>
        <w:trPr>
          <w:cantSplit/>
        </w:trPr>
        <w:tc>
          <w:tcPr>
            <w:tcW w:type="dxa" w:w="154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CNS-R37 – R38</w:t>
            </w:r>
          </w:p>
        </w:tc>
        <w:tc>
          <w:tcPr>
            <w:tcW w:type="dxa" w:w="3277"/>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Integrity of the control itself</w:t>
            </w:r>
          </w:p>
        </w:tc>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Interface layer, security monitoring</w:t>
            </w:r>
          </w:p>
        </w:tc>
        <w:tc>
          <w:tcPr>
            <w:tcW w:type="dxa" w:w="192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First end-to-end test</w:t>
            </w:r>
          </w:p>
        </w:tc>
      </w:tr>
    </w:tbl>
    <w:p>
      <w:bookmarkStart w:id="14" w:name="sec_014"/>
      <w:pPr>
        <w:pStyle w:val="Heading2"/>
        <w:keepNext/>
        <w:keepLines/>
        <w:spacing w:after="120" w:before="300"/>
      </w:pPr>
      <w:r>
        <w:rPr>
          <w:b/>
          <w:bCs/>
          <w:color w:val="11304E"/>
          <w:sz w:val="24"/>
          <w:szCs w:val="24"/>
        </w:rPr>
        <w:t xml:space="preserve">13.  What this pack does not decide</w:t>
      </w:r>
      <w:bookmarkEnd w:id="14"/>
    </w:p>
    <w:p>
      <w:pPr>
        <w:spacing w:after="120" w:before="0" w:line="276"/>
        <w:jc w:val="left"/>
      </w:pPr>
      <w:r>
        <w:rPr>
          <w:b w:val="false"/>
          <w:bCs w:val="false"/>
          <w:i w:val="false"/>
          <w:iCs w:val="false"/>
          <w:color w:val="222629"/>
          <w:sz w:val="20"/>
          <w:szCs w:val="20"/>
        </w:rPr>
        <w:t xml:space="preserve">Named openly, because a rule pack that pretends to have settled an open regulatory question is worse than one that flags it. These are the consent items carried into Volume 1, §10, where Product’s recommended position on each is stated.</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253"/>
        <w:gridCol w:w="6072"/>
        <w:gridCol w:w="2313"/>
      </w:tblGrid>
      <w:tr>
        <w:trPr>
          <w:cantSplit/>
          <w:tblHeader/>
        </w:trPr>
        <w:tc>
          <w:tcPr>
            <w:tcW w:type="dxa" w:w="125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Ref</w:t>
            </w:r>
          </w:p>
        </w:tc>
        <w:tc>
          <w:tcPr>
            <w:tcW w:type="dxa" w:w="6072"/>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Open item</w:t>
            </w:r>
          </w:p>
        </w:tc>
        <w:tc>
          <w:tcPr>
            <w:tcW w:type="dxa" w:w="231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Owner</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OPEN-CNS-01</w:t>
            </w:r>
          </w:p>
        </w:tc>
        <w:tc>
          <w:tcPr>
            <w:tcW w:type="dxa" w:w="607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Whether data-processing and solicitation consent may share one acknowledgement action</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Compliance</w:t>
            </w:r>
          </w:p>
        </w:tc>
      </w:tr>
      <w:tr>
        <w:trPr>
          <w:cantSplit/>
        </w:trPr>
        <w:tc>
          <w:tcPr>
            <w:tcW w:type="dxa" w:w="1253"/>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OPEN-CNS-02</w:t>
            </w:r>
          </w:p>
        </w:tc>
        <w:tc>
          <w:tcPr>
            <w:tcW w:type="dxa" w:w="607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approved wording of each statement — this pack defines structure and fields; the legal text is Compliance-authored</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Compliance with Legal</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OPEN-CNS-03</w:t>
            </w:r>
          </w:p>
        </w:tc>
        <w:tc>
          <w:tcPr>
            <w:tcW w:type="dxa" w:w="607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Whether the 90-day and 30-day windows are acceptable or must be shorter</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Compliance</w:t>
            </w:r>
          </w:p>
        </w:tc>
      </w:tr>
      <w:tr>
        <w:trPr>
          <w:cantSplit/>
        </w:trPr>
        <w:tc>
          <w:tcPr>
            <w:tcW w:type="dxa" w:w="1253"/>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OPEN-CNS-04</w:t>
            </w:r>
          </w:p>
        </w:tc>
        <w:tc>
          <w:tcPr>
            <w:tcW w:type="dxa" w:w="607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Whether withdrawal after issuance creates an insurer-side obligation on the bank</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Compliance with Bancassurance</w:t>
            </w:r>
          </w:p>
        </w:tc>
      </w:tr>
      <w:tr>
        <w:trPr>
          <w:cantSplit/>
        </w:trPr>
        <w:tc>
          <w:tcPr>
            <w:tcW w:type="dxa" w:w="1253"/>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OPEN-CNS-05</w:t>
            </w:r>
          </w:p>
        </w:tc>
        <w:tc>
          <w:tcPr>
            <w:tcW w:type="dxa" w:w="607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Interoperability with a statutory consent manager, if notified before go-live</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Compliance</w:t>
            </w:r>
          </w:p>
        </w:tc>
      </w:tr>
    </w:tbl>
    <w:p>
      <w:pPr>
        <w:spacing w:after="100"/>
      </w:pPr>
      <w:r>
        <w:t xml:space="preserve"/>
      </w:r>
    </w:p>
    <w:p>
      <w:pPr>
        <w:spacing w:after="120" w:before="0" w:line="276"/>
        <w:jc w:val="left"/>
      </w:pPr>
      <w:r>
        <w:rPr>
          <w:b w:val="false"/>
          <w:bCs w:val="false"/>
          <w:i/>
          <w:iCs/>
          <w:color w:val="222629"/>
          <w:sz w:val="20"/>
          <w:szCs w:val="20"/>
        </w:rPr>
        <w:t xml:space="preserve">None of these blocks building the Consent Service. All five are wording, window or interoperability questions over a record structure and a control set that do not change with the answer. That is the point of specifying structure before text.</w:t>
      </w:r>
    </w:p>
    <w:p>
      <w:bookmarkStart w:id="15" w:name="sec_015"/>
      <w:pPr>
        <w:pStyle w:val="Heading1"/>
        <w:keepNext/>
        <w:keepLines/>
        <w:pageBreakBefore/>
        <w:pBdr>
          <w:bottom w:val="single" w:color="0F6E6E" w:sz="8" w:space="6"/>
        </w:pBdr>
        <w:spacing w:after="160" w:before="0"/>
      </w:pPr>
      <w:r>
        <w:rPr>
          <w:b/>
          <w:bCs/>
          <w:color w:val="11304E"/>
          <w:sz w:val="30"/>
          <w:szCs w:val="30"/>
        </w:rPr>
        <w:t xml:space="preserve">Appendix — Terms and internal references</w:t>
      </w:r>
      <w:bookmarkEnd w:id="15"/>
    </w:p>
    <w:p>
      <w:pPr>
        <w:spacing w:after="120" w:before="0" w:line="276"/>
        <w:jc w:val="left"/>
      </w:pPr>
      <w:r>
        <w:rPr>
          <w:b w:val="false"/>
          <w:bCs w:val="false"/>
          <w:i w:val="false"/>
          <w:iCs w:val="false"/>
          <w:color w:val="222629"/>
          <w:sz w:val="20"/>
          <w:szCs w:val="20"/>
        </w:rPr>
        <w:t xml:space="preserve">Part 1 defines the terms used in the rules themselves. Part 2 explains the programme codes that appear anywhere in this set of documents — they are the labels the delivery organisation uses internally, and they are recorded here so that nothing in this approval depends on knowing them. This appendix is identical in all three volumes.</w:t>
      </w:r>
    </w:p>
    <w:p>
      <w:bookmarkStart w:id="16" w:name="sec_016"/>
      <w:pPr>
        <w:pStyle w:val="Heading2"/>
        <w:keepNext/>
        <w:keepLines/>
        <w:spacing w:after="120" w:before="300"/>
      </w:pPr>
      <w:r>
        <w:rPr>
          <w:b/>
          <w:bCs/>
          <w:color w:val="11304E"/>
          <w:sz w:val="24"/>
          <w:szCs w:val="24"/>
        </w:rPr>
        <w:t xml:space="preserve">Part 1 — Terms used in the rules</w:t>
      </w:r>
      <w:bookmarkEnd w:id="16"/>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2120"/>
        <w:gridCol w:w="7518"/>
      </w:tblGrid>
      <w:tr>
        <w:trPr>
          <w:cantSplit/>
          <w:tblHeader/>
        </w:trPr>
        <w:tc>
          <w:tcPr>
            <w:tcW w:type="dxa" w:w="2120"/>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Term</w:t>
            </w:r>
          </w:p>
        </w:tc>
        <w:tc>
          <w:tcPr>
            <w:tcW w:type="dxa" w:w="7518"/>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Meaning</w:t>
            </w:r>
          </w:p>
        </w:tc>
      </w:tr>
      <w:tr>
        <w:trPr>
          <w:cantSplit/>
        </w:trPr>
        <w:tc>
          <w:tcPr>
            <w:tcW w:type="dxa" w:w="2120"/>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Assessment</w:t>
            </w:r>
          </w:p>
        </w:tc>
        <w:tc>
          <w:tcPr>
            <w:tcW w:type="dxa" w:w="751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completed suitability evaluation for one customer, carrying an outcome for each product class. The rule identifiers call this an evaluation; the two words mean the same thing here.</w:t>
            </w:r>
          </w:p>
        </w:tc>
      </w:tr>
      <w:tr>
        <w:trPr>
          <w:cantSplit/>
        </w:trPr>
        <w:tc>
          <w:tcPr>
            <w:tcW w:type="dxa" w:w="2120"/>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Consent event</w:t>
            </w:r>
          </w:p>
        </w:tc>
        <w:tc>
          <w:tcPr>
            <w:tcW w:type="dxa" w:w="751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One of the four occasions on which consent is required in the first release: data processing, solicitation, insurer sharing, and servicing communications.</w:t>
            </w:r>
          </w:p>
        </w:tc>
      </w:tr>
      <w:tr>
        <w:trPr>
          <w:cantSplit/>
        </w:trPr>
        <w:tc>
          <w:tcPr>
            <w:tcW w:type="dxa" w:w="2120"/>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Existing bank customer</w:t>
            </w:r>
          </w:p>
        </w:tc>
        <w:tc>
          <w:tcPr>
            <w:tcW w:type="dxa" w:w="751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customer who already holds a relationship with the bank, and therefore an existing customer record. The first release serves these customers only, and no one else.</w:t>
            </w:r>
          </w:p>
        </w:tc>
      </w:tr>
      <w:tr>
        <w:trPr>
          <w:cantSplit/>
        </w:trPr>
        <w:tc>
          <w:tcPr>
            <w:tcW w:type="dxa" w:w="2120"/>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Fail closed</w:t>
            </w:r>
          </w:p>
        </w:tc>
        <w:tc>
          <w:tcPr>
            <w:tcW w:type="dxa" w:w="751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When a control cannot complete, the business action is refused rather than allowed through. The opposite, fail open, permits the action and records the problem for later.</w:t>
            </w:r>
          </w:p>
        </w:tc>
      </w:tr>
      <w:tr>
        <w:trPr>
          <w:cantSplit/>
        </w:trPr>
        <w:tc>
          <w:tcPr>
            <w:tcW w:type="dxa" w:w="2120"/>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Hard block, hard gate</w:t>
            </w:r>
          </w:p>
        </w:tc>
        <w:tc>
          <w:tcPr>
            <w:tcW w:type="dxa" w:w="751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control that refuses the business action rather than warning about it. The suitability check before quote is a hard gate: it does not caution, it refuses.</w:t>
            </w:r>
          </w:p>
        </w:tc>
      </w:tr>
      <w:tr>
        <w:trPr>
          <w:cantSplit/>
        </w:trPr>
        <w:tc>
          <w:tcPr>
            <w:tcW w:type="dxa" w:w="2120"/>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Interaction, ceremony</w:t>
            </w:r>
          </w:p>
        </w:tc>
        <w:tc>
          <w:tcPr>
            <w:tcW w:type="dxa" w:w="751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single customer-facing exchange in which one or more statements are presented and acknowledged, verified by one one-time password sent to the customer’s phone.</w:t>
            </w:r>
          </w:p>
        </w:tc>
      </w:tr>
      <w:tr>
        <w:trPr>
          <w:cantSplit/>
        </w:trPr>
        <w:tc>
          <w:tcPr>
            <w:tcW w:type="dxa" w:w="2120"/>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Non-waivable</w:t>
            </w:r>
          </w:p>
        </w:tc>
        <w:tc>
          <w:tcPr>
            <w:tcW w:type="dxa" w:w="751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control that no authority within the programme may set aside, however senior. Consent capture where it is legally required, and holding data within India, are both on that list.</w:t>
            </w:r>
          </w:p>
        </w:tc>
      </w:tr>
      <w:tr>
        <w:trPr>
          <w:cantSplit/>
        </w:trPr>
        <w:tc>
          <w:tcPr>
            <w:tcW w:type="dxa" w:w="2120"/>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One-time password</w:t>
            </w:r>
          </w:p>
        </w:tc>
        <w:tc>
          <w:tcPr>
            <w:tcW w:type="dxa" w:w="751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numeric code sent to the customer’s registered mobile number, which the customer enters on their own device to confirm an acknowledgement.</w:t>
            </w:r>
          </w:p>
        </w:tc>
      </w:tr>
      <w:tr>
        <w:trPr>
          <w:cantSplit/>
        </w:trPr>
        <w:tc>
          <w:tcPr>
            <w:tcW w:type="dxa" w:w="2120"/>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Panel, approved panel</w:t>
            </w:r>
          </w:p>
        </w:tc>
        <w:tc>
          <w:tcPr>
            <w:tcW w:type="dxa" w:w="751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set of insurers the bank distributes for in the first release, integrated directly. Insurers outside the panel are handled by a controlled redirect and are out of scope.</w:t>
            </w:r>
          </w:p>
        </w:tc>
      </w:tr>
      <w:tr>
        <w:trPr>
          <w:cantSplit/>
        </w:trPr>
        <w:tc>
          <w:tcPr>
            <w:tcW w:type="dxa" w:w="2120"/>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Panel-scoped consent</w:t>
            </w:r>
          </w:p>
        </w:tc>
        <w:tc>
          <w:tcPr>
            <w:tcW w:type="dxa" w:w="751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A sharing consent that names every insurer on the panel at the point of capture, later narrowed to one by the customer’s product selection. Proposed in Volume 1, §11; not part of the packs as drafted.</w:t>
            </w:r>
          </w:p>
        </w:tc>
      </w:tr>
      <w:tr>
        <w:trPr>
          <w:cantSplit/>
        </w:trPr>
        <w:tc>
          <w:tcPr>
            <w:tcW w:type="dxa" w:w="2120"/>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Protection gap</w:t>
            </w:r>
          </w:p>
        </w:tc>
        <w:tc>
          <w:tcPr>
            <w:tcW w:type="dxa" w:w="751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Recommended cover less existing cover, floored at zero. The central output of the suitability computation.</w:t>
            </w:r>
          </w:p>
        </w:tc>
      </w:tr>
      <w:tr>
        <w:trPr>
          <w:cantSplit/>
        </w:trPr>
        <w:tc>
          <w:tcPr>
            <w:tcW w:type="dxa" w:w="2120"/>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Scope binding</w:t>
            </w:r>
          </w:p>
        </w:tc>
        <w:tc>
          <w:tcPr>
            <w:tcW w:type="dxa" w:w="751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act of narrowing a panel-scoped sharing consent to one named insurer, evidenced by the customer’s own product selection.</w:t>
            </w:r>
          </w:p>
        </w:tc>
      </w:tr>
      <w:tr>
        <w:trPr>
          <w:cantSplit/>
        </w:trPr>
        <w:tc>
          <w:tcPr>
            <w:tcW w:type="dxa" w:w="2120"/>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Statement identifier</w:t>
            </w:r>
          </w:p>
        </w:tc>
        <w:tc>
          <w:tcPr>
            <w:tcW w:type="dxa" w:w="751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permanent identifier of a consent statement, combining the consent code, the language and the version. Its meaning never changes, which is what allows a record to be interpreted years later.</w:t>
            </w:r>
          </w:p>
        </w:tc>
      </w:tr>
      <w:tr>
        <w:trPr>
          <w:cantSplit/>
        </w:trPr>
        <w:tc>
          <w:tcPr>
            <w:tcW w:type="dxa" w:w="2120"/>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Statement version</w:t>
            </w:r>
          </w:p>
        </w:tc>
        <w:tc>
          <w:tcPr>
            <w:tcW w:type="dxa" w:w="751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published wording of a consent statement. A material change of meaning creates a new major version; a typographical or formatting correction creates a minor one.</w:t>
            </w:r>
          </w:p>
        </w:tc>
      </w:tr>
    </w:tbl>
    <w:p>
      <w:bookmarkStart w:id="17" w:name="sec_017"/>
      <w:pPr>
        <w:pStyle w:val="Heading2"/>
        <w:keepNext/>
        <w:keepLines/>
        <w:pageBreakBefore/>
        <w:spacing w:after="120" w:before="0"/>
      </w:pPr>
      <w:r>
        <w:rPr>
          <w:b/>
          <w:bCs/>
          <w:color w:val="11304E"/>
          <w:sz w:val="24"/>
          <w:szCs w:val="24"/>
        </w:rPr>
        <w:t xml:space="preserve">Part 2 — Internal programme references</w:t>
      </w:r>
      <w:bookmarkEnd w:id="17"/>
    </w:p>
    <w:p>
      <w:pPr>
        <w:spacing w:after="120" w:before="0" w:line="276"/>
        <w:jc w:val="left"/>
      </w:pPr>
      <w:r>
        <w:rPr>
          <w:b w:val="false"/>
          <w:bCs w:val="false"/>
          <w:i w:val="false"/>
          <w:iCs w:val="false"/>
          <w:color w:val="222629"/>
          <w:sz w:val="20"/>
          <w:szCs w:val="20"/>
        </w:rPr>
        <w:t xml:space="preserve">These codes belong to the delivery organisation, not to Compliance. Nothing in this approval requires them to be used or understood — they are set out here only so that a reference encountered in a meeting or a status report can be placed.</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638"/>
        <w:gridCol w:w="4915"/>
        <w:gridCol w:w="3085"/>
      </w:tblGrid>
      <w:tr>
        <w:trPr>
          <w:cantSplit/>
          <w:tblHeader/>
        </w:trPr>
        <w:tc>
          <w:tcPr>
            <w:tcW w:type="dxa" w:w="1638"/>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Reference</w:t>
            </w:r>
          </w:p>
        </w:tc>
        <w:tc>
          <w:tcPr>
            <w:tcW w:type="dxa" w:w="4915"/>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What it is</w:t>
            </w:r>
          </w:p>
        </w:tc>
        <w:tc>
          <w:tcPr>
            <w:tcW w:type="dxa" w:w="3085"/>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How it is written in this document</w:t>
            </w:r>
          </w:p>
        </w:tc>
      </w:tr>
      <w:tr>
        <w:trPr>
          <w:cantSplit/>
        </w:trPr>
        <w:tc>
          <w:tcPr>
            <w:tcW w:type="dxa" w:w="1638"/>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R0</w:t>
            </w:r>
          </w:p>
        </w:tc>
        <w:tc>
          <w:tcPr>
            <w:tcW w:type="dxa" w:w="491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internal label for the first release of the platform — Life products, existing bank customers, relationship-manager assisted.</w:t>
            </w:r>
          </w:p>
        </w:tc>
        <w:tc>
          <w:tcPr>
            <w:tcW w:type="dxa" w:w="308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first release" throughout.</w:t>
            </w:r>
          </w:p>
        </w:tc>
      </w:tr>
      <w:tr>
        <w:trPr>
          <w:cantSplit/>
        </w:trPr>
        <w:tc>
          <w:tcPr>
            <w:tcW w:type="dxa" w:w="1638"/>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GAP-006</w:t>
            </w:r>
          </w:p>
        </w:tc>
        <w:tc>
          <w:tcPr>
            <w:tcW w:type="dxa" w:w="491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entry in the programme’s issue register recording that the consent rules were not executable.</w:t>
            </w:r>
          </w:p>
        </w:tc>
        <w:tc>
          <w:tcPr>
            <w:tcW w:type="dxa" w:w="308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Described in words as one of the two blocking issues.</w:t>
            </w:r>
          </w:p>
        </w:tc>
      </w:tr>
      <w:tr>
        <w:trPr>
          <w:cantSplit/>
        </w:trPr>
        <w:tc>
          <w:tcPr>
            <w:tcW w:type="dxa" w:w="1638"/>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GAP-007</w:t>
            </w:r>
          </w:p>
        </w:tc>
        <w:tc>
          <w:tcPr>
            <w:tcW w:type="dxa" w:w="491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entry recording that the suitability content and override policy were unknown.</w:t>
            </w:r>
          </w:p>
        </w:tc>
        <w:tc>
          <w:tcPr>
            <w:tcW w:type="dxa" w:w="308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Described in words as the second blocking issue.</w:t>
            </w:r>
          </w:p>
        </w:tc>
      </w:tr>
      <w:tr>
        <w:trPr>
          <w:cantSplit/>
        </w:trPr>
        <w:tc>
          <w:tcPr>
            <w:tcW w:type="dxa" w:w="1638"/>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P0</w:t>
            </w:r>
          </w:p>
        </w:tc>
        <w:tc>
          <w:tcPr>
            <w:tcW w:type="dxa" w:w="491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programme’s highest issue severity. An open item at this severity freezes development.</w:t>
            </w:r>
          </w:p>
        </w:tc>
        <w:tc>
          <w:tcPr>
            <w:tcW w:type="dxa" w:w="308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"Highest severity; development cannot start while it is open."</w:t>
            </w:r>
          </w:p>
        </w:tc>
      </w:tr>
      <w:tr>
        <w:trPr>
          <w:cantSplit/>
        </w:trPr>
        <w:tc>
          <w:tcPr>
            <w:tcW w:type="dxa" w:w="1638"/>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S02-G3</w:t>
            </w:r>
          </w:p>
        </w:tc>
        <w:tc>
          <w:tcPr>
            <w:tcW w:type="dxa" w:w="491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approval checkpoint that requires a consent rule pack reviewed and signed by Compliance before the stage can close.</w:t>
            </w:r>
          </w:p>
        </w:tc>
        <w:tc>
          <w:tcPr>
            <w:tcW w:type="dxa" w:w="308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consent approval checkpoint."</w:t>
            </w:r>
          </w:p>
        </w:tc>
      </w:tr>
      <w:tr>
        <w:trPr>
          <w:cantSplit/>
        </w:trPr>
        <w:tc>
          <w:tcPr>
            <w:tcW w:type="dxa" w:w="1638"/>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S02-G4</w:t>
            </w:r>
          </w:p>
        </w:tc>
        <w:tc>
          <w:tcPr>
            <w:tcW w:type="dxa" w:w="491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equivalent checkpoint for the suitability rule pack.</w:t>
            </w:r>
          </w:p>
        </w:tc>
        <w:tc>
          <w:tcPr>
            <w:tcW w:type="dxa" w:w="308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suitability approval checkpoint."</w:t>
            </w:r>
          </w:p>
        </w:tc>
      </w:tr>
      <w:tr>
        <w:trPr>
          <w:cantSplit/>
        </w:trPr>
        <w:tc>
          <w:tcPr>
            <w:tcW w:type="dxa" w:w="1638"/>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E1, E2, E3, E4</w:t>
            </w:r>
          </w:p>
        </w:tc>
        <w:tc>
          <w:tcPr>
            <w:tcW w:type="dxa" w:w="491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programme’s four grades of evidence: the document exists; reviewed and signed; run and observed; run, observed and repeatable. This approval produces the second grade.</w:t>
            </w:r>
          </w:p>
        </w:tc>
        <w:tc>
          <w:tcPr>
            <w:tcW w:type="dxa" w:w="308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Described in plain words in Volume 1, §5, without the codes.</w:t>
            </w:r>
          </w:p>
        </w:tc>
      </w:tr>
      <w:tr>
        <w:trPr>
          <w:cantSplit/>
        </w:trPr>
        <w:tc>
          <w:tcPr>
            <w:tcW w:type="dxa" w:w="1638"/>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CNS-Rnn, SUIT-Rnn</w:t>
            </w:r>
          </w:p>
        </w:tc>
        <w:tc>
          <w:tcPr>
            <w:tcW w:type="dxa" w:w="491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permanent identifiers of individual rules in the two packs. These do appear throughout, because they are how a specific rule is amended or cited.</w:t>
            </w:r>
          </w:p>
        </w:tc>
        <w:tc>
          <w:tcPr>
            <w:tcW w:type="dxa" w:w="308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Used as written; conventions explained in Volume 1, §7.</w:t>
            </w:r>
          </w:p>
        </w:tc>
      </w:tr>
      <w:tr>
        <w:trPr>
          <w:cantSplit/>
        </w:trPr>
        <w:tc>
          <w:tcPr>
            <w:tcW w:type="dxa" w:w="1638"/>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OPEN-CNS-nn, OPEN-SUIT-nn</w:t>
            </w:r>
          </w:p>
        </w:tc>
        <w:tc>
          <w:tcPr>
            <w:tcW w:type="dxa" w:w="491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identifiers of open questions carried out of each pack for Compliance to determine.</w:t>
            </w:r>
          </w:p>
        </w:tc>
        <w:tc>
          <w:tcPr>
            <w:tcW w:type="dxa" w:w="308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Used as written; all are listed in Volume 1, §10.</w:t>
            </w:r>
          </w:p>
        </w:tc>
      </w:tr>
      <w:tr>
        <w:trPr>
          <w:cantSplit/>
        </w:trPr>
        <w:tc>
          <w:tcPr>
            <w:tcW w:type="dxa" w:w="1638"/>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SUIT-ALGO-LIFE-v1.1</w:t>
            </w:r>
          </w:p>
        </w:tc>
        <w:tc>
          <w:tcPr>
            <w:tcW w:type="dxa" w:w="491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version identifier of the suitability algorithm being submitted. It is recorded on every assessment so that any past assessment can be reproduced.</w:t>
            </w:r>
          </w:p>
        </w:tc>
        <w:tc>
          <w:tcPr>
            <w:tcW w:type="dxa" w:w="308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Used as written.</w:t>
            </w:r>
          </w:p>
        </w:tc>
      </w:tr>
    </w:tbl>
    <w:p>
      <w:pPr>
        <w:spacing w:after="200"/>
      </w:pPr>
      <w:r>
        <w:t xml:space="preserve"/>
      </w:r>
    </w:p>
    <w:p>
      <w:pPr>
        <w:pBdr>
          <w:top w:val="single" w:color="C7D2DC" w:sz="6" w:space="8"/>
        </w:pBdr>
        <w:spacing w:before="200"/>
      </w:pPr>
      <w:r>
        <w:rPr>
          <w:b w:val="false"/>
          <w:bCs w:val="false"/>
          <w:i/>
          <w:iCs/>
          <w:color w:val="5A6570"/>
          <w:sz w:val="17"/>
          <w:szCs w:val="17"/>
        </w:rPr>
        <w:t>Volume 2 of 3 — Consent Rule Pack · AI-drafted for Rajal and Shailja review — unsigned · AU Bank Insurance Distribution Platform · 17 August 2026 · Approval reference COMP-APPROVE-CNS-SUIT-v1.1</w:t>
      </w:r>
    </w:p>
    <w:sectPr>
      <w:headerReference w:type="default" r:id="rId7"/>
      <w:footerReference w:type="default" r:id="rId8"/>
      <w:pgSz w:w="11906" w:h="16838" w:orient="portrait"/>
      <w:pgMar w:top="1191" w:right="1134" w:bottom="1418" w:left="1134" w:header="624" w:footer="6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794"/>
        <w:sz w:val="15"/>
        <w:szCs w:val="15"/>
      </w:rPr>
      <w:t xml:space="preserve">Internal — Compliance, Product, Delivery   |   Page </w:t>
    </w:r>
    <w:r>
      <w:rPr>
        <w:color w:val="7A8794"/>
        <w:sz w:val="15"/>
        <w:szCs w:val="15"/>
      </w:rPr>
      <w:fldChar w:fldCharType="begin"/>
      <w:instrText xml:space="preserve">PAGE</w:instrText>
      <w:fldChar w:fldCharType="separate"/>
      <w:fldChar w:fldCharType="end"/>
    </w:r>
    <w:r>
      <w:rPr>
        <w:color w:val="7A8794"/>
        <w:sz w:val="15"/>
        <w:szCs w:val="15"/>
      </w:rPr>
      <w:t xml:space="preserve"> of </w:t>
    </w:r>
    <w:r>
      <w:rPr>
        <w:color w:val="7A8794"/>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C" w:sz="4" w:space="4"/>
      </w:pBdr>
      <w:jc w:val="right"/>
    </w:pPr>
    <w:r>
      <w:rPr>
        <w:color w:val="7A8794"/>
        <w:sz w:val="15"/>
        <w:szCs w:val="15"/>
      </w:rPr>
      <w:t xml:space="preserve">Volume 2 — Consent Rule Pack  ·  Consent &amp; Suitability Compliance Approval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start"/>
      <w:pPr>
        <w:ind w:left="4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629"/>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yperlink" Target="1-Decision-Pack.docx"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Compliance Approval — Volume 2, Consent Rule Pack</dc:title>
  <dc:creator>AI agent — draft for Rajal and Shailja review</dc:creator>
  <dc:description>Compliance approval sought before development, to close GAP-006 and GAP-007 and pass S02-G3 and S02-G4</dc:description>
  <cp:lastModifiedBy>AI agent — PR 54 consistency review</cp:lastModifiedBy>
  <cp:revision>1</cp:revision>
  <dcterms:created xsi:type="dcterms:W3CDTF">2026-08-17T08:34:18.349Z</dcterms:created>
  <dcterms:modified xsi:type="dcterms:W3CDTF">2026-08-17T08:34:18.349Z</dcterms:modified>
</cp:coreProperties>
</file>

<file path=docProps/custom.xml><?xml version="1.0" encoding="utf-8"?>
<Properties xmlns="http://schemas.openxmlformats.org/officeDocument/2006/custom-properties" xmlns:vt="http://schemas.openxmlformats.org/officeDocument/2006/docPropsVTypes"/>
</file>