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pPr>
      <w:r>
        <w:t xml:space="preserve"/>
      </w:r>
    </w:p>
    <w:p>
      <w:pPr>
        <w:spacing w:after="60" w:before="0" w:line="276"/>
        <w:jc w:val="left"/>
      </w:pPr>
      <w:r>
        <w:rPr>
          <w:b/>
          <w:bCs/>
          <w:i w:val="false"/>
          <w:iCs w:val="false"/>
          <w:color w:val="0F6E6E"/>
          <w:sz w:val="18"/>
          <w:szCs w:val="18"/>
        </w:rPr>
        <w:t xml:space="preserve">AU BANK  |  INSURANCE DISTRIBUTION PLATFORM</w:t>
      </w:r>
    </w:p>
    <w:p>
      <w:pPr>
        <w:spacing w:after="400" w:before="0" w:line="276"/>
        <w:jc w:val="left"/>
      </w:pPr>
      <w:r>
        <w:rPr>
          <w:b w:val="false"/>
          <w:bCs w:val="false"/>
          <w:i w:val="false"/>
          <w:iCs w:val="false"/>
          <w:color w:val="5A6570"/>
          <w:sz w:val="18"/>
          <w:szCs w:val="18"/>
        </w:rPr>
        <w:t xml:space="preserve">Consent and suitability controls for the first release</w:t>
      </w:r>
    </w:p>
    <w:p>
      <w:pPr>
        <w:spacing w:after="140" w:line="640"/>
      </w:pPr>
      <w:r>
        <w:rPr>
          <w:b/>
          <w:bCs/>
          <w:i w:val="false"/>
          <w:iCs w:val="false"/>
          <w:color w:val="11304E"/>
          <w:sz w:val="52"/>
          <w:szCs w:val="52"/>
        </w:rPr>
        <w:t xml:space="preserve">Consent and Suitability Rule Packs</w:t>
      </w:r>
    </w:p>
    <w:p>
      <w:pPr>
        <w:spacing w:after="220" w:line="500"/>
      </w:pPr>
      <w:r>
        <w:rPr>
          <w:b/>
          <w:bCs/>
          <w:i w:val="false"/>
          <w:iCs w:val="false"/>
          <w:color w:val="0F6E6E"/>
          <w:sz w:val="40"/>
          <w:szCs w:val="40"/>
        </w:rPr>
        <w:t xml:space="preserve">Compliance Approval Pack</w:t>
      </w:r>
    </w:p>
    <w:p>
      <w:pPr>
        <w:pBdr>
          <w:bottom w:val="single" w:color="11304E" w:sz="12" w:space="8"/>
        </w:pBdr>
        <w:spacing w:after="260"/>
      </w:pPr>
      <w:r>
        <w:rPr>
          <w:b w:val="false"/>
          <w:bCs w:val="false"/>
          <w:i/>
          <w:iCs/>
          <w:color w:val="445260"/>
          <w:sz w:val="22"/>
          <w:szCs w:val="22"/>
        </w:rPr>
        <w:t xml:space="preserve">Approval on the rules that govern how customer consent is captured and how product suitability is assessed — sought before either service is built, and before the existing quote path is permitted to serve a customer</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2120"/>
        <w:gridCol w:w="7518"/>
      </w:tblGrid>
      <w:tr>
        <w:trPr>
          <w:cantSplit/>
          <w:tblHeader/>
        </w:trPr>
        <w:tc>
          <w:tcPr>
            <w:tcW w:type="dxa" w:w="212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Field</w:t>
            </w:r>
          </w:p>
        </w:tc>
        <w:tc>
          <w:tcPr>
            <w:tcW w:type="dxa" w:w="7518"/>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Detail</w:t>
            </w:r>
          </w:p>
        </w:tc>
      </w:tr>
      <w:tr>
        <w:trPr>
          <w:cantSplit/>
        </w:trPr>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Document</w:t>
            </w:r>
          </w:p>
        </w:tc>
        <w:tc>
          <w:tcPr>
            <w:tcW w:type="dxa" w:w="751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Volume 1 of 3 — Decision Pack</w:t>
            </w:r>
            <w:r>
              <w:rPr>
                <w:b w:val="false"/>
                <w:bCs w:val="false"/>
                <w:i w:val="false"/>
                <w:iCs w:val="false"/>
                <w:color w:val="222629"/>
                <w:sz w:val="18"/>
                <w:szCs w:val="18"/>
              </w:rPr>
              <w:t xml:space="preserve"/>
            </w:r>
            <w:r>
              <w:rPr>
                <w:b w:val="false"/>
                <w:bCs w:val="false"/>
                <w:i w:val="false"/>
                <w:iCs w:val="false"/>
                <w:color w:val="222629"/>
                <w:sz w:val="18"/>
                <w:szCs w:val="18"/>
              </w:rPr>
              <w:br/>
              <w:t xml:space="preserve">Approval reference COMP-APPROVE-CNS-SUIT-v1.1</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Issued with</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Volume 2 — Consent Rule Pack, in full: 42 rules in 13 sections</w:t>
            </w:r>
            <w:r>
              <w:rPr>
                <w:b w:val="false"/>
                <w:bCs w:val="false"/>
                <w:i w:val="false"/>
                <w:iCs w:val="false"/>
                <w:color w:val="222629"/>
                <w:sz w:val="18"/>
                <w:szCs w:val="18"/>
              </w:rPr>
              <w:br/>
              <w:t xml:space="preserve">Volume 3 — Suitability Rule Pack, in full: 62 rules in 14 sections</w:t>
            </w:r>
            <w:r>
              <w:rPr>
                <w:b w:val="false"/>
                <w:bCs w:val="false"/>
                <w:i w:val="false"/>
                <w:iCs w:val="false"/>
                <w:color w:val="222629"/>
                <w:sz w:val="18"/>
                <w:szCs w:val="18"/>
              </w:rPr>
              <w:br/>
              <w:t xml:space="preserve">The three volumes are one submission and should be read together.</w:t>
            </w:r>
          </w:p>
        </w:tc>
      </w:tr>
      <w:tr>
        <w:trPr>
          <w:cantSplit/>
        </w:trPr>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Drafted by</w:t>
            </w:r>
          </w:p>
        </w:tc>
        <w:tc>
          <w:tcPr>
            <w:tcW w:type="dxa" w:w="7518"/>
            <w:tcMar>
              <w:top w:type="dxa" w:w="90"/>
              <w:left w:type="dxa" w:w="130"/>
              <w:bottom w:type="dxa" w:w="90"/>
              <w:right w:type="dxa" w:w="130"/>
            </w:tcMar>
            <w:vAlign w:val="top"/>
          </w:tcPr>
          <w:p>
            <w:pPr>
              <w:spacing w:after="40" w:before="40" w:line="252"/>
              <w:jc w:val="left"/>
            </w:pPr>
            <w:r>
              <w:rPr>
                <w:b/>
                <w:bCs/>
                <w:i w:val="false"/>
                <w:iCs w:val="false"/>
                <w:color w:val="9B2226"/>
                <w:sz w:val="18"/>
                <w:szCs w:val="18"/>
              </w:rPr>
              <w:t xml:space="preserve">An AI agent</w:t>
            </w:r>
            <w:r>
              <w:rPr>
                <w:b w:val="false"/>
                <w:bCs w:val="false"/>
                <w:i w:val="false"/>
                <w:iCs w:val="false"/>
                <w:color w:val="9B2226"/>
                <w:sz w:val="18"/>
                <w:szCs w:val="18"/>
              </w:rPr>
              <w:t xml:space="preserve">, working from the Product Owner’s reasoning package and the programme’s own documents. </w:t>
            </w:r>
            <w:r>
              <w:rPr>
                <w:b w:val="false"/>
                <w:bCs w:val="false"/>
                <w:i w:val="false"/>
                <w:iCs w:val="false"/>
                <w:color w:val="222629"/>
                <w:sz w:val="18"/>
                <w:szCs w:val="18"/>
              </w:rPr>
              <w:t xml:space="preserve">Rajal — Principal Insurance Platform Product Owner — is the accountable role, and has not yet signed. See the provenance note below and the Product decision block in §14.</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Provenance</w:t>
            </w:r>
          </w:p>
        </w:tc>
        <w:tc>
          <w:tcPr>
            <w:tcW w:type="dxa" w:w="7518"/>
            <w:shd w:fill="F1F5F8" w:color="auto" w:val="clear"/>
            <w:tcMar>
              <w:top w:type="dxa" w:w="90"/>
              <w:left w:type="dxa" w:w="130"/>
              <w:bottom w:type="dxa" w:w="90"/>
              <w:right w:type="dxa" w:w="130"/>
            </w:tcMar>
            <w:vAlign w:val="top"/>
          </w:tcPr>
          <w:p>
            <w:pPr>
              <w:spacing w:after="40" w:before="40" w:line="252"/>
              <w:jc w:val="left"/>
            </w:pPr>
            <w:r>
              <w:rPr>
                <w:b/>
                <w:bCs/>
                <w:i w:val="false"/>
                <w:iCs w:val="false"/>
                <w:color w:val="9B2226"/>
                <w:sz w:val="18"/>
                <w:szCs w:val="18"/>
              </w:rPr>
              <w:t xml:space="preserve">AI-DRAFTED. No human Product decision has been recorded on this pack.</w:t>
            </w:r>
            <w:r>
              <w:rPr>
                <w:b w:val="false"/>
                <w:bCs w:val="false"/>
                <w:i w:val="false"/>
                <w:iCs w:val="false"/>
                <w:color w:val="222629"/>
                <w:sz w:val="18"/>
                <w:szCs w:val="18"/>
              </w:rPr>
              <w:t xml:space="preserve"/>
            </w:r>
            <w:r>
              <w:rPr>
                <w:b w:val="false"/>
                <w:bCs w:val="false"/>
                <w:i w:val="false"/>
                <w:iCs w:val="false"/>
                <w:color w:val="222629"/>
                <w:sz w:val="18"/>
                <w:szCs w:val="18"/>
              </w:rPr>
              <w:br/>
              <w:t xml:space="preserve">Where this document states a Product position, that position is drafted on Product’s behalf and is awaiting Rajal’s signature. It is not evidence of a Product decision and must not be relied on as one.</w:t>
            </w:r>
          </w:p>
        </w:tc>
      </w:tr>
      <w:tr>
        <w:trPr>
          <w:cantSplit/>
        </w:trPr>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Approval owner</w:t>
            </w:r>
          </w:p>
        </w:tc>
        <w:tc>
          <w:tcPr>
            <w:tcW w:type="dxa" w:w="751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Shailja S</w:t>
            </w:r>
            <w:r>
              <w:rPr>
                <w:b w:val="false"/>
                <w:bCs w:val="false"/>
                <w:i w:val="false"/>
                <w:iCs w:val="false"/>
                <w:color w:val="222629"/>
                <w:sz w:val="18"/>
                <w:szCs w:val="18"/>
              </w:rPr>
              <w:t xml:space="preserve"> — Compliance &amp; Risk Head. A human signature is mandatory; this approval cannot be delegated to an automated reviewer.</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Supporting approvers</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Deepali (Information Security) · Aarti (Data and Database) · Swapnali (Quality Assurance) · Mahesh (Solution Architecture) · Shivanshi (Operations)</w:t>
            </w:r>
          </w:p>
        </w:tc>
      </w:tr>
      <w:tr>
        <w:trPr>
          <w:cantSplit/>
        </w:trPr>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Date issued</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17 August 2026</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Decision requested by</w:t>
            </w:r>
          </w:p>
        </w:tc>
        <w:tc>
          <w:tcPr>
            <w:tcW w:type="dxa" w:w="7518"/>
            <w:shd w:fill="F1F5F8" w:color="auto" w:val="clear"/>
            <w:tcMar>
              <w:top w:type="dxa" w:w="90"/>
              <w:left w:type="dxa" w:w="130"/>
              <w:bottom w:type="dxa" w:w="90"/>
              <w:right w:type="dxa" w:w="130"/>
            </w:tcMar>
            <w:vAlign w:val="top"/>
          </w:tcPr>
          <w:p>
            <w:pPr>
              <w:spacing w:after="40" w:before="40" w:line="252"/>
              <w:jc w:val="left"/>
            </w:pPr>
            <w:r>
              <w:rPr>
                <w:b/>
                <w:bCs/>
                <w:i w:val="false"/>
                <w:iCs w:val="false"/>
                <w:color w:val="9B2226"/>
                <w:sz w:val="18"/>
                <w:szCs w:val="18"/>
              </w:rPr>
              <w:t xml:space="preserve">29 August 2026</w:t>
            </w:r>
          </w:p>
        </w:tc>
      </w:tr>
      <w:tr>
        <w:trPr>
          <w:cantSplit/>
        </w:trPr>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Submitted for approval</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 Rule Pack v1.1 — 42 rules · Suitability Rule Pack v1.1 — 62 rules, algorithm SUIT-ALGO-LIFE-v1.1</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Development status</w:t>
            </w:r>
          </w:p>
        </w:tc>
        <w:tc>
          <w:tcPr>
            <w:tcW w:type="dxa" w:w="7518"/>
            <w:shd w:fill="F1F5F8" w:color="auto" w:val="clear"/>
            <w:tcMar>
              <w:top w:type="dxa" w:w="90"/>
              <w:left w:type="dxa" w:w="130"/>
              <w:bottom w:type="dxa" w:w="90"/>
              <w:right w:type="dxa" w:w="130"/>
            </w:tcMar>
            <w:vAlign w:val="top"/>
          </w:tcPr>
          <w:p>
            <w:pPr>
              <w:spacing w:after="40" w:before="40" w:line="252"/>
              <w:jc w:val="left"/>
            </w:pPr>
            <w:r>
              <w:rPr>
                <w:b/>
                <w:bCs/>
                <w:i w:val="false"/>
                <w:iCs w:val="false"/>
                <w:color w:val="9B2226"/>
                <w:sz w:val="18"/>
                <w:szCs w:val="18"/>
              </w:rPr>
              <w:t xml:space="preserve">Mixed, and not what an earlier draft of this pack said. </w:t>
            </w:r>
            <w:r>
              <w:rPr>
                <w:b w:val="false"/>
                <w:bCs w:val="false"/>
                <w:i w:val="false"/>
                <w:iCs w:val="false"/>
                <w:color w:val="222629"/>
                <w:sz w:val="18"/>
                <w:szCs w:val="18"/>
              </w:rPr>
              <w:t xml:space="preserve">Neither the Consent Service nor the Suitability Service exists. The quote path, however, was built, delivered and hardened — without the suitability gate this approval supplies. §3.2 sets out the position component by component.</w:t>
            </w:r>
          </w:p>
        </w:tc>
      </w:tr>
      <w:tr>
        <w:trPr>
          <w:cantSplit/>
        </w:trPr>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What is being asked for</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signed conclusion on each section of each pack, recorded in this volume. §5 sets out precisely what that certifies and what it does not.</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Scope</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first release — Life products (Term, Savings/Endowment and unit-linked), sold to existing bank customers, assisted by a relationship manager, through the approved insurer panel</w:t>
            </w:r>
          </w:p>
        </w:tc>
      </w:tr>
      <w:tr>
        <w:trPr>
          <w:cantSplit/>
        </w:trPr>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Self-contained</w:t>
            </w:r>
          </w:p>
        </w:tc>
        <w:tc>
          <w:tcPr>
            <w:tcW w:type="dxa" w:w="751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Yes, as a set of three. </w:t>
            </w:r>
            <w:r>
              <w:rPr>
                <w:b w:val="false"/>
                <w:bCs w:val="false"/>
                <w:i w:val="false"/>
                <w:iCs w:val="false"/>
                <w:color w:val="222629"/>
                <w:sz w:val="18"/>
                <w:szCs w:val="18"/>
              </w:rPr>
              <w:t xml:space="preserve">Every rule submitted for approval is reproduced in full in Volumes 2 and 3. Nothing outside these three documents needs to be obtained.</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Internal references</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These documents are written for a reader outside the delivery organisation. Where an internal programme code is unavoidable it is explained where it appears, and all of them are listed in the Appendix, Part 2 — which is identical in all three volumes.</w:t>
            </w:r>
          </w:p>
        </w:tc>
      </w:tr>
      <w:tr>
        <w:trPr>
          <w:cantSplit/>
        </w:trPr>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Classification</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Internal — Compliance, Product, Delivery</w:t>
            </w:r>
          </w:p>
        </w:tc>
      </w:tr>
    </w:tbl>
    <w:p>
      <w:pPr>
        <w:pStyle w:val="Heading1"/>
        <w:keepNext/>
        <w:keepLines/>
        <w:pageBreakBefore/>
        <w:pBdr>
          <w:bottom w:val="single" w:color="0F6E6E" w:sz="8" w:space="6"/>
        </w:pBdr>
        <w:spacing w:after="160" w:before="0"/>
      </w:pPr>
      <w:r>
        <w:rPr>
          <w:b/>
          <w:bCs/>
          <w:color w:val="11304E"/>
          <w:sz w:val="30"/>
          <w:szCs w:val="30"/>
        </w:rPr>
        <w:t xml:space="preserve">Contents</w:t>
      </w:r>
    </w:p>
    <w:p>
      <w:pPr>
        <w:spacing w:after="70" w:before="0" w:line="276"/>
        <w:jc w:val="left"/>
      </w:pPr>
      <w:r>
        <w:rPr>
          <w:b/>
          <w:bCs/>
          <w:i w:val="false"/>
          <w:iCs w:val="false"/>
          <w:color w:val="0F6E6E"/>
          <w:sz w:val="20"/>
          <w:szCs w:val="20"/>
        </w:rPr>
        <w:t xml:space="preserve">1.  </w:t>
      </w:r>
      <w:r>
        <w:rPr>
          <w:b w:val="false"/>
          <w:bCs w:val="false"/>
          <w:i w:val="false"/>
          <w:iCs w:val="false"/>
          <w:color w:val="222629"/>
          <w:sz w:val="20"/>
          <w:szCs w:val="20"/>
        </w:rPr>
        <w:t xml:space="preserve">What Compliance is being asked to approve</w:t>
      </w:r>
    </w:p>
    <w:p>
      <w:pPr>
        <w:spacing w:after="70" w:before="0" w:line="276"/>
        <w:jc w:val="left"/>
      </w:pPr>
      <w:r>
        <w:rPr>
          <w:b/>
          <w:bCs/>
          <w:i w:val="false"/>
          <w:iCs w:val="false"/>
          <w:color w:val="0F6E6E"/>
          <w:sz w:val="20"/>
          <w:szCs w:val="20"/>
        </w:rPr>
        <w:t xml:space="preserve">2.  </w:t>
      </w:r>
      <w:r>
        <w:rPr>
          <w:b w:val="false"/>
          <w:bCs w:val="false"/>
          <w:i w:val="false"/>
          <w:iCs w:val="false"/>
          <w:color w:val="222629"/>
          <w:sz w:val="20"/>
          <w:szCs w:val="20"/>
        </w:rPr>
        <w:t xml:space="preserve">Executive summary</w:t>
      </w:r>
    </w:p>
    <w:p>
      <w:pPr>
        <w:spacing w:after="70" w:before="0" w:line="276"/>
        <w:jc w:val="left"/>
      </w:pPr>
      <w:r>
        <w:rPr>
          <w:b/>
          <w:bCs/>
          <w:i w:val="false"/>
          <w:iCs w:val="false"/>
          <w:color w:val="0F6E6E"/>
          <w:sz w:val="20"/>
          <w:szCs w:val="20"/>
        </w:rPr>
        <w:t xml:space="preserve">3.  </w:t>
      </w:r>
      <w:r>
        <w:rPr>
          <w:b w:val="false"/>
          <w:bCs w:val="false"/>
          <w:i w:val="false"/>
          <w:iCs w:val="false"/>
          <w:color w:val="222629"/>
          <w:sz w:val="20"/>
          <w:szCs w:val="20"/>
        </w:rPr>
        <w:t xml:space="preserve">Where this sits — scope, position and authority</w:t>
      </w:r>
    </w:p>
    <w:p>
      <w:pPr>
        <w:spacing w:after="70" w:before="0" w:line="276"/>
        <w:jc w:val="left"/>
      </w:pPr>
      <w:r>
        <w:rPr>
          <w:b/>
          <w:bCs/>
          <w:i w:val="false"/>
          <w:iCs w:val="false"/>
          <w:color w:val="0F6E6E"/>
          <w:sz w:val="20"/>
          <w:szCs w:val="20"/>
        </w:rPr>
        <w:t xml:space="preserve">4.  </w:t>
      </w:r>
      <w:r>
        <w:rPr>
          <w:b w:val="false"/>
          <w:bCs w:val="false"/>
          <w:i w:val="false"/>
          <w:iCs w:val="false"/>
          <w:color w:val="222629"/>
          <w:sz w:val="20"/>
          <w:szCs w:val="20"/>
        </w:rPr>
        <w:t xml:space="preserve">What is submitted</w:t>
      </w:r>
    </w:p>
    <w:p>
      <w:pPr>
        <w:spacing w:after="70" w:before="0" w:line="276"/>
        <w:jc w:val="left"/>
      </w:pPr>
      <w:r>
        <w:rPr>
          <w:b/>
          <w:bCs/>
          <w:i w:val="false"/>
          <w:iCs w:val="false"/>
          <w:color w:val="0F6E6E"/>
          <w:sz w:val="20"/>
          <w:szCs w:val="20"/>
        </w:rPr>
        <w:t xml:space="preserve">5.  </w:t>
      </w:r>
      <w:r>
        <w:rPr>
          <w:b w:val="false"/>
          <w:bCs w:val="false"/>
          <w:i w:val="false"/>
          <w:iCs w:val="false"/>
          <w:color w:val="222629"/>
          <w:sz w:val="20"/>
          <w:szCs w:val="20"/>
        </w:rPr>
        <w:t xml:space="preserve">Why a signature, and what it certifies</w:t>
      </w:r>
    </w:p>
    <w:p>
      <w:pPr>
        <w:spacing w:after="70" w:before="0" w:line="276"/>
        <w:jc w:val="left"/>
      </w:pPr>
      <w:r>
        <w:rPr>
          <w:b/>
          <w:bCs/>
          <w:i w:val="false"/>
          <w:iCs w:val="false"/>
          <w:color w:val="0F6E6E"/>
          <w:sz w:val="20"/>
          <w:szCs w:val="20"/>
        </w:rPr>
        <w:t xml:space="preserve">6.  </w:t>
      </w:r>
      <w:r>
        <w:rPr>
          <w:b w:val="false"/>
          <w:bCs w:val="false"/>
          <w:i w:val="false"/>
          <w:iCs w:val="false"/>
          <w:color w:val="222629"/>
          <w:sz w:val="20"/>
          <w:szCs w:val="20"/>
        </w:rPr>
        <w:t xml:space="preserve">Regulatory basis and applicability</w:t>
      </w:r>
    </w:p>
    <w:p>
      <w:pPr>
        <w:spacing w:after="70" w:before="0" w:line="276"/>
        <w:jc w:val="left"/>
      </w:pPr>
      <w:r>
        <w:rPr>
          <w:b/>
          <w:bCs/>
          <w:i w:val="false"/>
          <w:iCs w:val="false"/>
          <w:color w:val="0F6E6E"/>
          <w:sz w:val="20"/>
          <w:szCs w:val="20"/>
        </w:rPr>
        <w:t xml:space="preserve">7.  </w:t>
      </w:r>
      <w:r>
        <w:rPr>
          <w:b w:val="false"/>
          <w:bCs w:val="false"/>
          <w:i w:val="false"/>
          <w:iCs w:val="false"/>
          <w:color w:val="222629"/>
          <w:sz w:val="20"/>
          <w:szCs w:val="20"/>
        </w:rPr>
        <w:t xml:space="preserve">How to read this document</w:t>
      </w:r>
    </w:p>
    <w:p>
      <w:pPr>
        <w:spacing w:after="70" w:before="0" w:line="276"/>
        <w:jc w:val="left"/>
      </w:pPr>
      <w:r>
        <w:rPr>
          <w:b/>
          <w:bCs/>
          <w:i w:val="false"/>
          <w:iCs w:val="false"/>
          <w:color w:val="0F6E6E"/>
          <w:sz w:val="20"/>
          <w:szCs w:val="20"/>
        </w:rPr>
        <w:t xml:space="preserve">8.  </w:t>
      </w:r>
      <w:r>
        <w:rPr>
          <w:b w:val="false"/>
          <w:bCs w:val="false"/>
          <w:i w:val="false"/>
          <w:iCs w:val="false"/>
          <w:color w:val="222629"/>
          <w:sz w:val="20"/>
          <w:szCs w:val="20"/>
        </w:rPr>
        <w:t xml:space="preserve">Decision Schedule A — Consent Rule Pack</w:t>
      </w:r>
    </w:p>
    <w:p>
      <w:pPr>
        <w:spacing w:after="70" w:before="0" w:line="276"/>
        <w:jc w:val="left"/>
      </w:pPr>
      <w:r>
        <w:rPr>
          <w:b/>
          <w:bCs/>
          <w:i w:val="false"/>
          <w:iCs w:val="false"/>
          <w:color w:val="0F6E6E"/>
          <w:sz w:val="20"/>
          <w:szCs w:val="20"/>
        </w:rPr>
        <w:t xml:space="preserve">9.  </w:t>
      </w:r>
      <w:r>
        <w:rPr>
          <w:b w:val="false"/>
          <w:bCs w:val="false"/>
          <w:i w:val="false"/>
          <w:iCs w:val="false"/>
          <w:color w:val="222629"/>
          <w:sz w:val="20"/>
          <w:szCs w:val="20"/>
        </w:rPr>
        <w:t xml:space="preserve">Decision Schedule B — Suitability Rule Pack</w:t>
      </w:r>
    </w:p>
    <w:p>
      <w:pPr>
        <w:spacing w:after="70" w:before="0" w:line="276"/>
        <w:jc w:val="left"/>
      </w:pPr>
      <w:r>
        <w:rPr>
          <w:b/>
          <w:bCs/>
          <w:i w:val="false"/>
          <w:iCs w:val="false"/>
          <w:color w:val="0F6E6E"/>
          <w:sz w:val="20"/>
          <w:szCs w:val="20"/>
        </w:rPr>
        <w:t xml:space="preserve">10.  </w:t>
      </w:r>
      <w:r>
        <w:rPr>
          <w:b w:val="false"/>
          <w:bCs w:val="false"/>
          <w:i w:val="false"/>
          <w:iCs w:val="false"/>
          <w:color w:val="222629"/>
          <w:sz w:val="20"/>
          <w:szCs w:val="20"/>
        </w:rPr>
        <w:t xml:space="preserve">Open items requiring a Compliance determination</w:t>
      </w:r>
    </w:p>
    <w:p>
      <w:pPr>
        <w:spacing w:after="70" w:before="0" w:line="276"/>
        <w:jc w:val="left"/>
      </w:pPr>
      <w:r>
        <w:rPr>
          <w:b/>
          <w:bCs/>
          <w:i w:val="false"/>
          <w:iCs w:val="false"/>
          <w:color w:val="0F6E6E"/>
          <w:sz w:val="20"/>
          <w:szCs w:val="20"/>
        </w:rPr>
        <w:t xml:space="preserve">11.  </w:t>
      </w:r>
      <w:r>
        <w:rPr>
          <w:b w:val="false"/>
          <w:bCs w:val="false"/>
          <w:i w:val="false"/>
          <w:iCs w:val="false"/>
          <w:color w:val="222629"/>
          <w:sz w:val="20"/>
          <w:szCs w:val="20"/>
        </w:rPr>
        <w:t xml:space="preserve">Product proposal — consolidating consent into a single up-front ceremony</w:t>
      </w:r>
    </w:p>
    <w:p>
      <w:pPr>
        <w:spacing w:after="70" w:before="0" w:line="276"/>
        <w:jc w:val="left"/>
      </w:pPr>
      <w:r>
        <w:rPr>
          <w:b/>
          <w:bCs/>
          <w:i w:val="false"/>
          <w:iCs w:val="false"/>
          <w:color w:val="0F6E6E"/>
          <w:sz w:val="20"/>
          <w:szCs w:val="20"/>
        </w:rPr>
        <w:t xml:space="preserve">12.  </w:t>
      </w:r>
      <w:r>
        <w:rPr>
          <w:b w:val="false"/>
          <w:bCs w:val="false"/>
          <w:i w:val="false"/>
          <w:iCs w:val="false"/>
          <w:color w:val="222629"/>
          <w:sz w:val="20"/>
          <w:szCs w:val="20"/>
        </w:rPr>
        <w:t xml:space="preserve">Conditions that carry forward into build and run</w:t>
      </w:r>
    </w:p>
    <w:p>
      <w:pPr>
        <w:spacing w:after="70" w:before="0" w:line="276"/>
        <w:jc w:val="left"/>
      </w:pPr>
      <w:r>
        <w:rPr>
          <w:b/>
          <w:bCs/>
          <w:i w:val="false"/>
          <w:iCs w:val="false"/>
          <w:color w:val="0F6E6E"/>
          <w:sz w:val="20"/>
          <w:szCs w:val="20"/>
        </w:rPr>
        <w:t xml:space="preserve">13.  </w:t>
      </w:r>
      <w:r>
        <w:rPr>
          <w:b w:val="false"/>
          <w:bCs w:val="false"/>
          <w:i w:val="false"/>
          <w:iCs w:val="false"/>
          <w:color w:val="222629"/>
          <w:sz w:val="20"/>
          <w:szCs w:val="20"/>
        </w:rPr>
        <w:t xml:space="preserve">What happens after approval</w:t>
      </w:r>
    </w:p>
    <w:p>
      <w:pPr>
        <w:spacing w:after="70" w:before="0" w:line="276"/>
        <w:jc w:val="left"/>
      </w:pPr>
      <w:r>
        <w:rPr>
          <w:b/>
          <w:bCs/>
          <w:i w:val="false"/>
          <w:iCs w:val="false"/>
          <w:color w:val="0F6E6E"/>
          <w:sz w:val="20"/>
          <w:szCs w:val="20"/>
        </w:rPr>
        <w:t xml:space="preserve">14.  </w:t>
      </w:r>
      <w:r>
        <w:rPr>
          <w:b w:val="false"/>
          <w:bCs w:val="false"/>
          <w:i w:val="false"/>
          <w:iCs w:val="false"/>
          <w:color w:val="222629"/>
          <w:sz w:val="20"/>
          <w:szCs w:val="20"/>
        </w:rPr>
        <w:t xml:space="preserve">Sign-off sheet</w:t>
      </w:r>
    </w:p>
    <w:p>
      <w:pPr>
        <w:spacing w:after="70" w:before="0" w:line="276"/>
        <w:jc w:val="left"/>
      </w:pPr>
      <w:r>
        <w:rPr>
          <w:b/>
          <w:bCs/>
          <w:i w:val="false"/>
          <w:iCs w:val="false"/>
          <w:color w:val="0F6E6E"/>
          <w:sz w:val="20"/>
          <w:szCs w:val="20"/>
        </w:rPr>
        <w:t xml:space="preserve">—.  </w:t>
      </w:r>
      <w:r>
        <w:rPr>
          <w:b w:val="false"/>
          <w:bCs w:val="false"/>
          <w:i w:val="false"/>
          <w:iCs w:val="false"/>
          <w:color w:val="222629"/>
          <w:sz w:val="20"/>
          <w:szCs w:val="20"/>
        </w:rPr>
        <w:t xml:space="preserve">Appendix — Terms and internal references</w:t>
      </w:r>
    </w:p>
    <w:p>
      <w:pPr>
        <w:spacing w:after="240"/>
      </w:pPr>
      <w:r>
        <w:t xml:space="preserve"/>
      </w:r>
    </w:p>
    <w:p>
      <w:pPr>
        <w:pStyle w:val="Heading2"/>
        <w:keepNext/>
        <w:keepLines/>
        <w:spacing w:after="100" w:before="220"/>
      </w:pPr>
      <w:r>
        <w:rPr>
          <w:b/>
          <w:bCs/>
          <w:color w:val="0F6E6E"/>
          <w:sz w:val="21"/>
          <w:szCs w:val="21"/>
        </w:rPr>
        <w:t xml:space="preserve">The three volumes, and what each is for</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638"/>
        <w:gridCol w:w="4241"/>
        <w:gridCol w:w="3759"/>
      </w:tblGrid>
      <w:tr>
        <w:trPr>
          <w:cantSplit/>
          <w:tblHeader/>
        </w:trPr>
        <w:tc>
          <w:tcPr>
            <w:tcW w:type="dxa" w:w="1638"/>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Volume</w:t>
            </w:r>
          </w:p>
        </w:tc>
        <w:tc>
          <w:tcPr>
            <w:tcW w:type="dxa" w:w="424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What it contains</w:t>
            </w:r>
          </w:p>
        </w:tc>
        <w:tc>
          <w:tcPr>
            <w:tcW w:type="dxa" w:w="3759"/>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How to use it</w:t>
            </w:r>
          </w:p>
        </w:tc>
      </w:tr>
      <w:tr>
        <w:trPr>
          <w:cantSplit/>
        </w:trPr>
        <w:tc>
          <w:tcPr>
            <w:tcW w:type="dxa" w:w="163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Volume 1</w:t>
            </w:r>
            <w:r>
              <w:rPr>
                <w:b/>
                <w:bCs/>
                <w:i w:val="false"/>
                <w:iCs w:val="false"/>
                <w:color w:val="222629"/>
                <w:sz w:val="18"/>
                <w:szCs w:val="18"/>
              </w:rPr>
              <w:br/>
              <w:t xml:space="preserve"/>
            </w:r>
            <w:r>
              <w:rPr>
                <w:b w:val="false"/>
                <w:bCs w:val="false"/>
                <w:i w:val="false"/>
                <w:iCs w:val="false"/>
                <w:color w:val="222629"/>
                <w:sz w:val="18"/>
                <w:szCs w:val="18"/>
              </w:rPr>
              <w:t xml:space="preserve">Decision Pack</w:t>
            </w:r>
            <w:r>
              <w:rPr>
                <w:b w:val="false"/>
                <w:bCs w:val="false"/>
                <w:i w:val="false"/>
                <w:iCs w:val="false"/>
                <w:color w:val="222629"/>
                <w:sz w:val="18"/>
                <w:szCs w:val="18"/>
              </w:rPr>
              <w:br/>
              <w:t xml:space="preserve">this document</w:t>
            </w:r>
          </w:p>
        </w:tc>
        <w:tc>
          <w:tcPr>
            <w:tcW w:type="dxa" w:w="424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Why the approval is needed, what a signature certifies, the two decision schedules, the ten open regulatory questions, a Product proposal on consent sequencing, the conditions that carry into build, and the sign-off sheet.</w:t>
            </w:r>
          </w:p>
        </w:tc>
        <w:tc>
          <w:tcPr>
            <w:tcW w:type="dxa" w:w="375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Read it through, then work down the two schedules. Everything you sign is in this volume.</w:t>
            </w:r>
          </w:p>
        </w:tc>
      </w:tr>
      <w:tr>
        <w:trPr>
          <w:cantSplit/>
        </w:trPr>
        <w:tc>
          <w:tcPr>
            <w:tcW w:type="dxa" w:w="1638"/>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Volume 2</w:t>
            </w:r>
            <w:r>
              <w:rPr>
                <w:b/>
                <w:bCs/>
                <w:i w:val="false"/>
                <w:iCs w:val="false"/>
                <w:color w:val="222629"/>
                <w:sz w:val="18"/>
                <w:szCs w:val="18"/>
              </w:rPr>
              <w:br/>
              <w:t xml:space="preserve"/>
            </w:r>
            <w:r>
              <w:rPr>
                <w:b w:val="false"/>
                <w:bCs w:val="false"/>
                <w:i w:val="false"/>
                <w:iCs w:val="false"/>
                <w:color w:val="222629"/>
                <w:sz w:val="18"/>
                <w:szCs w:val="18"/>
              </w:rPr>
              <w:t xml:space="preserve">Consent Rule Pack</w:t>
            </w:r>
          </w:p>
        </w:tc>
        <w:tc>
          <w:tcPr>
            <w:tcW w:type="dxa" w:w="424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All 38 consent rules in full, with the consent events, the evidence record, and the failure behaviour they govern.</w:t>
            </w:r>
          </w:p>
        </w:tc>
        <w:tc>
          <w:tcPr>
            <w:tcW w:type="dxa" w:w="3759"/>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Open it alongside Decision Schedule A. Each row of the schedule names the section to read.</w:t>
            </w:r>
          </w:p>
        </w:tc>
      </w:tr>
      <w:tr>
        <w:trPr>
          <w:cantSplit/>
        </w:trPr>
        <w:tc>
          <w:tcPr>
            <w:tcW w:type="dxa" w:w="163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Volume 3</w:t>
            </w:r>
            <w:r>
              <w:rPr>
                <w:b/>
                <w:bCs/>
                <w:i w:val="false"/>
                <w:iCs w:val="false"/>
                <w:color w:val="222629"/>
                <w:sz w:val="18"/>
                <w:szCs w:val="18"/>
              </w:rPr>
              <w:br/>
              <w:t xml:space="preserve"/>
            </w:r>
            <w:r>
              <w:rPr>
                <w:b w:val="false"/>
                <w:bCs w:val="false"/>
                <w:i w:val="false"/>
                <w:iCs w:val="false"/>
                <w:color w:val="222629"/>
                <w:sz w:val="18"/>
                <w:szCs w:val="18"/>
              </w:rPr>
              <w:t xml:space="preserve">Suitability Rule Pack</w:t>
            </w:r>
          </w:p>
        </w:tc>
        <w:tc>
          <w:tcPr>
            <w:tcW w:type="dxa" w:w="424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All 48 suitability rules in full, with the question set, the computation, the outcome tables and the override policy.</w:t>
            </w:r>
          </w:p>
        </w:tc>
        <w:tc>
          <w:tcPr>
            <w:tcW w:type="dxa" w:w="375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Open it alongside Decision Schedule B, the same way.</w:t>
            </w:r>
          </w:p>
        </w:tc>
      </w:tr>
    </w:tbl>
    <w:p>
      <w:pPr>
        <w:spacing w:after="140"/>
      </w:pPr>
      <w:r>
        <w:t xml:space="preserve"/>
      </w:r>
    </w:p>
    <w:p>
      <w:pPr>
        <w:keepNext/>
        <w:keepLines/>
        <w:pBdr>
          <w:top w:val="single" w:color="F1F5F8" w:sz="2" w:space="8"/>
          <w:left w:val="single" w:color="0F6E6E" w:sz="18" w:space="10"/>
          <w:right w:val="single" w:color="F1F5F8" w:sz="2" w:space="10"/>
        </w:pBdr>
        <w:shd w:fill="F1F5F8" w:color="auto" w:val="clear"/>
        <w:spacing w:after="100" w:before="140" w:line="276"/>
        <w:ind w:left="200" w:right="200"/>
      </w:pPr>
      <w:r>
        <w:rPr>
          <w:b/>
          <w:bCs/>
          <w:i w:val="false"/>
          <w:iCs w:val="false"/>
          <w:color w:val="0F6E6E"/>
          <w:sz w:val="20"/>
          <w:szCs w:val="20"/>
        </w:rPr>
        <w:t xml:space="preserve">The set stands alone</w:t>
      </w:r>
    </w:p>
    <w:p>
      <w:pPr>
        <w:keepNext w:val="false"/>
        <w:keepLines/>
        <w:pBdr>
          <w:bottom w:val="single" w:color="F1F5F8" w:sz="2" w:space="8"/>
          <w:left w:val="single" w:color="0F6E6E" w:sz="18" w:space="10"/>
          <w:right w:val="single" w:color="F1F5F8" w:sz="2" w:space="10"/>
        </w:pBdr>
        <w:shd w:fill="F1F5F8" w:color="auto" w:val="clear"/>
        <w:spacing w:after="140" w:before="0" w:line="276"/>
        <w:ind w:left="200" w:right="200"/>
      </w:pPr>
      <w:r>
        <w:rPr>
          <w:b w:val="false"/>
          <w:bCs w:val="false"/>
          <w:i w:val="false"/>
          <w:iCs w:val="false"/>
          <w:color w:val="222629"/>
          <w:sz w:val="20"/>
          <w:szCs w:val="20"/>
        </w:rPr>
        <w:t xml:space="preserve">Between them, the three volumes contain everything needed to complete this approval. No further document needs to be requested and no system access is required. Volume 1 is the decision; Volumes 2 and 3 are the substance being decided on.</w:t>
      </w:r>
    </w:p>
    <w:p>
      <w:pPr>
        <w:pStyle w:val="Heading1"/>
        <w:keepNext/>
        <w:keepLines/>
        <w:pageBreakBefore/>
        <w:pBdr>
          <w:bottom w:val="single" w:color="0F6E6E" w:sz="8" w:space="6"/>
        </w:pBdr>
        <w:spacing w:after="160" w:before="0"/>
      </w:pPr>
      <w:r>
        <w:rPr>
          <w:b/>
          <w:bCs/>
          <w:color w:val="11304E"/>
          <w:sz w:val="30"/>
          <w:szCs w:val="30"/>
        </w:rPr>
        <w:t xml:space="preserve">1.  What Compliance is being asked to approve</w:t>
      </w:r>
    </w:p>
    <w:p>
      <w:pPr>
        <w:spacing w:after="120" w:before="0" w:line="276"/>
        <w:jc w:val="left"/>
      </w:pPr>
      <w:r>
        <w:rPr>
          <w:b w:val="false"/>
          <w:bCs w:val="false"/>
          <w:i w:val="false"/>
          <w:iCs w:val="false"/>
          <w:color w:val="222629"/>
          <w:sz w:val="20"/>
          <w:szCs w:val="20"/>
        </w:rPr>
        <w:t xml:space="preserve">This is an approval sought before development, not a review of something already built. The two rule packs submitted here define how consent and suitability will work in the first release of the insurance distribution journey. Both are held behind a build freeze. Construction starts when this approval is given, and not before.</w:t>
      </w:r>
    </w:p>
    <w:p>
      <w:pPr>
        <w:spacing w:after="120" w:before="0" w:line="276"/>
        <w:jc w:val="left"/>
      </w:pPr>
      <w:r>
        <w:rPr>
          <w:b w:val="false"/>
          <w:bCs w:val="false"/>
          <w:i w:val="false"/>
          <w:iCs w:val="false"/>
          <w:color w:val="222629"/>
          <w:sz w:val="20"/>
          <w:szCs w:val="20"/>
        </w:rPr>
        <w:t xml:space="preserve">Both packs are written so that Compliance can accept, amend or reject each section individually rather than accept or reject the whole. Three decisions are requested, and they are separable.</w:t>
      </w:r>
    </w:p>
    <w:p>
      <w:pPr>
        <w:spacing w:after="60"/>
      </w:pPr>
      <w:r>
        <w:t xml:space="preserve"/>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675"/>
        <w:gridCol w:w="3277"/>
        <w:gridCol w:w="2891"/>
        <w:gridCol w:w="2795"/>
      </w:tblGrid>
      <w:tr>
        <w:trPr>
          <w:cantSplit/>
          <w:tblHeader/>
        </w:trPr>
        <w:tc>
          <w:tcPr>
            <w:tcW w:type="dxa" w:w="675"/>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t>
            </w:r>
          </w:p>
        </w:tc>
        <w:tc>
          <w:tcPr>
            <w:tcW w:type="dxa" w:w="3277"/>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Decision requested</w:t>
            </w:r>
          </w:p>
        </w:tc>
        <w:tc>
          <w:tcPr>
            <w:tcW w:type="dxa" w:w="289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Effect of approval</w:t>
            </w:r>
          </w:p>
        </w:tc>
        <w:tc>
          <w:tcPr>
            <w:tcW w:type="dxa" w:w="2795"/>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Effect of no decision</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D1</w:t>
            </w:r>
          </w:p>
        </w:tc>
        <w:tc>
          <w:tcPr>
            <w:tcW w:type="dxa" w:w="327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Approve the Consent Rule Pack v1.1</w:t>
            </w:r>
            <w:r>
              <w:rPr>
                <w:b w:val="false"/>
                <w:bCs w:val="false"/>
                <w:i w:val="false"/>
                <w:iCs w:val="false"/>
                <w:color w:val="222629"/>
                <w:sz w:val="18"/>
                <w:szCs w:val="18"/>
              </w:rPr>
              <w:t xml:space="preserve"> (42 rules), with any amendments recorded in Schedule A</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consent approval checkpoint for this stage is met, the blocking issue closes, and the Consent Service enters construction.</w:t>
            </w:r>
          </w:p>
        </w:tc>
        <w:tc>
          <w:tcPr>
            <w:tcW w:type="dxa" w:w="279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Consent Service stays behind the build freeze.</w:t>
            </w:r>
          </w:p>
        </w:tc>
      </w:tr>
      <w:tr>
        <w:trPr>
          <w:cantSplit/>
        </w:trPr>
        <w:tc>
          <w:tcPr>
            <w:tcW w:type="dxa" w:w="67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D2a</w:t>
            </w:r>
          </w:p>
        </w:tc>
        <w:tc>
          <w:tcPr>
            <w:tcW w:type="dxa" w:w="327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Approve the suitability structure</w:t>
            </w:r>
            <w:r>
              <w:rPr>
                <w:b w:val="false"/>
                <w:bCs w:val="false"/>
                <w:i w:val="false"/>
                <w:iCs w:val="false"/>
                <w:color w:val="222629"/>
                <w:sz w:val="18"/>
                <w:szCs w:val="18"/>
              </w:rPr>
              <w:t xml:space="preserve"> — the question set, the record, the gate, invalidation, reuse, the override policy and the disclosures. Everything in Schedule B except the arithmetic.</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Suitability Service enters construction, and the gate can be built in front of the existing quote path.</w:t>
            </w:r>
          </w:p>
        </w:tc>
        <w:tc>
          <w:tcPr>
            <w:tcW w:type="dxa" w:w="279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suitability and quote path stays frozen.</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D2b</w:t>
            </w:r>
          </w:p>
        </w:tc>
        <w:tc>
          <w:tcPr>
            <w:tcW w:type="dxa" w:w="327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Approve the algorithm</w:t>
            </w:r>
            <w:r>
              <w:rPr>
                <w:b w:val="false"/>
                <w:bCs w:val="false"/>
                <w:i w:val="false"/>
                <w:iCs w:val="false"/>
                <w:color w:val="222629"/>
                <w:sz w:val="18"/>
                <w:szCs w:val="18"/>
              </w:rPr>
              <w:t xml:space="preserve"> SUIT-ALGO-LIFE-v1.1 — the income multiples, the age factors and the outcome thresholds.</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model may be used to produce assessments that are relied on in a sale.</w:t>
            </w:r>
          </w:p>
        </w:tc>
        <w:tc>
          <w:tcPr>
            <w:tcW w:type="dxa" w:w="2795"/>
            <w:tcMar>
              <w:top w:type="dxa" w:w="90"/>
              <w:left w:type="dxa" w:w="130"/>
              <w:bottom w:type="dxa" w:w="90"/>
              <w:right w:type="dxa" w:w="130"/>
            </w:tcMar>
            <w:vAlign w:val="top"/>
          </w:tcPr>
          <w:p>
            <w:pPr>
              <w:spacing w:after="40" w:before="40" w:line="252"/>
              <w:jc w:val="left"/>
            </w:pPr>
            <w:r>
              <w:rPr>
                <w:b/>
                <w:bCs/>
                <w:i w:val="false"/>
                <w:iCs w:val="false"/>
                <w:color w:val="9B2226"/>
                <w:sz w:val="18"/>
                <w:szCs w:val="18"/>
              </w:rPr>
              <w:t xml:space="preserve">Blocked by OPEN-SUIT-01.</w:t>
            </w:r>
            <w:r>
              <w:rPr>
                <w:b w:val="false"/>
                <w:bCs w:val="false"/>
                <w:i w:val="false"/>
                <w:iCs w:val="false"/>
                <w:color w:val="222629"/>
                <w:sz w:val="18"/>
                <w:szCs w:val="18"/>
              </w:rPr>
              <w:t xml:space="preserve"> Product no longer presents this as approvable without a source-backed answer — see §10.</w:t>
            </w:r>
          </w:p>
        </w:tc>
      </w:tr>
      <w:tr>
        <w:trPr>
          <w:cantSplit/>
        </w:trPr>
        <w:tc>
          <w:tcPr>
            <w:tcW w:type="dxa" w:w="67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D3</w:t>
            </w:r>
          </w:p>
        </w:tc>
        <w:tc>
          <w:tcPr>
            <w:tcW w:type="dxa" w:w="327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Determine the open regulatory items</w:t>
            </w:r>
            <w:r>
              <w:rPr>
                <w:b w:val="false"/>
                <w:bCs w:val="false"/>
                <w:i w:val="false"/>
                <w:iCs w:val="false"/>
                <w:color w:val="222629"/>
                <w:sz w:val="18"/>
                <w:szCs w:val="18"/>
              </w:rPr>
              <w:t xml:space="preserve"> in §10, rule on the consent-consolidation proposal in §11, and answer OPEN-SCOPE-01 in §3.1</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journey sequence locks, the algorithm decision becomes possible, and the customer-facing wording can be drafted.</w:t>
            </w:r>
          </w:p>
        </w:tc>
        <w:tc>
          <w:tcPr>
            <w:tcW w:type="dxa" w:w="279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D1 and D2a can still be approved; the journey is then built to the sequence described in §11.1, and no assessment may be relied on in a sale.</w:t>
            </w:r>
          </w:p>
        </w:tc>
      </w:tr>
    </w:tbl>
    <w:p>
      <w:pPr>
        <w:spacing w:after="140"/>
      </w:pPr>
      <w:r>
        <w:t xml:space="preserve"/>
      </w:r>
    </w:p>
    <w:p>
      <w:pPr>
        <w:keepNext/>
        <w:keepLines/>
        <w:pBdr>
          <w:top w:val="single" w:color="F1F5F8" w:sz="2" w:space="8"/>
          <w:left w:val="single" w:color="0F6E6E" w:sz="18" w:space="10"/>
          <w:right w:val="single" w:color="F1F5F8" w:sz="2" w:space="10"/>
        </w:pBdr>
        <w:shd w:fill="F1F5F8" w:color="auto" w:val="clear"/>
        <w:spacing w:after="100" w:before="140" w:line="276"/>
        <w:ind w:left="200" w:right="200"/>
      </w:pPr>
      <w:r>
        <w:rPr>
          <w:b/>
          <w:bCs/>
          <w:i w:val="false"/>
          <w:iCs w:val="false"/>
          <w:color w:val="0F6E6E"/>
          <w:sz w:val="20"/>
          <w:szCs w:val="20"/>
        </w:rPr>
        <w:t xml:space="preserve">The honest position</w:t>
      </w:r>
    </w:p>
    <w:p>
      <w:pPr>
        <w:keepNext w:val="false"/>
        <w:keepLines/>
        <w:pBdr>
          <w:bottom w:val="single" w:color="F1F5F8" w:sz="2" w:space="8"/>
          <w:left w:val="single" w:color="0F6E6E" w:sz="18" w:space="10"/>
          <w:right w:val="single" w:color="F1F5F8" w:sz="2" w:space="10"/>
        </w:pBdr>
        <w:shd w:fill="F1F5F8" w:color="auto" w:val="clear"/>
        <w:spacing w:after="140" w:before="0" w:line="276"/>
        <w:ind w:left="200" w:right="200"/>
      </w:pPr>
      <w:r>
        <w:rPr>
          <w:b w:val="false"/>
          <w:bCs w:val="false"/>
          <w:i w:val="false"/>
          <w:iCs w:val="false"/>
          <w:color w:val="222629"/>
          <w:sz w:val="20"/>
          <w:szCs w:val="20"/>
        </w:rPr>
        <w:t xml:space="preserve">Nothing here claims that Product has settled a regulatory question. Where the answer is Compliance’s, the question is written down, the position Product would take is stated, and the consequence of deciding otherwise is named. Ten such items are listed in §10 and §11. None of them blocks approval of D1 and D2, because all ten are wording, window or sequencing questions over a rule set and a record structure that do not change with the answer. That is the reason for specifying structure before text.</w:t>
      </w:r>
    </w:p>
    <w:p>
      <w:pPr>
        <w:pStyle w:val="Heading1"/>
        <w:keepNext/>
        <w:keepLines/>
        <w:pBdr>
          <w:bottom w:val="single" w:color="0F6E6E" w:sz="8" w:space="6"/>
        </w:pBdr>
        <w:spacing w:after="160" w:before="400"/>
      </w:pPr>
      <w:r>
        <w:rPr>
          <w:b/>
          <w:bCs/>
          <w:color w:val="11304E"/>
          <w:sz w:val="30"/>
          <w:szCs w:val="30"/>
        </w:rPr>
        <w:t xml:space="preserve">2.  Executive summary</w:t>
      </w:r>
    </w:p>
    <w:p>
      <w:pPr>
        <w:spacing w:after="120" w:before="0" w:line="276"/>
        <w:jc w:val="left"/>
      </w:pPr>
      <w:r>
        <w:rPr>
          <w:b w:val="false"/>
          <w:bCs w:val="false"/>
          <w:i w:val="false"/>
          <w:iCs w:val="false"/>
          <w:color w:val="222629"/>
          <w:sz w:val="20"/>
          <w:szCs w:val="20"/>
        </w:rPr>
        <w:t xml:space="preserve">Two unresolved issues have kept this platform out of construction. The first is that the consent rules were written as intentions rather than as rules anyone could test. The second is that the suitability content — the questions, the arithmetic and the override policy — had never been decided. Both are recorded at the programme’s highest severity, which means development cannot start while either is open. Both are now answered in content. Neither is closed, because closure needs a Compliance signature, and silence does not approve a pack.</w:t>
      </w:r>
    </w:p>
    <w:p>
      <w:pPr>
        <w:spacing w:after="60"/>
      </w:pPr>
      <w:r>
        <w:t xml:space="preserve"/>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4819"/>
        <w:gridCol w:w="4819"/>
      </w:tblGrid>
      <w:tr>
        <w:trPr>
          <w:cantSplit/>
          <w:tblHeader/>
        </w:trPr>
        <w:tc>
          <w:tcPr>
            <w:tcW w:type="dxa" w:w="4819"/>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What is ready for approval</w:t>
            </w:r>
          </w:p>
        </w:tc>
        <w:tc>
          <w:tcPr>
            <w:tcW w:type="dxa" w:w="4819"/>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What is outstanding</w:t>
            </w:r>
          </w:p>
        </w:tc>
      </w:tr>
      <w:tr>
        <w:trPr>
          <w:cantSplit/>
        </w:trPr>
        <w:tc>
          <w:tcPr>
            <w:tcW w:type="dxa" w:w="481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104 individually testable rules across the two packs. Every rule has an identifier, a normative statement, a pass/fail test and a named enforcement point. A rule with no executable test was not admitted to either pack.</w:t>
            </w:r>
          </w:p>
        </w:tc>
        <w:tc>
          <w:tcPr>
            <w:tcW w:type="dxa" w:w="481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signed Compliance conclusion on both packs. This is the only thing standing between the programme and the two approval checkpoints that release the build.</w:t>
            </w:r>
          </w:p>
        </w:tc>
      </w:tr>
      <w:tr>
        <w:trPr>
          <w:cantSplit/>
        </w:trPr>
        <w:tc>
          <w:tcPr>
            <w:tcW w:type="dxa" w:w="4819"/>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fully specified suitability model: 12 inputs, 8 income bands, 5 age factors, a stated formula and a worked reference case, producing an outcome per product class rather than one overall verdict.</w:t>
            </w:r>
          </w:p>
        </w:tc>
        <w:tc>
          <w:tcPr>
            <w:tcW w:type="dxa" w:w="4819"/>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determination that this model discharges the suitability obligation, or a direction that a prescribed model applies instead (OPEN-SUIT-01).</w:t>
            </w:r>
          </w:p>
        </w:tc>
      </w:tr>
      <w:tr>
        <w:trPr>
          <w:cantSplit/>
        </w:trPr>
        <w:tc>
          <w:tcPr>
            <w:tcW w:type="dxa" w:w="481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single, precise gate: quote endpoints refuse the request unless a valid, in-date, customer-bound, outcome-permitting suitability evaluation is presented. Nine refusal cases are enumerated, two of which check that the customer actually acknowledged the disclosures the assessment produced.</w:t>
            </w:r>
          </w:p>
        </w:tc>
        <w:tc>
          <w:tcPr>
            <w:tcW w:type="dxa" w:w="481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Ratification of the override policy for the first release — that a NOT_SUITABLE outcome cannot be overridden by any actor, at any level, through any route — and a source-backed answer on whether the model itself discharges the obligation (OPEN-SUIT-01), which now blocks the algorithm decision.</w:t>
            </w:r>
          </w:p>
        </w:tc>
      </w:tr>
      <w:tr>
        <w:trPr>
          <w:cantSplit/>
        </w:trPr>
        <w:tc>
          <w:tcPr>
            <w:tcW w:type="dxa" w:w="4819"/>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24-field consent evidence record and an 18-field suitability evaluation record, both append-only, both retained for seven years under write-once storage in an India region.</w:t>
            </w:r>
          </w:p>
        </w:tc>
        <w:tc>
          <w:tcPr>
            <w:tcW w:type="dxa" w:w="4819"/>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Approved legal wording for the consent statements and the two disclosure texts. The packs define structure, fields and versioning; the text is Compliance-authored (OPEN-CNS-02, OPEN-SUIT-03).</w:t>
            </w:r>
          </w:p>
        </w:tc>
      </w:tr>
      <w:tr>
        <w:trPr>
          <w:cantSplit/>
        </w:trPr>
        <w:tc>
          <w:tcPr>
            <w:tcW w:type="dxa" w:w="481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Failure behaviour specified for every rule — what is refused, what the relationship manager is told, and what happens to the journey. A control that produces an unexplained error trains staff to work around it.</w:t>
            </w:r>
          </w:p>
        </w:tc>
        <w:tc>
          <w:tcPr>
            <w:tcW w:type="dxa" w:w="481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ruling on the consent-consolidation proposal in §11, which would reduce the customer from as many as four consent interruptions to at most two.</w:t>
            </w:r>
          </w:p>
        </w:tc>
      </w:tr>
    </w:tbl>
    <w:p>
      <w:pPr>
        <w:spacing w:after="140"/>
      </w:pPr>
      <w:r>
        <w:t xml:space="preserve"/>
      </w:r>
    </w:p>
    <w:p>
      <w:pPr>
        <w:pStyle w:val="Heading2"/>
        <w:keepNext/>
        <w:keepLines/>
        <w:spacing w:after="100" w:before="220"/>
      </w:pPr>
      <w:r>
        <w:rPr>
          <w:b/>
          <w:bCs/>
          <w:color w:val="0F6E6E"/>
          <w:sz w:val="21"/>
          <w:szCs w:val="21"/>
        </w:rPr>
        <w:t xml:space="preserve">Why the timing matters</w:t>
      </w:r>
    </w:p>
    <w:p>
      <w:pPr>
        <w:pStyle w:val="ListParagraph"/>
        <w:numPr>
          <w:ilvl w:val="0"/>
          <w:numId w:val="2"/>
        </w:numPr>
        <w:spacing w:after="80" w:line="276"/>
      </w:pPr>
      <w:r>
        <w:rPr>
          <w:sz w:val="20"/>
          <w:szCs w:val="20"/>
        </w:rPr>
        <w:t xml:space="preserve">The Consent Service and the Suitability Service sit on the critical path for the first release. Neither can leave design while its rule pack is unapproved, and most of the journey depends on one or both.</w:t>
      </w:r>
    </w:p>
    <w:p>
      <w:pPr>
        <w:pStyle w:val="ListParagraph"/>
        <w:numPr>
          <w:ilvl w:val="0"/>
          <w:numId w:val="2"/>
        </w:numPr>
        <w:spacing w:after="80" w:line="276"/>
      </w:pPr>
      <w:r>
        <w:rPr>
          <w:sz w:val="20"/>
          <w:szCs w:val="20"/>
        </w:rPr>
        <w:t xml:space="preserve">The approved statement and disclosure wording is an input to screen design, not an output of it. Every week of delay moves the customer-facing design work to the right by the same week.</w:t>
      </w:r>
    </w:p>
    <w:p>
      <w:pPr>
        <w:pStyle w:val="ListParagraph"/>
        <w:numPr>
          <w:ilvl w:val="0"/>
          <w:numId w:val="2"/>
        </w:numPr>
        <w:spacing w:after="80" w:line="276"/>
      </w:pPr>
      <w:r>
        <w:rPr>
          <w:sz w:val="20"/>
          <w:szCs w:val="20"/>
        </w:rPr>
        <w:t xml:space="preserve">Approving before development is the cheap moment. The same amendment costs a paragraph now and a rebuild later; that is precisely why this is being brought to Compliance now rather than at the end.</w:t>
      </w:r>
    </w:p>
    <w:p>
      <w:pPr>
        <w:pStyle w:val="Heading2"/>
        <w:keepNext/>
        <w:keepLines/>
        <w:pageBreakBefore/>
        <w:spacing w:after="120" w:before="0"/>
      </w:pPr>
      <w:r>
        <w:rPr>
          <w:b/>
          <w:bCs/>
          <w:color w:val="11304E"/>
          <w:sz w:val="24"/>
          <w:szCs w:val="24"/>
        </w:rPr>
        <w:t xml:space="preserve">2.1  What changed at v1.1, and why</w:t>
      </w:r>
    </w:p>
    <w:p>
      <w:pPr>
        <w:spacing w:after="120" w:before="0" w:line="276"/>
        <w:jc w:val="left"/>
      </w:pPr>
      <w:r>
        <w:rPr>
          <w:b w:val="false"/>
          <w:bCs w:val="false"/>
          <w:i w:val="false"/>
          <w:iCs w:val="false"/>
          <w:color w:val="222629"/>
          <w:sz w:val="20"/>
          <w:szCs w:val="20"/>
        </w:rPr>
        <w:t xml:space="preserve">Version 1.0 of this pack was reviewed and returned for rework. The findings were accepted; none was argued away. This table records what changed, so that a reader who saw v1.0 does not have to diff two documents, and so that the corrections are on the record rather than silently absorbed.</w:t>
      </w:r>
    </w:p>
    <w:p>
      <w:pPr>
        <w:spacing w:after="60"/>
      </w:pPr>
      <w:r>
        <w:t xml:space="preserve"/>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2506"/>
        <w:gridCol w:w="3181"/>
        <w:gridCol w:w="3951"/>
      </w:tblGrid>
      <w:tr>
        <w:trPr>
          <w:cantSplit/>
          <w:tblHeader/>
        </w:trPr>
        <w:tc>
          <w:tcPr>
            <w:tcW w:type="dxa" w:w="2506"/>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What v1.0 said</w:t>
            </w:r>
          </w:p>
        </w:tc>
        <w:tc>
          <w:tcPr>
            <w:tcW w:type="dxa" w:w="318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What was wrong with it</w:t>
            </w:r>
          </w:p>
        </w:tc>
        <w:tc>
          <w:tcPr>
            <w:tcW w:type="dxa" w:w="395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What v1.1 does</w:t>
            </w:r>
          </w:p>
        </w:tc>
      </w:tr>
      <w:tr>
        <w:trPr>
          <w:cantSplit/>
        </w:trPr>
        <w:tc>
          <w:tcPr>
            <w:tcW w:type="dxa" w:w="250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Development had not started and both services were frozen pending approval.</w:t>
            </w:r>
          </w:p>
        </w:tc>
        <w:tc>
          <w:tcPr>
            <w:tcW w:type="dxa" w:w="318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Materially untrue. The quote path was already built, delivered and hardened — without the suitability gate — and an interface application exists. The approval is a remedy, not a starting gun.</w:t>
            </w:r>
          </w:p>
        </w:tc>
        <w:tc>
          <w:tcPr>
            <w:tcW w:type="dxa" w:w="395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New §3.2 states the actual position component by component, including the part that reflects badly on the programme.</w:t>
            </w:r>
          </w:p>
        </w:tc>
      </w:tr>
      <w:tr>
        <w:trPr>
          <w:cantSplit/>
        </w:trPr>
        <w:tc>
          <w:tcPr>
            <w:tcW w:type="dxa" w:w="250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first release is assisted-only, with self-service, hybrid and off-panel redirect deferred.</w:t>
            </w:r>
          </w:p>
        </w:tc>
        <w:tc>
          <w:tcPr>
            <w:tcW w:type="dxa" w:w="318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True, but presented as if it had always been so. It narrows an earlier Day-1 decision, and the narrowing was invisible.</w:t>
            </w:r>
          </w:p>
        </w:tc>
        <w:tc>
          <w:tcPr>
            <w:tcW w:type="dxa" w:w="395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New §3.1 names the superseding decision, preserves the original position alongside it, and raises the unresolved redirect question as OPEN-SCOPE-01.</w:t>
            </w:r>
          </w:p>
        </w:tc>
      </w:tr>
      <w:tr>
        <w:trPr>
          <w:cantSplit/>
        </w:trPr>
        <w:tc>
          <w:tcPr>
            <w:tcW w:type="dxa" w:w="250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Controls were described as mandatory, with obligations named as "data-protection law" and "the suitability obligation".</w:t>
            </w:r>
          </w:p>
        </w:tc>
        <w:tc>
          <w:tcPr>
            <w:tcW w:type="dxa" w:w="318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Not auditable. No instrument, clause, version or applicability determination behind any of it, and one assertion of unlawfulness that Product cannot support.</w:t>
            </w:r>
          </w:p>
        </w:tc>
        <w:tc>
          <w:tcPr>
            <w:tcW w:type="dxa" w:w="395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New §6 classifies every assertion, records what it actually rests on, and withdraws three overstated claims outright.</w:t>
            </w:r>
          </w:p>
        </w:tc>
      </w:tr>
      <w:tr>
        <w:trPr>
          <w:cantSplit/>
        </w:trPr>
        <w:tc>
          <w:tcPr>
            <w:tcW w:type="dxa" w:w="250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Twelve inputs; 48 suitability rules; 86 rules across both packs; income captured as one of eight bands.</w:t>
            </w:r>
          </w:p>
        </w:tc>
        <w:tc>
          <w:tcPr>
            <w:tcW w:type="dxa" w:w="318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pack listed sixteen inputs, the rule count omitted a sub-numbered rule, the total was wrong, and the formula used an exact income figure the questionnaire never captured.</w:t>
            </w:r>
          </w:p>
        </w:tc>
        <w:tc>
          <w:tcPr>
            <w:tcW w:type="dxa" w:w="395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Sixteen inputs, 62 suitability rules, 42 consent rules, 104 in total. Income is captured as an exact figure and the band is derived from it.</w:t>
            </w:r>
          </w:p>
        </w:tc>
      </w:tr>
      <w:tr>
        <w:trPr>
          <w:cantSplit/>
        </w:trPr>
        <w:tc>
          <w:tcPr>
            <w:tcW w:type="dxa" w:w="250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One outcome per product class.</w:t>
            </w:r>
          </w:p>
        </w:tc>
        <w:tc>
          <w:tcPr>
            <w:tcW w:type="dxa" w:w="318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tables were not exhaustive. Several valid input combinations produced no outcome at all, and an implementation would have defaulted — most likely to "suitable".</w:t>
            </w:r>
          </w:p>
        </w:tc>
        <w:tc>
          <w:tcPr>
            <w:tcW w:type="dxa" w:w="395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Six outcome rules added, plus SUIT-R19b requiring totality and SUIT-R19c failing closed if a hole is ever introduced.</w:t>
            </w:r>
          </w:p>
        </w:tc>
      </w:tr>
      <w:tr>
        <w:trPr>
          <w:cantSplit/>
        </w:trPr>
        <w:tc>
          <w:tcPr>
            <w:tcW w:type="dxa" w:w="250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customer may choose a product the model "did not rank first".</w:t>
            </w:r>
          </w:p>
        </w:tc>
        <w:tc>
          <w:tcPr>
            <w:tcW w:type="dxa" w:w="318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No ranking algorithm exists anywhere in the pack. The concept was unsupported.</w:t>
            </w:r>
          </w:p>
        </w:tc>
        <w:tc>
          <w:tcPr>
            <w:tcW w:type="dxa" w:w="395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Ranking removed. SUIT-R44 states that the model determines eligibility only; SUIT-R44a defines divergence as a deterministic comparison of outcomes.</w:t>
            </w:r>
          </w:p>
        </w:tc>
      </w:tr>
      <w:tr>
        <w:trPr>
          <w:cantSplit/>
        </w:trPr>
        <w:tc>
          <w:tcPr>
            <w:tcW w:type="dxa" w:w="250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Caution and replacement disclosures must be acknowledged before quote.</w:t>
            </w:r>
          </w:p>
        </w:tc>
        <w:tc>
          <w:tcPr>
            <w:tcW w:type="dxa" w:w="318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gate did not check them. A disclosure the gate ignores is a disclosure the journey can walk past.</w:t>
            </w:r>
          </w:p>
        </w:tc>
        <w:tc>
          <w:tcPr>
            <w:tcW w:type="dxa" w:w="395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Two refusal cases added to the gate, with reason codes, plus SUIT-R28a requiring the acknowledged reasons to match the assessment’s actual reasons.</w:t>
            </w:r>
          </w:p>
        </w:tc>
      </w:tr>
      <w:tr>
        <w:trPr>
          <w:cantSplit/>
        </w:trPr>
        <w:tc>
          <w:tcPr>
            <w:tcW w:type="dxa" w:w="250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assessment store is append-only.</w:t>
            </w:r>
          </w:p>
        </w:tc>
        <w:tc>
          <w:tcPr>
            <w:tcW w:type="dxa" w:w="318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Contradicted three rules that changed an existing record’s status.</w:t>
            </w:r>
          </w:p>
        </w:tc>
        <w:tc>
          <w:tcPr>
            <w:tcW w:type="dxa" w:w="395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SUIT-R23a and R23b define status as append-only events with a head-of-chain rule, matching the consent design.</w:t>
            </w:r>
          </w:p>
        </w:tc>
      </w:tr>
      <w:tr>
        <w:trPr>
          <w:cantSplit/>
        </w:trPr>
        <w:tc>
          <w:tcPr>
            <w:tcW w:type="dxa" w:w="250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Retention runs seven years from the journey’s terminal state.</w:t>
            </w:r>
          </w:p>
        </w:tc>
        <w:tc>
          <w:tcPr>
            <w:tcW w:type="dxa" w:w="318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Both consent and assessments are reusable across journeys, so "the journey" was ambiguous. Legal hold and never-expiring consent were unhandled.</w:t>
            </w:r>
          </w:p>
        </w:tc>
        <w:tc>
          <w:tcPr>
            <w:tcW w:type="dxa" w:w="395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CNS-R33a to R33c and SUIT-R24a anchor retention to the last journey that relied on the record, and add legal hold. CNS-R23a resolves the never-expiring case.</w:t>
            </w:r>
          </w:p>
        </w:tc>
      </w:tr>
      <w:tr>
        <w:trPr>
          <w:cantSplit/>
        </w:trPr>
        <w:tc>
          <w:tcPr>
            <w:tcW w:type="dxa" w:w="250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Ten open items, none blocking approval.</w:t>
            </w:r>
          </w:p>
        </w:tc>
        <w:tc>
          <w:tcPr>
            <w:tcW w:type="dxa" w:w="318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Two of them could change a control, not merely its wording.</w:t>
            </w:r>
          </w:p>
        </w:tc>
        <w:tc>
          <w:tcPr>
            <w:tcW w:type="dxa" w:w="395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OPEN-SUIT-01 and OPEN-CNS-06 are marked blocking. Decision D2 is split so the structure can be approved while the algorithm waits.</w:t>
            </w:r>
          </w:p>
        </w:tc>
      </w:tr>
      <w:tr>
        <w:trPr>
          <w:cantSplit/>
        </w:trPr>
        <w:tc>
          <w:tcPr>
            <w:tcW w:type="dxa" w:w="250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"Prepared by Rajal", with Product recorded as having approved both packs.</w:t>
            </w:r>
          </w:p>
        </w:tc>
        <w:tc>
          <w:tcPr>
            <w:tcW w:type="dxa" w:w="318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pack is AI-drafted. No human Product review had taken place, so the approval language implied a decision nobody had made.</w:t>
            </w:r>
          </w:p>
        </w:tc>
        <w:tc>
          <w:tcPr>
            <w:tcW w:type="dxa" w:w="395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Provenance stated on the cover, the Product position marked unsigned, and a Product signature block added alongside the others.</w:t>
            </w:r>
          </w:p>
        </w:tc>
      </w:tr>
      <w:tr>
        <w:trPr>
          <w:cantSplit/>
        </w:trPr>
        <w:tc>
          <w:tcPr>
            <w:tcW w:type="dxa" w:w="250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Five approvers.</w:t>
            </w:r>
          </w:p>
        </w:tc>
        <w:tc>
          <w:tcPr>
            <w:tcW w:type="dxa" w:w="318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Operations was absent, although fail-closed behaviour, retrieval commitments, operational tasks and recovery are all material to it.</w:t>
            </w:r>
          </w:p>
        </w:tc>
        <w:tc>
          <w:tcPr>
            <w:tcW w:type="dxa" w:w="395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An Operations conclusion is now required, with its scope named.</w:t>
            </w:r>
          </w:p>
        </w:tc>
      </w:tr>
    </w:tbl>
    <w:p>
      <w:pPr>
        <w:pStyle w:val="Heading1"/>
        <w:keepNext/>
        <w:keepLines/>
        <w:pageBreakBefore/>
        <w:pBdr>
          <w:bottom w:val="single" w:color="0F6E6E" w:sz="8" w:space="6"/>
        </w:pBdr>
        <w:spacing w:after="160" w:before="0"/>
      </w:pPr>
      <w:r>
        <w:rPr>
          <w:b/>
          <w:bCs/>
          <w:color w:val="11304E"/>
          <w:sz w:val="30"/>
          <w:szCs w:val="30"/>
        </w:rPr>
        <w:t xml:space="preserve">3.  Where this sits — scope, position and authority</w:t>
      </w:r>
    </w:p>
    <w:p>
      <w:pPr>
        <w:spacing w:after="120" w:before="0" w:line="276"/>
        <w:jc w:val="left"/>
      </w:pPr>
      <w:r>
        <w:rPr>
          <w:b w:val="false"/>
          <w:bCs w:val="false"/>
          <w:i w:val="false"/>
          <w:iCs w:val="false"/>
          <w:color w:val="222629"/>
          <w:sz w:val="20"/>
          <w:szCs w:val="20"/>
        </w:rPr>
        <w:t xml:space="preserve">Three things a reader outside the delivery organisation cannot reasonably infer, and which change how this approval should be read. They are stated here rather than left implicit.</w:t>
      </w:r>
    </w:p>
    <w:p>
      <w:pPr>
        <w:pStyle w:val="Heading2"/>
        <w:keepNext/>
        <w:keepLines/>
        <w:spacing w:after="120" w:before="300"/>
      </w:pPr>
      <w:r>
        <w:rPr>
          <w:b/>
          <w:bCs/>
          <w:color w:val="11304E"/>
          <w:sz w:val="24"/>
          <w:szCs w:val="24"/>
        </w:rPr>
        <w:t xml:space="preserve">3.1  What the first release covers, and on whose authority</w:t>
      </w:r>
    </w:p>
    <w:p>
      <w:pPr>
        <w:spacing w:after="120" w:before="0" w:line="276"/>
        <w:jc w:val="left"/>
      </w:pPr>
      <w:r>
        <w:rPr>
          <w:b w:val="false"/>
          <w:bCs w:val="false"/>
          <w:i w:val="false"/>
          <w:iCs w:val="false"/>
          <w:color w:val="222629"/>
          <w:sz w:val="20"/>
          <w:szCs w:val="20"/>
        </w:rPr>
        <w:t xml:space="preserve">Throughout these documents the first release means one relationship manager selling one Term Life policy to one existing bank customer, from one insurer on the approved panel, end to end. Self-service and hybrid journeys are not in it. That is narrower than the original Day-1 framing, and the narrowing is a governed Product decision rather than a drafting convenience.</w:t>
      </w:r>
    </w:p>
    <w:p>
      <w:pPr>
        <w:spacing w:after="60"/>
      </w:pPr>
      <w:r>
        <w:t xml:space="preserve"/>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735"/>
        <w:gridCol w:w="3084"/>
        <w:gridCol w:w="4819"/>
      </w:tblGrid>
      <w:tr>
        <w:trPr>
          <w:cantSplit/>
          <w:tblHeader/>
        </w:trPr>
        <w:tc>
          <w:tcPr>
            <w:tcW w:type="dxa" w:w="1735"/>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What changed</w:t>
            </w:r>
          </w:p>
        </w:tc>
        <w:tc>
          <w:tcPr>
            <w:tcW w:type="dxa" w:w="3084"/>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Original position</w:t>
            </w:r>
          </w:p>
        </w:tc>
        <w:tc>
          <w:tcPr>
            <w:tcW w:type="dxa" w:w="4819"/>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Current position and its authority</w:t>
            </w:r>
          </w:p>
        </w:tc>
      </w:tr>
      <w:tr>
        <w:trPr>
          <w:cantSplit/>
        </w:trPr>
        <w:tc>
          <w:tcPr>
            <w:tcW w:type="dxa" w:w="173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Channels at first release</w:t>
            </w:r>
          </w:p>
        </w:tc>
        <w:tc>
          <w:tcPr>
            <w:tcW w:type="dxa" w:w="308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Relationship-manager assisted, self-service and hybrid, all from Day 1 (working decision D-002)</w:t>
            </w:r>
          </w:p>
        </w:tc>
        <w:tc>
          <w:tcPr>
            <w:tcW w:type="dxa" w:w="481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Assisted only. Self-service revisits at the second release, hybrid at the third, both with named revisit triggers. Superseded for the first release only by a recorded Product decision of 16 August 2026; the original decision text is preserved, not overwritten. Product’s stated reason: three journeys across sixteen missing capabilities, with no engineering foundation, is not a deliverable release. It is a sequencing change, not a scope reduction.</w:t>
            </w:r>
          </w:p>
        </w:tc>
      </w:tr>
      <w:tr>
        <w:trPr>
          <w:cantSplit/>
        </w:trPr>
        <w:tc>
          <w:tcPr>
            <w:tcW w:type="dxa" w:w="173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Self-service and hybrid journey detail</w:t>
            </w:r>
          </w:p>
        </w:tc>
        <w:tc>
          <w:tcPr>
            <w:tcW w:type="dxa" w:w="308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An open discovery gap blocking the first release</w:t>
            </w:r>
          </w:p>
        </w:tc>
        <w:tc>
          <w:tcPr>
            <w:tcW w:type="dxa" w:w="4819"/>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Re-scoped by the same decision to an entry condition on the second release, recorded explicitly so it is not read as a quiet deferral.</w:t>
            </w:r>
          </w:p>
        </w:tc>
      </w:tr>
      <w:tr>
        <w:trPr>
          <w:cantSplit/>
        </w:trPr>
        <w:tc>
          <w:tcPr>
            <w:tcW w:type="dxa" w:w="173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Off-panel insurers (redirect)</w:t>
            </w:r>
          </w:p>
        </w:tc>
        <w:tc>
          <w:tcPr>
            <w:tcW w:type="dxa" w:w="308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Panel insurers in-platform, off-panel insurers by catalogue and controlled redirect (working decision D-010, and the release scope document lists the redirect path as a first-release success measure)</w:t>
            </w:r>
          </w:p>
        </w:tc>
        <w:tc>
          <w:tcPr>
            <w:tcW w:type="dxa" w:w="4819"/>
            <w:tcMar>
              <w:top w:type="dxa" w:w="90"/>
              <w:left w:type="dxa" w:w="130"/>
              <w:bottom w:type="dxa" w:w="90"/>
              <w:right w:type="dxa" w:w="130"/>
            </w:tcMar>
            <w:vAlign w:val="top"/>
          </w:tcPr>
          <w:p>
            <w:pPr>
              <w:spacing w:after="40" w:before="40" w:line="252"/>
              <w:jc w:val="left"/>
            </w:pPr>
            <w:r>
              <w:rPr>
                <w:b/>
                <w:bCs/>
                <w:i w:val="false"/>
                <w:iCs w:val="false"/>
                <w:color w:val="9B2226"/>
                <w:sz w:val="18"/>
                <w:szCs w:val="18"/>
              </w:rPr>
              <w:t xml:space="preserve">Unresolved, and Product flags it rather than assuming it.</w:t>
            </w:r>
            <w:r>
              <w:rPr>
                <w:b w:val="false"/>
                <w:bCs w:val="false"/>
                <w:i w:val="false"/>
                <w:iCs w:val="false"/>
                <w:color w:val="222629"/>
                <w:sz w:val="18"/>
                <w:szCs w:val="18"/>
              </w:rPr>
              <w:t xml:space="preserve"> The consent rule for a controlled redirect (CNS-RDR) is deferred in these packs. If the redirect path ships in the first release, that rule must be written and approved too. This is raised as OPEN-SCOPE-01 below and Product does not treat it as settled.</w:t>
            </w:r>
          </w:p>
        </w:tc>
      </w:tr>
    </w:tbl>
    <w:p>
      <w:pPr>
        <w:spacing w:after="120"/>
      </w:pPr>
      <w:r>
        <w:t xml:space="preserve"/>
      </w:r>
    </w:p>
    <w:p>
      <w:pPr>
        <w:keepNext/>
        <w:keepLines/>
        <w:pBdr>
          <w:top w:val="single" w:color="F1F5F8" w:sz="2" w:space="8"/>
          <w:left w:val="single" w:color="9B2226" w:sz="18" w:space="10"/>
          <w:right w:val="single" w:color="F1F5F8" w:sz="2" w:space="10"/>
        </w:pBdr>
        <w:shd w:fill="F1F5F8" w:color="auto" w:val="clear"/>
        <w:spacing w:after="100" w:before="140" w:line="276"/>
        <w:ind w:left="200" w:right="200"/>
      </w:pPr>
      <w:r>
        <w:rPr>
          <w:b/>
          <w:bCs/>
          <w:i w:val="false"/>
          <w:iCs w:val="false"/>
          <w:color w:val="9B2226"/>
          <w:sz w:val="20"/>
          <w:szCs w:val="20"/>
        </w:rPr>
        <w:t xml:space="preserve">OPEN-SCOPE-01 — for Product and Compliance jointly, before these packs are signed</w:t>
      </w:r>
    </w:p>
    <w:p>
      <w:pPr>
        <w:keepNext w:val="false"/>
        <w:keepLines/>
        <w:pBdr>
          <w:bottom w:val="single" w:color="F1F5F8" w:sz="2" w:space="8"/>
          <w:left w:val="single" w:color="9B2226" w:sz="18" w:space="10"/>
          <w:right w:val="single" w:color="F1F5F8" w:sz="2" w:space="10"/>
        </w:pBdr>
        <w:shd w:fill="F1F5F8" w:color="auto" w:val="clear"/>
        <w:spacing w:after="140" w:before="0" w:line="276"/>
        <w:ind w:left="200" w:right="200"/>
      </w:pPr>
      <w:r>
        <w:rPr>
          <w:b w:val="false"/>
          <w:bCs w:val="false"/>
          <w:i w:val="false"/>
          <w:iCs w:val="false"/>
          <w:color w:val="222629"/>
          <w:sz w:val="20"/>
          <w:szCs w:val="20"/>
        </w:rPr>
        <w:t xml:space="preserve">Does the first release include the controlled redirect to an off-panel insurer? If it does, these packs are incomplete: a redirect hands a customer to a third party, and the consent that authorises it is not drafted here. Product’s recommendation is to confirm the redirect is out of the first release, in writing, and to record that confirmation against the release scope document — or, if it is in, to hold Decision Schedule A open until CNS-RDR is drafted and added. Either answer is workable. Leaving it ambiguous is not.</w:t>
      </w:r>
    </w:p>
    <w:p>
      <w:pPr>
        <w:pStyle w:val="Heading2"/>
        <w:keepNext/>
        <w:keepLines/>
        <w:pageBreakBefore/>
        <w:spacing w:after="120" w:before="0"/>
      </w:pPr>
      <w:r>
        <w:rPr>
          <w:b/>
          <w:bCs/>
          <w:color w:val="11304E"/>
          <w:sz w:val="24"/>
          <w:szCs w:val="24"/>
        </w:rPr>
        <w:t xml:space="preserve">3.2  What has actually been built — the uncomfortable part</w:t>
      </w:r>
    </w:p>
    <w:p>
      <w:pPr>
        <w:spacing w:after="120" w:before="0" w:line="276"/>
        <w:jc w:val="left"/>
      </w:pPr>
      <w:r>
        <w:rPr>
          <w:b w:val="false"/>
          <w:bCs w:val="false"/>
          <w:i w:val="false"/>
          <w:iCs w:val="false"/>
          <w:color w:val="222629"/>
          <w:sz w:val="20"/>
          <w:szCs w:val="20"/>
        </w:rPr>
        <w:t xml:space="preserve">An earlier draft of this pack said that development had not started. That was wrong, and the correction matters more to Compliance than to anyone else, because the true position is the reason this approval is urgent rather than merely due.</w:t>
      </w:r>
    </w:p>
    <w:p>
      <w:pPr>
        <w:spacing w:after="60"/>
      </w:pPr>
      <w:r>
        <w:t xml:space="preserve"/>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928"/>
        <w:gridCol w:w="4530"/>
        <w:gridCol w:w="3180"/>
      </w:tblGrid>
      <w:tr>
        <w:trPr>
          <w:cantSplit/>
          <w:tblHeader/>
        </w:trPr>
        <w:tc>
          <w:tcPr>
            <w:tcW w:type="dxa" w:w="1928"/>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Component</w:t>
            </w:r>
          </w:p>
        </w:tc>
        <w:tc>
          <w:tcPr>
            <w:tcW w:type="dxa" w:w="453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Actual position today</w:t>
            </w:r>
          </w:p>
        </w:tc>
        <w:tc>
          <w:tcPr>
            <w:tcW w:type="dxa" w:w="318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What this approval changes</w:t>
            </w:r>
          </w:p>
        </w:tc>
      </w:tr>
      <w:tr>
        <w:trPr>
          <w:cantSplit/>
        </w:trPr>
        <w:tc>
          <w:tcPr>
            <w:tcW w:type="dxa" w:w="192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 Service</w:t>
            </w:r>
          </w:p>
        </w:tc>
        <w:tc>
          <w:tcPr>
            <w:tcW w:type="dxa" w:w="453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Does not exist. No customer consent has ever been captured by this platform.</w:t>
            </w:r>
          </w:p>
        </w:tc>
        <w:tc>
          <w:tcPr>
            <w:tcW w:type="dxa" w:w="318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Releases it into construction against approved rules.</w:t>
            </w:r>
          </w:p>
        </w:tc>
      </w:tr>
      <w:tr>
        <w:trPr>
          <w:cantSplit/>
        </w:trPr>
        <w:tc>
          <w:tcPr>
            <w:tcW w:type="dxa" w:w="192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Suitability Service</w:t>
            </w:r>
          </w:p>
        </w:tc>
        <w:tc>
          <w:tcPr>
            <w:tcW w:type="dxa" w:w="453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Does not exist. No suitability assessment has ever been computed.</w:t>
            </w:r>
          </w:p>
        </w:tc>
        <w:tc>
          <w:tcPr>
            <w:tcW w:type="dxa" w:w="318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Releases it into construction against an approved model.</w:t>
            </w:r>
          </w:p>
        </w:tc>
      </w:tr>
      <w:tr>
        <w:trPr>
          <w:cantSplit/>
        </w:trPr>
        <w:tc>
          <w:tcPr>
            <w:tcW w:type="dxa" w:w="192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quote path</w:t>
            </w:r>
          </w:p>
        </w:tc>
        <w:tc>
          <w:tcPr>
            <w:tcW w:type="dxa" w:w="4530"/>
            <w:tcMar>
              <w:top w:type="dxa" w:w="90"/>
              <w:left w:type="dxa" w:w="130"/>
              <w:bottom w:type="dxa" w:w="90"/>
              <w:right w:type="dxa" w:w="130"/>
            </w:tcMar>
            <w:vAlign w:val="top"/>
          </w:tcPr>
          <w:p>
            <w:pPr>
              <w:spacing w:after="40" w:before="40" w:line="252"/>
              <w:jc w:val="left"/>
            </w:pPr>
            <w:r>
              <w:rPr>
                <w:b/>
                <w:bCs/>
                <w:i w:val="false"/>
                <w:iCs w:val="false"/>
                <w:color w:val="9B2226"/>
                <w:sz w:val="18"/>
                <w:szCs w:val="18"/>
              </w:rPr>
              <w:t xml:space="preserve">Built, delivered and hardened — without the suitability gate.</w:t>
            </w:r>
            <w:r>
              <w:rPr>
                <w:b w:val="false"/>
                <w:bCs w:val="false"/>
                <w:i w:val="false"/>
                <w:iCs w:val="false"/>
                <w:color w:val="222629"/>
                <w:sz w:val="18"/>
                <w:szCs w:val="18"/>
              </w:rPr>
              <w:t xml:space="preserve"/>
            </w:r>
            <w:r>
              <w:rPr>
                <w:b w:val="false"/>
                <w:bCs w:val="false"/>
                <w:i w:val="false"/>
                <w:iCs w:val="false"/>
                <w:color w:val="222629"/>
                <w:sz w:val="18"/>
                <w:szCs w:val="18"/>
              </w:rPr>
              <w:br/>
              <w:t xml:space="preserve">The supplier workstream that carries it is at a hardening stage and its integration is being prepared for user-acceptance sign-off.</w:t>
            </w:r>
          </w:p>
        </w:tc>
        <w:tc>
          <w:tcPr>
            <w:tcW w:type="dxa" w:w="318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Supplies the gate that was missing when it was built. Until then the path is not permitted to serve customers.</w:t>
            </w:r>
          </w:p>
        </w:tc>
      </w:tr>
      <w:tr>
        <w:trPr>
          <w:cantSplit/>
        </w:trPr>
        <w:tc>
          <w:tcPr>
            <w:tcW w:type="dxa" w:w="192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relationship-manager application</w:t>
            </w:r>
          </w:p>
        </w:tc>
        <w:tc>
          <w:tcPr>
            <w:tcW w:type="dxa" w:w="453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An interface layer exists and enforces the consent and suitability gates structurally, with automated tests. It has no backend behind it: it demonstrates the controls, it does not implement them.</w:t>
            </w:r>
          </w:p>
        </w:tc>
        <w:tc>
          <w:tcPr>
            <w:tcW w:type="dxa" w:w="318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Gives the interface real services to call.</w:t>
            </w:r>
          </w:p>
        </w:tc>
      </w:tr>
      <w:tr>
        <w:trPr>
          <w:cantSplit/>
        </w:trPr>
        <w:tc>
          <w:tcPr>
            <w:tcW w:type="dxa" w:w="192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Everything else in the first release</w:t>
            </w:r>
          </w:p>
        </w:tc>
        <w:tc>
          <w:tcPr>
            <w:tcW w:type="dxa" w:w="453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Foundation work in progress — the delivery organisation is at an engineering-foundation stage, not at the regulatory-framing stage these packs belong to.</w:t>
            </w:r>
          </w:p>
        </w:tc>
        <w:tc>
          <w:tcPr>
            <w:tcW w:type="dxa" w:w="318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Removes the condition that currently blocks the release from entering its build-and-prove stage.</w:t>
            </w:r>
          </w:p>
        </w:tc>
      </w:tr>
    </w:tbl>
    <w:p>
      <w:pPr>
        <w:spacing w:after="140"/>
      </w:pPr>
      <w:r>
        <w:t xml:space="preserve"/>
      </w:r>
    </w:p>
    <w:p>
      <w:pPr>
        <w:keepNext/>
        <w:keepLines/>
        <w:pBdr>
          <w:top w:val="single" w:color="F1F5F8" w:sz="2" w:space="8"/>
          <w:left w:val="single" w:color="9B2226" w:sz="18" w:space="10"/>
          <w:right w:val="single" w:color="F1F5F8" w:sz="2" w:space="10"/>
        </w:pBdr>
        <w:shd w:fill="F1F5F8" w:color="auto" w:val="clear"/>
        <w:spacing w:after="100" w:before="140" w:line="276"/>
        <w:ind w:left="200" w:right="200"/>
      </w:pPr>
      <w:r>
        <w:rPr>
          <w:b/>
          <w:bCs/>
          <w:i w:val="false"/>
          <w:iCs w:val="false"/>
          <w:color w:val="9B2226"/>
          <w:sz w:val="20"/>
          <w:szCs w:val="20"/>
        </w:rPr>
        <w:t xml:space="preserve">Why Compliance should read that third row twice</w:t>
      </w:r>
    </w:p>
    <w:p>
      <w:pPr>
        <w:keepNext w:val="false"/>
        <w:keepLines/>
        <w:pBdr>
          <w:bottom w:val="single" w:color="F1F5F8" w:sz="2" w:space="8"/>
          <w:left w:val="single" w:color="9B2226" w:sz="18" w:space="10"/>
          <w:right w:val="single" w:color="F1F5F8" w:sz="2" w:space="10"/>
        </w:pBdr>
        <w:shd w:fill="F1F5F8" w:color="auto" w:val="clear"/>
        <w:spacing w:after="140" w:before="0" w:line="276"/>
        <w:ind w:left="200" w:right="200"/>
      </w:pPr>
      <w:r>
        <w:rPr>
          <w:b w:val="false"/>
          <w:bCs w:val="false"/>
          <w:i w:val="false"/>
          <w:iCs w:val="false"/>
          <w:color w:val="222629"/>
          <w:sz w:val="20"/>
          <w:szCs w:val="20"/>
        </w:rPr>
        <w:t xml:space="preserve">A quote path was built, delivered and hardened past two issues that were both labelled build-freeze. The programme has since recorded that failure explicitly and bound the release’s build-and-prove stage on the closure of both — a constraint stated to be non-waivable by any authority, Product included. So the honest description of this approval is not "permission to start". It is the remedy for a control that was skipped, and the mechanism that stops the same path reaching a customer without it.</w:t>
      </w:r>
    </w:p>
    <w:p>
      <w:pPr>
        <w:pStyle w:val="Heading2"/>
        <w:keepNext/>
        <w:keepLines/>
        <w:pageBreakBefore/>
        <w:spacing w:after="120" w:before="0"/>
      </w:pPr>
      <w:r>
        <w:rPr>
          <w:b/>
          <w:bCs/>
          <w:color w:val="11304E"/>
          <w:sz w:val="24"/>
          <w:szCs w:val="24"/>
        </w:rPr>
        <w:t xml:space="preserve">3.3  What binds, what is proposed, and where the decision goes</w:t>
      </w:r>
    </w:p>
    <w:p>
      <w:pPr>
        <w:spacing w:after="120" w:before="0" w:line="276"/>
        <w:jc w:val="left"/>
      </w:pPr>
      <w:r>
        <w:rPr>
          <w:b w:val="false"/>
          <w:bCs w:val="false"/>
          <w:i w:val="false"/>
          <w:iCs w:val="false"/>
          <w:color w:val="222629"/>
          <w:sz w:val="20"/>
          <w:szCs w:val="20"/>
        </w:rPr>
        <w:t xml:space="preserve">Two governance frameworks are in play and only one of them is binding today. Compliance should not have to work that out from context.</w:t>
      </w:r>
    </w:p>
    <w:p>
      <w:pPr>
        <w:spacing w:after="60"/>
      </w:pPr>
      <w:r>
        <w:t xml:space="preserve"/>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2891"/>
        <w:gridCol w:w="3084"/>
        <w:gridCol w:w="3663"/>
      </w:tblGrid>
      <w:tr>
        <w:trPr>
          <w:cantSplit/>
          <w:tblHeader/>
        </w:trPr>
        <w:tc>
          <w:tcPr>
            <w:tcW w:type="dxa" w:w="289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Item</w:t>
            </w:r>
          </w:p>
        </w:tc>
        <w:tc>
          <w:tcPr>
            <w:tcW w:type="dxa" w:w="3084"/>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Status today</w:t>
            </w:r>
          </w:p>
        </w:tc>
        <w:tc>
          <w:tcPr>
            <w:tcW w:type="dxa" w:w="366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What it means for this approval</w:t>
            </w:r>
          </w:p>
        </w:tc>
      </w:tr>
      <w:tr>
        <w:trPr>
          <w:cantSplit/>
        </w:trPr>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constraint that the build-and-prove stage cannot be entered until the consent and suitability issues are closed by a Compliance signature</w:t>
            </w:r>
          </w:p>
        </w:tc>
        <w:tc>
          <w:tcPr>
            <w:tcW w:type="dxa" w:w="3084"/>
            <w:tcMar>
              <w:top w:type="dxa" w:w="90"/>
              <w:left w:type="dxa" w:w="130"/>
              <w:bottom w:type="dxa" w:w="90"/>
              <w:right w:type="dxa" w:w="130"/>
            </w:tcMar>
            <w:vAlign w:val="top"/>
          </w:tcPr>
          <w:p>
            <w:pPr>
              <w:spacing w:after="40" w:before="40" w:line="252"/>
              <w:jc w:val="left"/>
            </w:pPr>
            <w:r>
              <w:rPr>
                <w:b/>
                <w:bCs/>
                <w:i w:val="false"/>
                <w:iCs w:val="false"/>
                <w:color w:val="0F6E6E"/>
                <w:sz w:val="18"/>
                <w:szCs w:val="18"/>
              </w:rPr>
              <w:t xml:space="preserve">Binding</w:t>
            </w:r>
            <w:r>
              <w:rPr>
                <w:b w:val="false"/>
                <w:bCs w:val="false"/>
                <w:i w:val="false"/>
                <w:iCs w:val="false"/>
                <w:color w:val="222629"/>
                <w:sz w:val="18"/>
                <w:szCs w:val="18"/>
              </w:rPr>
              <w:t xml:space="preserve"> on ratification of the change request that carries it, and recorded as non-waivable by any authority.</w:t>
            </w:r>
          </w:p>
        </w:tc>
        <w:tc>
          <w:tcPr>
            <w:tcW w:type="dxa" w:w="366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This is the real constraint your signature releases. It does not depend on the stage model below.</w:t>
            </w:r>
          </w:p>
        </w:tc>
      </w:tr>
      <w:tr>
        <w:trPr>
          <w:cantSplit/>
        </w:trPr>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sixteen-stage lifecycle model, and the two stage checkpoints these packs are described against</w:t>
            </w:r>
          </w:p>
        </w:tc>
        <w:tc>
          <w:tcPr>
            <w:tcW w:type="dxa" w:w="3084"/>
            <w:shd w:fill="F1F5F8" w:color="auto" w:val="clear"/>
            <w:tcMar>
              <w:top w:type="dxa" w:w="90"/>
              <w:left w:type="dxa" w:w="130"/>
              <w:bottom w:type="dxa" w:w="90"/>
              <w:right w:type="dxa" w:w="130"/>
            </w:tcMar>
            <w:vAlign w:val="top"/>
          </w:tcPr>
          <w:p>
            <w:pPr>
              <w:spacing w:after="40" w:before="40" w:line="252"/>
              <w:jc w:val="left"/>
            </w:pPr>
            <w:r>
              <w:rPr>
                <w:b/>
                <w:bCs/>
                <w:i w:val="false"/>
                <w:iCs w:val="false"/>
                <w:color w:val="8A5A00"/>
                <w:sz w:val="18"/>
                <w:szCs w:val="18"/>
              </w:rPr>
              <w:t xml:space="preserve">Proposed, not yet ratified.</w:t>
            </w:r>
            <w:r>
              <w:rPr>
                <w:b w:val="false"/>
                <w:bCs w:val="false"/>
                <w:i w:val="false"/>
                <w:iCs w:val="false"/>
                <w:color w:val="222629"/>
                <w:sz w:val="18"/>
                <w:szCs w:val="18"/>
              </w:rPr>
              <w:t xml:space="preserve"> They sit inside a change request awaiting human sign-off.</w:t>
            </w:r>
          </w:p>
        </w:tc>
        <w:tc>
          <w:tcPr>
            <w:tcW w:type="dxa" w:w="366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Referring to them is a convenience. If the model is not ratified, the packs still close the two issues and the binding constraint above still lifts.</w:t>
            </w:r>
          </w:p>
        </w:tc>
      </w:tr>
      <w:tr>
        <w:trPr>
          <w:cantSplit/>
        </w:trPr>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current recorded position of the platform workstream</w:t>
            </w:r>
          </w:p>
        </w:tc>
        <w:tc>
          <w:tcPr>
            <w:tcW w:type="dxa" w:w="308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An engineering-foundation stage, in progress, with the release objective unchanged.</w:t>
            </w:r>
          </w:p>
        </w:tc>
        <w:tc>
          <w:tcPr>
            <w:tcW w:type="dxa" w:w="366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These packs are regulatory-framing work being completed late, in parallel with foundation work. That is the realignment, stated plainly.</w:t>
            </w:r>
          </w:p>
        </w:tc>
      </w:tr>
    </w:tbl>
    <w:p>
      <w:pPr>
        <w:spacing w:after="140"/>
      </w:pPr>
      <w:r>
        <w:t xml:space="preserve"/>
      </w:r>
    </w:p>
    <w:p>
      <w:pPr>
        <w:pStyle w:val="Heading2"/>
        <w:keepNext/>
        <w:keepLines/>
        <w:spacing w:after="100" w:before="220"/>
      </w:pPr>
      <w:r>
        <w:rPr>
          <w:b/>
          <w:bCs/>
          <w:color w:val="0F6E6E"/>
          <w:sz w:val="21"/>
          <w:szCs w:val="21"/>
        </w:rPr>
        <w:t xml:space="preserve">Where each decision goes once it is made</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928"/>
        <w:gridCol w:w="3662"/>
        <w:gridCol w:w="1735"/>
        <w:gridCol w:w="2313"/>
      </w:tblGrid>
      <w:tr>
        <w:trPr>
          <w:cantSplit/>
          <w:tblHeader/>
        </w:trPr>
        <w:tc>
          <w:tcPr>
            <w:tcW w:type="dxa" w:w="1928"/>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Your decision</w:t>
            </w:r>
          </w:p>
        </w:tc>
        <w:tc>
          <w:tcPr>
            <w:tcW w:type="dxa" w:w="366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What is updated</w:t>
            </w:r>
          </w:p>
        </w:tc>
        <w:tc>
          <w:tcPr>
            <w:tcW w:type="dxa" w:w="1735"/>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Who updates it</w:t>
            </w:r>
          </w:p>
        </w:tc>
        <w:tc>
          <w:tcPr>
            <w:tcW w:type="dxa" w:w="231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What it unblocks</w:t>
            </w:r>
          </w:p>
        </w:tc>
      </w:tr>
      <w:tr>
        <w:trPr>
          <w:cantSplit/>
        </w:trPr>
        <w:tc>
          <w:tcPr>
            <w:tcW w:type="dxa" w:w="192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Schedule A signed</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consent issue is closed in the programme issue register; the consent approval checkpoint records the signed pack as its evidence</w:t>
            </w:r>
          </w:p>
        </w:tc>
        <w:tc>
          <w:tcPr>
            <w:tcW w:type="dxa" w:w="173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Rajal, then Delivery</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Construction of the Consent Service</w:t>
            </w:r>
          </w:p>
        </w:tc>
      </w:tr>
      <w:tr>
        <w:trPr>
          <w:cantSplit/>
        </w:trPr>
        <w:tc>
          <w:tcPr>
            <w:tcW w:type="dxa" w:w="192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Schedule B signed</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suitability issue is closed in the same register; the suitability checkpoint records the signed pack</w:t>
            </w:r>
          </w:p>
        </w:tc>
        <w:tc>
          <w:tcPr>
            <w:tcW w:type="dxa" w:w="173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Rajal, then Delivery</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Construction of the Suitability Service, and the gate in front of the existing quote path</w:t>
            </w:r>
          </w:p>
        </w:tc>
      </w:tr>
      <w:tr>
        <w:trPr>
          <w:cantSplit/>
        </w:trPr>
        <w:tc>
          <w:tcPr>
            <w:tcW w:type="dxa" w:w="192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Open items determined (§10)</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determinations are recorded in the decision register and folded into the packs at v1.2</w:t>
            </w:r>
          </w:p>
        </w:tc>
        <w:tc>
          <w:tcPr>
            <w:tcW w:type="dxa" w:w="173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Rajal, with Compliance</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Customer-facing wording, and the journey sequence</w:t>
            </w:r>
          </w:p>
        </w:tc>
      </w:tr>
      <w:tr>
        <w:trPr>
          <w:cantSplit/>
        </w:trPr>
        <w:tc>
          <w:tcPr>
            <w:tcW w:type="dxa" w:w="192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§11 proposal ruled on</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new decision-register entry; the packs gain or drop the six proposed rules</w:t>
            </w:r>
          </w:p>
        </w:tc>
        <w:tc>
          <w:tcPr>
            <w:tcW w:type="dxa" w:w="173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Rajal</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Screen design for the consent journey</w:t>
            </w:r>
          </w:p>
        </w:tc>
      </w:tr>
      <w:tr>
        <w:trPr>
          <w:cantSplit/>
        </w:trPr>
        <w:tc>
          <w:tcPr>
            <w:tcW w:type="dxa" w:w="192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OPEN-SCOPE-01 answered (§3.1)</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release scope document is republished, or Schedule A is held open for the redirect consent</w:t>
            </w:r>
          </w:p>
        </w:tc>
        <w:tc>
          <w:tcPr>
            <w:tcW w:type="dxa" w:w="173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Rajal, with Bancassurance</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Confirms whether these packs are complete for the first release</w:t>
            </w:r>
          </w:p>
        </w:tc>
      </w:tr>
      <w:tr>
        <w:trPr>
          <w:cantSplit/>
        </w:trPr>
        <w:tc>
          <w:tcPr>
            <w:tcW w:type="dxa" w:w="192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Both schedules signed and all conditions met</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workstream state record is updated by the Architect and Product Owner jointly, as named humans</w:t>
            </w:r>
          </w:p>
        </w:tc>
        <w:tc>
          <w:tcPr>
            <w:tcW w:type="dxa" w:w="173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Mahesh and Rajal</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release may enter its build-and-prove stage</w:t>
            </w:r>
          </w:p>
        </w:tc>
      </w:tr>
    </w:tbl>
    <w:p>
      <w:pPr>
        <w:pStyle w:val="Heading1"/>
        <w:keepNext/>
        <w:keepLines/>
        <w:pageBreakBefore/>
        <w:pBdr>
          <w:bottom w:val="single" w:color="0F6E6E" w:sz="8" w:space="6"/>
        </w:pBdr>
        <w:spacing w:after="160" w:before="0"/>
      </w:pPr>
      <w:r>
        <w:rPr>
          <w:b/>
          <w:bCs/>
          <w:color w:val="11304E"/>
          <w:sz w:val="30"/>
          <w:szCs w:val="30"/>
        </w:rPr>
        <w:t xml:space="preserve">4.  What is submitted</w:t>
      </w:r>
    </w:p>
    <w:p>
      <w:pPr>
        <w:spacing w:after="120" w:before="0" w:line="276"/>
        <w:jc w:val="left"/>
      </w:pPr>
      <w:r>
        <w:rPr>
          <w:b w:val="false"/>
          <w:bCs w:val="false"/>
          <w:i w:val="false"/>
          <w:iCs w:val="false"/>
          <w:color w:val="222629"/>
          <w:sz w:val="20"/>
          <w:szCs w:val="20"/>
        </w:rPr>
        <w:t xml:space="preserve">Two rule packs, reproduced in full in the appendices to this document.</w:t>
      </w:r>
    </w:p>
    <w:p>
      <w:pPr>
        <w:spacing w:after="60"/>
      </w:pPr>
      <w:r>
        <w:t xml:space="preserve"/>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542"/>
        <w:gridCol w:w="3855"/>
        <w:gridCol w:w="4241"/>
      </w:tblGrid>
      <w:tr>
        <w:trPr>
          <w:cantSplit/>
          <w:tblHeader/>
        </w:trPr>
        <w:tc>
          <w:tcPr>
            <w:tcW w:type="dxa" w:w="154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
            </w:r>
          </w:p>
        </w:tc>
        <w:tc>
          <w:tcPr>
            <w:tcW w:type="dxa" w:w="3855"/>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Consent Rule Pack v1.1</w:t>
            </w:r>
          </w:p>
        </w:tc>
        <w:tc>
          <w:tcPr>
            <w:tcW w:type="dxa" w:w="424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Suitability Rule Pack v1.1</w:t>
            </w:r>
          </w:p>
        </w:tc>
      </w:tr>
      <w:tr>
        <w:trPr>
          <w:cantSplit/>
        </w:trPr>
        <w:tc>
          <w:tcPr>
            <w:tcW w:type="dxa" w:w="1542"/>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Rules</w:t>
            </w:r>
          </w:p>
        </w:tc>
        <w:tc>
          <w:tcPr>
            <w:tcW w:type="dxa" w:w="385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38 — CNS-R01 to CNS-R38 plus four added at v1.1</w:t>
            </w:r>
          </w:p>
        </w:tc>
        <w:tc>
          <w:tcPr>
            <w:tcW w:type="dxa" w:w="424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48 — SUIT-R01 to SUIT-R48 plus fourteen added or split at v1.1, including SUIT-R19a</w:t>
            </w:r>
          </w:p>
        </w:tc>
      </w:tr>
      <w:tr>
        <w:trPr>
          <w:cantSplit/>
        </w:trPr>
        <w:tc>
          <w:tcPr>
            <w:tcW w:type="dxa" w:w="1542"/>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Algorithm</w:t>
            </w:r>
          </w:p>
        </w:tc>
        <w:tc>
          <w:tcPr>
            <w:tcW w:type="dxa" w:w="385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Not applicable</w:t>
            </w:r>
          </w:p>
        </w:tc>
        <w:tc>
          <w:tcPr>
            <w:tcW w:type="dxa" w:w="424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SUIT-ALGO-LIFE-v1.1</w:t>
            </w:r>
          </w:p>
        </w:tc>
      </w:tr>
      <w:tr>
        <w:trPr>
          <w:cantSplit/>
        </w:trPr>
        <w:tc>
          <w:tcPr>
            <w:tcW w:type="dxa" w:w="1542"/>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Blocking issue it resolves</w:t>
            </w:r>
          </w:p>
        </w:tc>
        <w:tc>
          <w:tcPr>
            <w:tcW w:type="dxa" w:w="385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 rules not executable — highest severity; development cannot start while it is open</w:t>
            </w:r>
          </w:p>
        </w:tc>
        <w:tc>
          <w:tcPr>
            <w:tcW w:type="dxa" w:w="424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Suitability content and override policy unknown — highest severity; same effect</w:t>
            </w:r>
          </w:p>
        </w:tc>
      </w:tr>
      <w:tr>
        <w:trPr>
          <w:cantSplit/>
        </w:trPr>
        <w:tc>
          <w:tcPr>
            <w:tcW w:type="dxa" w:w="1542"/>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Approval checkpoint</w:t>
            </w:r>
          </w:p>
        </w:tc>
        <w:tc>
          <w:tcPr>
            <w:tcW w:type="dxa" w:w="385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consent approval checkpoint for this stage, which requires a rule pack reviewed and signed by Compliance</w:t>
            </w:r>
          </w:p>
        </w:tc>
        <w:tc>
          <w:tcPr>
            <w:tcW w:type="dxa" w:w="424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suitability approval checkpoint, on identical terms</w:t>
            </w:r>
          </w:p>
        </w:tc>
      </w:tr>
      <w:tr>
        <w:trPr>
          <w:cantSplit/>
        </w:trPr>
        <w:tc>
          <w:tcPr>
            <w:tcW w:type="dxa" w:w="1542"/>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Covers</w:t>
            </w:r>
          </w:p>
        </w:tc>
        <w:tc>
          <w:tcPr>
            <w:tcW w:type="dxa" w:w="385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 events and their blocking points; statement identity and versioning; capture mechanism and OTP handling; the evidence record; validity, expiry and reuse; withdrawal; retention and retrieval; failure behaviour</w:t>
            </w:r>
          </w:p>
        </w:tc>
        <w:tc>
          <w:tcPr>
            <w:tcW w:type="dxa" w:w="424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need-analysis question set; the deterministic computation; product-class outcomes; the evaluation record; the hard gate before quote; invalidation and reuse; the override and exception path</w:t>
            </w:r>
          </w:p>
        </w:tc>
      </w:tr>
      <w:tr>
        <w:trPr>
          <w:cantSplit/>
        </w:trPr>
        <w:tc>
          <w:tcPr>
            <w:tcW w:type="dxa" w:w="1542"/>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Reproduced in full in</w:t>
            </w:r>
          </w:p>
        </w:tc>
        <w:tc>
          <w:tcPr>
            <w:tcW w:type="dxa" w:w="385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Volume 2</w:t>
            </w:r>
          </w:p>
        </w:tc>
        <w:tc>
          <w:tcPr>
            <w:tcW w:type="dxa" w:w="424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Volume 3</w:t>
            </w:r>
          </w:p>
        </w:tc>
      </w:tr>
      <w:tr>
        <w:trPr>
          <w:cantSplit/>
        </w:trPr>
        <w:tc>
          <w:tcPr>
            <w:tcW w:type="dxa" w:w="1542"/>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Product position</w:t>
            </w:r>
          </w:p>
        </w:tc>
        <w:tc>
          <w:tcPr>
            <w:tcW w:type="dxa" w:w="3855"/>
            <w:tcMar>
              <w:top w:type="dxa" w:w="90"/>
              <w:left w:type="dxa" w:w="130"/>
              <w:bottom w:type="dxa" w:w="90"/>
              <w:right w:type="dxa" w:w="130"/>
            </w:tcMar>
            <w:vAlign w:val="top"/>
          </w:tcPr>
          <w:p>
            <w:pPr>
              <w:spacing w:after="40" w:before="40" w:line="252"/>
              <w:jc w:val="left"/>
            </w:pPr>
            <w:r>
              <w:rPr>
                <w:b/>
                <w:bCs/>
                <w:i w:val="false"/>
                <w:iCs w:val="false"/>
                <w:color w:val="8A5A00"/>
                <w:sz w:val="18"/>
                <w:szCs w:val="18"/>
              </w:rPr>
              <w:t xml:space="preserve">Drafted, not signed.</w:t>
            </w:r>
            <w:r>
              <w:rPr>
                <w:b w:val="false"/>
                <w:bCs w:val="false"/>
                <w:i w:val="false"/>
                <w:iCs w:val="false"/>
                <w:color w:val="222629"/>
                <w:sz w:val="18"/>
                <w:szCs w:val="18"/>
              </w:rPr>
              <w:t xml:space="preserve"> Awaiting Rajal’s decision — §14.</w:t>
            </w:r>
          </w:p>
        </w:tc>
        <w:tc>
          <w:tcPr>
            <w:tcW w:type="dxa" w:w="4241"/>
            <w:tcMar>
              <w:top w:type="dxa" w:w="90"/>
              <w:left w:type="dxa" w:w="130"/>
              <w:bottom w:type="dxa" w:w="90"/>
              <w:right w:type="dxa" w:w="130"/>
            </w:tcMar>
            <w:vAlign w:val="top"/>
          </w:tcPr>
          <w:p>
            <w:pPr>
              <w:spacing w:after="40" w:before="40" w:line="252"/>
              <w:jc w:val="left"/>
            </w:pPr>
            <w:r>
              <w:rPr>
                <w:b/>
                <w:bCs/>
                <w:i w:val="false"/>
                <w:iCs w:val="false"/>
                <w:color w:val="8A5A00"/>
                <w:sz w:val="18"/>
                <w:szCs w:val="18"/>
              </w:rPr>
              <w:t xml:space="preserve">Drafted, not signed.</w:t>
            </w:r>
            <w:r>
              <w:rPr>
                <w:b w:val="false"/>
                <w:bCs w:val="false"/>
                <w:i w:val="false"/>
                <w:iCs w:val="false"/>
                <w:color w:val="222629"/>
                <w:sz w:val="18"/>
                <w:szCs w:val="18"/>
              </w:rPr>
              <w:t xml:space="preserve"> Awaiting Rajal’s decision — §14.</w:t>
            </w:r>
          </w:p>
        </w:tc>
      </w:tr>
      <w:tr>
        <w:trPr>
          <w:cantSplit/>
        </w:trPr>
        <w:tc>
          <w:tcPr>
            <w:tcW w:type="dxa" w:w="1542"/>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Compliance position</w:t>
            </w:r>
          </w:p>
        </w:tc>
        <w:tc>
          <w:tcPr>
            <w:tcW w:type="dxa" w:w="3855"/>
            <w:shd w:fill="F1F5F8" w:color="auto" w:val="clear"/>
            <w:tcMar>
              <w:top w:type="dxa" w:w="90"/>
              <w:left w:type="dxa" w:w="130"/>
              <w:bottom w:type="dxa" w:w="90"/>
              <w:right w:type="dxa" w:w="130"/>
            </w:tcMar>
            <w:vAlign w:val="top"/>
          </w:tcPr>
          <w:p>
            <w:pPr>
              <w:spacing w:after="40" w:before="40" w:line="252"/>
              <w:jc w:val="left"/>
            </w:pPr>
            <w:r>
              <w:rPr>
                <w:b/>
                <w:bCs/>
                <w:i w:val="false"/>
                <w:iCs w:val="false"/>
                <w:color w:val="8A5A00"/>
                <w:sz w:val="18"/>
                <w:szCs w:val="18"/>
              </w:rPr>
              <w:t xml:space="preserve">Pending — this document</w:t>
            </w:r>
          </w:p>
        </w:tc>
        <w:tc>
          <w:tcPr>
            <w:tcW w:type="dxa" w:w="4241"/>
            <w:shd w:fill="F1F5F8" w:color="auto" w:val="clear"/>
            <w:tcMar>
              <w:top w:type="dxa" w:w="90"/>
              <w:left w:type="dxa" w:w="130"/>
              <w:bottom w:type="dxa" w:w="90"/>
              <w:right w:type="dxa" w:w="130"/>
            </w:tcMar>
            <w:vAlign w:val="top"/>
          </w:tcPr>
          <w:p>
            <w:pPr>
              <w:spacing w:after="40" w:before="40" w:line="252"/>
              <w:jc w:val="left"/>
            </w:pPr>
            <w:r>
              <w:rPr>
                <w:b/>
                <w:bCs/>
                <w:i w:val="false"/>
                <w:iCs w:val="false"/>
                <w:color w:val="8A5A00"/>
                <w:sz w:val="18"/>
                <w:szCs w:val="18"/>
              </w:rPr>
              <w:t xml:space="preserve">Pending — this document</w:t>
            </w:r>
          </w:p>
        </w:tc>
      </w:tr>
      <w:tr>
        <w:trPr>
          <w:cantSplit/>
        </w:trPr>
        <w:tc>
          <w:tcPr>
            <w:tcW w:type="dxa" w:w="1542"/>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Operations position</w:t>
            </w:r>
          </w:p>
        </w:tc>
        <w:tc>
          <w:tcPr>
            <w:tcW w:type="dxa" w:w="385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Not yet sought. Added as a required conclusion at v1.1 — see §14.</w:t>
            </w:r>
          </w:p>
        </w:tc>
        <w:tc>
          <w:tcPr>
            <w:tcW w:type="dxa" w:w="424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Not yet sought. Added as a required conclusion at v1.1 — see §14.</w:t>
            </w:r>
          </w:p>
        </w:tc>
      </w:tr>
    </w:tbl>
    <w:p>
      <w:pPr>
        <w:spacing w:after="140"/>
      </w:pPr>
      <w:r>
        <w:t xml:space="preserve"/>
      </w:r>
    </w:p>
    <w:p>
      <w:pPr>
        <w:pStyle w:val="Heading2"/>
        <w:keepNext/>
        <w:keepLines/>
        <w:spacing w:after="100" w:before="220"/>
      </w:pPr>
      <w:r>
        <w:rPr>
          <w:b/>
          <w:bCs/>
          <w:color w:val="0F6E6E"/>
          <w:sz w:val="21"/>
          <w:szCs w:val="21"/>
        </w:rPr>
        <w:t xml:space="preserve">The two commitments the packs exist to make enforceable</w:t>
      </w:r>
    </w:p>
    <w:p>
      <w:pPr>
        <w:keepNext/>
        <w:keepLines/>
        <w:pBdr>
          <w:top w:val="single" w:color="F1F5F8" w:sz="2" w:space="8"/>
          <w:left w:val="single" w:color="0F6E6E" w:sz="18" w:space="10"/>
          <w:right w:val="single" w:color="F1F5F8" w:sz="2" w:space="10"/>
        </w:pBdr>
        <w:shd w:fill="F1F5F8" w:color="auto" w:val="clear"/>
        <w:spacing w:after="100" w:before="140" w:line="276"/>
        <w:ind w:left="200" w:right="200"/>
      </w:pPr>
      <w:r>
        <w:rPr>
          <w:b/>
          <w:bCs/>
          <w:i w:val="false"/>
          <w:iCs w:val="false"/>
          <w:color w:val="0F6E6E"/>
          <w:sz w:val="20"/>
          <w:szCs w:val="20"/>
        </w:rPr>
        <w:t xml:space="preserve">Consent — fail closed, and never rewritten</w:t>
      </w:r>
    </w:p>
    <w:p>
      <w:pPr>
        <w:keepNext w:val="false"/>
        <w:keepLines/>
        <w:pBdr>
          <w:bottom w:val="single" w:color="F1F5F8" w:sz="2" w:space="8"/>
          <w:left w:val="single" w:color="0F6E6E" w:sz="18" w:space="10"/>
          <w:right w:val="single" w:color="F1F5F8" w:sz="2" w:space="10"/>
        </w:pBdr>
        <w:shd w:fill="F1F5F8" w:color="auto" w:val="clear"/>
        <w:spacing w:after="140" w:before="0" w:line="276"/>
        <w:ind w:left="200" w:right="200"/>
      </w:pPr>
      <w:r>
        <w:rPr>
          <w:b w:val="false"/>
          <w:bCs w:val="false"/>
          <w:i w:val="false"/>
          <w:iCs w:val="false"/>
          <w:color w:val="222629"/>
          <w:sz w:val="20"/>
          <w:szCs w:val="20"/>
        </w:rPr>
        <w:t xml:space="preserve">If the consent evidence cannot be written, the business action does not succeed. And the consent store is append-only by database privilege rather than by application code, because an append-only rule that lives in a service is an append-only rule that one urgent fix removes.</w:t>
      </w:r>
    </w:p>
    <w:p>
      <w:pPr>
        <w:spacing w:after="100"/>
      </w:pPr>
      <w:r>
        <w:t xml:space="preserve"/>
      </w:r>
    </w:p>
    <w:p>
      <w:pPr>
        <w:keepNext/>
        <w:keepLines/>
        <w:pBdr>
          <w:top w:val="single" w:color="F1F5F8" w:sz="2" w:space="8"/>
          <w:left w:val="single" w:color="0F6E6E" w:sz="18" w:space="10"/>
          <w:right w:val="single" w:color="F1F5F8" w:sz="2" w:space="10"/>
        </w:pBdr>
        <w:shd w:fill="F1F5F8" w:color="auto" w:val="clear"/>
        <w:spacing w:after="100" w:before="140" w:line="276"/>
        <w:ind w:left="200" w:right="200"/>
      </w:pPr>
      <w:r>
        <w:rPr>
          <w:b/>
          <w:bCs/>
          <w:i w:val="false"/>
          <w:iCs w:val="false"/>
          <w:color w:val="0F6E6E"/>
          <w:sz w:val="20"/>
          <w:szCs w:val="20"/>
        </w:rPr>
        <w:t xml:space="preserve">Suitability — no quote without a valid assessment</w:t>
      </w:r>
    </w:p>
    <w:p>
      <w:pPr>
        <w:keepNext w:val="false"/>
        <w:keepLines/>
        <w:pBdr>
          <w:bottom w:val="single" w:color="F1F5F8" w:sz="2" w:space="8"/>
          <w:left w:val="single" w:color="0F6E6E" w:sz="18" w:space="10"/>
          <w:right w:val="single" w:color="F1F5F8" w:sz="2" w:space="10"/>
        </w:pBdr>
        <w:shd w:fill="F1F5F8" w:color="auto" w:val="clear"/>
        <w:spacing w:after="140" w:before="0" w:line="276"/>
        <w:ind w:left="200" w:right="200"/>
      </w:pPr>
      <w:r>
        <w:rPr>
          <w:b w:val="false"/>
          <w:bCs w:val="false"/>
          <w:i w:val="false"/>
          <w:iCs w:val="false"/>
          <w:color w:val="222629"/>
          <w:sz w:val="20"/>
          <w:szCs w:val="20"/>
        </w:rPr>
        <w:t xml:space="preserve">Quote endpoints refuse the request unless it carries a suitability evaluation that is active, issued within 30 days, bound to the same customer, and whose outcome permits the product class being quoted. Four conditions; all four must hold; each is separately tested.</w:t>
      </w:r>
    </w:p>
    <w:p>
      <w:pPr>
        <w:pStyle w:val="Heading1"/>
        <w:keepNext/>
        <w:keepLines/>
        <w:pBdr>
          <w:bottom w:val="single" w:color="0F6E6E" w:sz="8" w:space="6"/>
        </w:pBdr>
        <w:spacing w:after="160" w:before="400"/>
      </w:pPr>
      <w:r>
        <w:rPr>
          <w:b/>
          <w:bCs/>
          <w:color w:val="11304E"/>
          <w:sz w:val="30"/>
          <w:szCs w:val="30"/>
        </w:rPr>
        <w:t xml:space="preserve">5.  Why a signature, and what it certifies</w:t>
      </w:r>
    </w:p>
    <w:p>
      <w:pPr>
        <w:spacing w:after="120" w:before="0" w:line="276"/>
        <w:jc w:val="left"/>
      </w:pPr>
      <w:r>
        <w:rPr>
          <w:b w:val="false"/>
          <w:bCs w:val="false"/>
          <w:i w:val="false"/>
          <w:iCs w:val="false"/>
          <w:color w:val="222629"/>
          <w:sz w:val="20"/>
          <w:szCs w:val="20"/>
        </w:rPr>
        <w:t xml:space="preserve">The programme distinguishes between a rule being written down and a rule being proven to work, and it requires different evidence for each. A definition can be closed by a document that a named person has read and signed. A behaviour can only be closed by something that has actually been run and observed. This approval is the first kind, and it is what allows the second to be attempted at all.</w:t>
      </w:r>
    </w:p>
    <w:p>
      <w:pPr>
        <w:spacing w:after="60"/>
      </w:pPr>
      <w:r>
        <w:t xml:space="preserve"/>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2024"/>
        <w:gridCol w:w="2506"/>
        <w:gridCol w:w="5108"/>
      </w:tblGrid>
      <w:tr>
        <w:trPr>
          <w:cantSplit/>
          <w:tblHeader/>
        </w:trPr>
        <w:tc>
          <w:tcPr>
            <w:tcW w:type="dxa" w:w="2024"/>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Strength of evidence</w:t>
            </w:r>
          </w:p>
        </w:tc>
        <w:tc>
          <w:tcPr>
            <w:tcW w:type="dxa" w:w="2506"/>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What it consists of</w:t>
            </w:r>
          </w:p>
        </w:tc>
        <w:tc>
          <w:tcPr>
            <w:tcW w:type="dxa" w:w="5108"/>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Where it applies here</w:t>
            </w:r>
          </w:p>
        </w:tc>
      </w:tr>
      <w:tr>
        <w:trPr>
          <w:cantSplit/>
        </w:trPr>
        <w:tc>
          <w:tcPr>
            <w:tcW w:type="dxa" w:w="2024"/>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Someone says so</w:t>
            </w:r>
          </w:p>
        </w:tc>
        <w:tc>
          <w:tcPr>
            <w:tcW w:type="dxa" w:w="250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An assurance, given verbally or in a status report</w:t>
            </w:r>
          </w:p>
        </w:tc>
        <w:tc>
          <w:tcPr>
            <w:tcW w:type="dxa" w:w="510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Never acceptable for anything. "Compliance is comfortable" closes nothing.</w:t>
            </w:r>
          </w:p>
        </w:tc>
      </w:tr>
      <w:tr>
        <w:trPr>
          <w:cantSplit/>
        </w:trPr>
        <w:tc>
          <w:tcPr>
            <w:tcW w:type="dxa" w:w="2024"/>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The document exists</w:t>
            </w:r>
          </w:p>
        </w:tc>
        <w:tc>
          <w:tcPr>
            <w:tcW w:type="dxa" w:w="250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written artefact, unreviewed</w:t>
            </w:r>
          </w:p>
        </w:tc>
        <w:tc>
          <w:tcPr>
            <w:tcW w:type="dxa" w:w="510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Where the two packs stand today. They are complete, and that on its own is not enough to release the build.</w:t>
            </w:r>
          </w:p>
        </w:tc>
      </w:tr>
      <w:tr>
        <w:trPr>
          <w:cantSplit/>
        </w:trPr>
        <w:tc>
          <w:tcPr>
            <w:tcW w:type="dxa" w:w="2024"/>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Reviewed and signed</w:t>
            </w:r>
          </w:p>
        </w:tc>
        <w:tc>
          <w:tcPr>
            <w:tcW w:type="dxa" w:w="250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named approver has read it and recorded a conclusion</w:t>
            </w:r>
          </w:p>
        </w:tc>
        <w:tc>
          <w:tcPr>
            <w:tcW w:type="dxa" w:w="510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What this document asks for.</w:t>
            </w:r>
            <w:r>
              <w:rPr>
                <w:b w:val="false"/>
                <w:bCs w:val="false"/>
                <w:i w:val="false"/>
                <w:iCs w:val="false"/>
                <w:color w:val="222629"/>
                <w:sz w:val="18"/>
                <w:szCs w:val="18"/>
              </w:rPr>
              <w:t xml:space="preserve"> A named Compliance approver reads the rules and records accept, amend or reject against each section of each pack.</w:t>
            </w:r>
          </w:p>
        </w:tc>
      </w:tr>
      <w:tr>
        <w:trPr>
          <w:cantSplit/>
        </w:trPr>
        <w:tc>
          <w:tcPr>
            <w:tcW w:type="dxa" w:w="2024"/>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Run and observed</w:t>
            </w:r>
          </w:p>
        </w:tc>
        <w:tc>
          <w:tcPr>
            <w:tcW w:type="dxa" w:w="250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control has been executed and the result captured, repeatably</w:t>
            </w:r>
          </w:p>
        </w:tc>
        <w:tc>
          <w:tcPr>
            <w:tcW w:type="dxa" w:w="510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Comes later, once the services are built and the controls are tested. Approval here is what allows that work to begin; it does not stand in for it.</w:t>
            </w:r>
          </w:p>
        </w:tc>
      </w:tr>
    </w:tbl>
    <w:p>
      <w:pPr>
        <w:spacing w:after="140"/>
      </w:pPr>
      <w:r>
        <w:t xml:space="preserve"/>
      </w:r>
    </w:p>
    <w:p>
      <w:pPr>
        <w:spacing w:after="120" w:before="0" w:line="276"/>
        <w:jc w:val="left"/>
      </w:pPr>
      <w:r>
        <w:rPr>
          <w:b w:val="false"/>
          <w:bCs w:val="false"/>
          <w:i w:val="false"/>
          <w:iCs w:val="false"/>
          <w:color w:val="222629"/>
          <w:sz w:val="20"/>
          <w:szCs w:val="20"/>
        </w:rPr>
        <w:t xml:space="preserve">What the signature certifies is bounded, and deliberately so. Product owns the business behaviour of these controls — which events require consent, what the journey does when it is absent, what the relationship manager sees, what the record must carry for the business to be defensible. Compliance owns whether the sequencing, the wording basis, the retention basis and the suitability model are regulatorily permissible. No aggregate of other approvers substitutes for that. This document does not blur the line, and every rule is written so that one can be amended without disturbing the rest.</w:t>
      </w:r>
    </w:p>
    <w:p>
      <w:pPr>
        <w:pStyle w:val="Heading1"/>
        <w:keepNext/>
        <w:keepLines/>
        <w:pageBreakBefore/>
        <w:pBdr>
          <w:bottom w:val="single" w:color="0F6E6E" w:sz="8" w:space="6"/>
        </w:pBdr>
        <w:spacing w:after="160" w:before="0"/>
      </w:pPr>
      <w:r>
        <w:rPr>
          <w:b/>
          <w:bCs/>
          <w:color w:val="11304E"/>
          <w:sz w:val="30"/>
          <w:szCs w:val="30"/>
        </w:rPr>
        <w:t xml:space="preserve">6.  Regulatory basis and applicability</w:t>
      </w:r>
    </w:p>
    <w:p>
      <w:pPr>
        <w:spacing w:after="120" w:before="0" w:line="276"/>
        <w:jc w:val="left"/>
      </w:pPr>
      <w:r>
        <w:rPr>
          <w:b w:val="false"/>
          <w:bCs w:val="false"/>
          <w:i w:val="false"/>
          <w:iCs w:val="false"/>
          <w:color w:val="222629"/>
          <w:sz w:val="20"/>
          <w:szCs w:val="20"/>
        </w:rPr>
        <w:t xml:space="preserve">These packs assert that certain controls are mandatory. Product has stated those assertions but cannot evidence them: naming the instrument, the clause, the version in force and whether it binds this bank in this capacity is Compliance work, and inventing a citation would be worse than leaving the column empty. This section sets out what is asserted, where each assertion came from, and what is missing — so that the gap is visible rather than buried inside confident wording.</w:t>
      </w:r>
    </w:p>
    <w:p>
      <w:pPr>
        <w:spacing w:after="60"/>
      </w:pPr>
      <w:r>
        <w:t xml:space="preserve"/>
      </w:r>
    </w:p>
    <w:p>
      <w:pPr>
        <w:keepNext/>
        <w:keepLines/>
        <w:pBdr>
          <w:top w:val="single" w:color="F1F5F8" w:sz="2" w:space="8"/>
          <w:left w:val="single" w:color="9B2226" w:sz="18" w:space="10"/>
          <w:right w:val="single" w:color="F1F5F8" w:sz="2" w:space="10"/>
        </w:pBdr>
        <w:shd w:fill="F1F5F8" w:color="auto" w:val="clear"/>
        <w:spacing w:after="100" w:before="140" w:line="276"/>
        <w:ind w:left="200" w:right="200"/>
      </w:pPr>
      <w:r>
        <w:rPr>
          <w:b/>
          <w:bCs/>
          <w:i w:val="false"/>
          <w:iCs w:val="false"/>
          <w:color w:val="9B2226"/>
          <w:sz w:val="20"/>
          <w:szCs w:val="20"/>
        </w:rPr>
        <w:t xml:space="preserve">The honest statement of the problem</w:t>
      </w:r>
    </w:p>
    <w:p>
      <w:pPr>
        <w:keepNext w:val="false"/>
        <w:keepLines/>
        <w:pBdr>
          <w:bottom w:val="single" w:color="F1F5F8" w:sz="2" w:space="8"/>
          <w:left w:val="single" w:color="9B2226" w:sz="18" w:space="10"/>
          <w:right w:val="single" w:color="F1F5F8" w:sz="2" w:space="10"/>
        </w:pBdr>
        <w:shd w:fill="F1F5F8" w:color="auto" w:val="clear"/>
        <w:spacing w:after="140" w:before="0" w:line="276"/>
        <w:ind w:left="200" w:right="200"/>
      </w:pPr>
      <w:r>
        <w:rPr>
          <w:b w:val="false"/>
          <w:bCs w:val="false"/>
          <w:i w:val="false"/>
          <w:iCs w:val="false"/>
          <w:color w:val="222629"/>
          <w:sz w:val="20"/>
          <w:szCs w:val="20"/>
        </w:rPr>
        <w:t xml:space="preserve">Every mandatory control below is currently supported by a source description rather than a source. "Data-protection law", "the suitability obligation" and "mis-selling risk" are not auditable citations. Until each row carries an instrument, a clause, an effective date and an applicability determination, Compliance cannot conclude on permissibility — and Product is not asking it to. What Product asks for on the business behaviour of these controls is separable, and is what Schedules A and B record.</w:t>
      </w:r>
    </w:p>
    <w:p>
      <w:pPr>
        <w:pStyle w:val="Heading2"/>
        <w:keepNext/>
        <w:keepLines/>
        <w:spacing w:after="120" w:before="300"/>
      </w:pPr>
      <w:r>
        <w:rPr>
          <w:b/>
          <w:bCs/>
          <w:color w:val="11304E"/>
          <w:sz w:val="24"/>
          <w:szCs w:val="24"/>
        </w:rPr>
        <w:t xml:space="preserve">6.1  The prior question: which entity, in which capacity</w:t>
      </w:r>
    </w:p>
    <w:p>
      <w:pPr>
        <w:spacing w:after="120" w:before="0" w:line="276"/>
        <w:jc w:val="left"/>
      </w:pPr>
      <w:r>
        <w:rPr>
          <w:b w:val="false"/>
          <w:bCs w:val="false"/>
          <w:i w:val="false"/>
          <w:iCs w:val="false"/>
          <w:color w:val="222629"/>
          <w:sz w:val="20"/>
          <w:szCs w:val="20"/>
        </w:rPr>
        <w:t xml:space="preserve">Obligations that apply to an insurer are not the obligations that apply to a bank distributing that insurer’s products, and neither set is the set that applies to a technology provider. Every row in §6.3 depends on answering these first, and none of them is Product’s to answer.</w:t>
      </w:r>
    </w:p>
    <w:p>
      <w:pPr>
        <w:spacing w:after="60"/>
      </w:pPr>
      <w:r>
        <w:t xml:space="preserve"/>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5397"/>
        <w:gridCol w:w="2120"/>
        <w:gridCol w:w="2121"/>
      </w:tblGrid>
      <w:tr>
        <w:trPr>
          <w:cantSplit/>
          <w:tblHeader/>
        </w:trPr>
        <w:tc>
          <w:tcPr>
            <w:tcW w:type="dxa" w:w="5397"/>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Question</w:t>
            </w:r>
          </w:p>
        </w:tc>
        <w:tc>
          <w:tcPr>
            <w:tcW w:type="dxa" w:w="212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Status</w:t>
            </w:r>
          </w:p>
        </w:tc>
        <w:tc>
          <w:tcPr>
            <w:tcW w:type="dxa" w:w="212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Owner</w:t>
            </w:r>
          </w:p>
        </w:tc>
      </w:tr>
      <w:tr>
        <w:trPr>
          <w:cantSplit/>
        </w:trPr>
        <w:tc>
          <w:tcPr>
            <w:tcW w:type="dxa" w:w="5397"/>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exact legal entity conducting the distribution, as registered</w:t>
            </w:r>
          </w:p>
        </w:tc>
        <w:tc>
          <w:tcPr>
            <w:tcW w:type="dxa" w:w="2120"/>
            <w:tcMar>
              <w:top w:type="dxa" w:w="90"/>
              <w:left w:type="dxa" w:w="130"/>
              <w:bottom w:type="dxa" w:w="90"/>
              <w:right w:type="dxa" w:w="130"/>
            </w:tcMar>
            <w:vAlign w:val="top"/>
          </w:tcPr>
          <w:p>
            <w:pPr>
              <w:spacing w:after="40" w:before="40" w:line="252"/>
              <w:jc w:val="left"/>
            </w:pPr>
            <w:r>
              <w:rPr>
                <w:b/>
                <w:bCs/>
                <w:i w:val="false"/>
                <w:iCs w:val="false"/>
                <w:color w:val="8A5A00"/>
                <w:sz w:val="18"/>
                <w:szCs w:val="18"/>
              </w:rPr>
              <w:t xml:space="preserve">To be confirmed</w:t>
            </w:r>
          </w:p>
        </w:tc>
        <w:tc>
          <w:tcPr>
            <w:tcW w:type="dxa" w:w="212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Compliance</w:t>
            </w:r>
          </w:p>
        </w:tc>
      </w:tr>
      <w:tr>
        <w:trPr>
          <w:cantSplit/>
        </w:trPr>
        <w:tc>
          <w:tcPr>
            <w:tcW w:type="dxa" w:w="5397"/>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regulatory capacity in which it distributes insurance, and the registration or licence held in that capacity, with its number and validity</w:t>
            </w:r>
          </w:p>
        </w:tc>
        <w:tc>
          <w:tcPr>
            <w:tcW w:type="dxa" w:w="2120"/>
            <w:shd w:fill="F1F5F8" w:color="auto" w:val="clear"/>
            <w:tcMar>
              <w:top w:type="dxa" w:w="90"/>
              <w:left w:type="dxa" w:w="130"/>
              <w:bottom w:type="dxa" w:w="90"/>
              <w:right w:type="dxa" w:w="130"/>
            </w:tcMar>
            <w:vAlign w:val="top"/>
          </w:tcPr>
          <w:p>
            <w:pPr>
              <w:spacing w:after="40" w:before="40" w:line="252"/>
              <w:jc w:val="left"/>
            </w:pPr>
            <w:r>
              <w:rPr>
                <w:b/>
                <w:bCs/>
                <w:i w:val="false"/>
                <w:iCs w:val="false"/>
                <w:color w:val="8A5A00"/>
                <w:sz w:val="18"/>
                <w:szCs w:val="18"/>
              </w:rPr>
              <w:t xml:space="preserve">To be confirmed</w:t>
            </w:r>
          </w:p>
        </w:tc>
        <w:tc>
          <w:tcPr>
            <w:tcW w:type="dxa" w:w="212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Compliance</w:t>
            </w:r>
          </w:p>
        </w:tc>
      </w:tr>
      <w:tr>
        <w:trPr>
          <w:cantSplit/>
        </w:trPr>
        <w:tc>
          <w:tcPr>
            <w:tcW w:type="dxa" w:w="5397"/>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Whether the insurer, the bank, or both are the controller of the customer’s personal data at each step of the journey</w:t>
            </w:r>
          </w:p>
        </w:tc>
        <w:tc>
          <w:tcPr>
            <w:tcW w:type="dxa" w:w="2120"/>
            <w:tcMar>
              <w:top w:type="dxa" w:w="90"/>
              <w:left w:type="dxa" w:w="130"/>
              <w:bottom w:type="dxa" w:w="90"/>
              <w:right w:type="dxa" w:w="130"/>
            </w:tcMar>
            <w:vAlign w:val="top"/>
          </w:tcPr>
          <w:p>
            <w:pPr>
              <w:spacing w:after="40" w:before="40" w:line="252"/>
              <w:jc w:val="left"/>
            </w:pPr>
            <w:r>
              <w:rPr>
                <w:b/>
                <w:bCs/>
                <w:i w:val="false"/>
                <w:iCs w:val="false"/>
                <w:color w:val="8A5A00"/>
                <w:sz w:val="18"/>
                <w:szCs w:val="18"/>
              </w:rPr>
              <w:t xml:space="preserve">To be confirmed</w:t>
            </w:r>
          </w:p>
        </w:tc>
        <w:tc>
          <w:tcPr>
            <w:tcW w:type="dxa" w:w="212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Compliance, with Legal</w:t>
            </w:r>
          </w:p>
        </w:tc>
      </w:tr>
      <w:tr>
        <w:trPr>
          <w:cantSplit/>
        </w:trPr>
        <w:tc>
          <w:tcPr>
            <w:tcW w:type="dxa" w:w="5397"/>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role and obligations of the integration intermediary through which insurer traffic passes, and of any cloud or technology provider holding the records</w:t>
            </w:r>
          </w:p>
        </w:tc>
        <w:tc>
          <w:tcPr>
            <w:tcW w:type="dxa" w:w="2120"/>
            <w:shd w:fill="F1F5F8" w:color="auto" w:val="clear"/>
            <w:tcMar>
              <w:top w:type="dxa" w:w="90"/>
              <w:left w:type="dxa" w:w="130"/>
              <w:bottom w:type="dxa" w:w="90"/>
              <w:right w:type="dxa" w:w="130"/>
            </w:tcMar>
            <w:vAlign w:val="top"/>
          </w:tcPr>
          <w:p>
            <w:pPr>
              <w:spacing w:after="40" w:before="40" w:line="252"/>
              <w:jc w:val="left"/>
            </w:pPr>
            <w:r>
              <w:rPr>
                <w:b/>
                <w:bCs/>
                <w:i w:val="false"/>
                <w:iCs w:val="false"/>
                <w:color w:val="8A5A00"/>
                <w:sz w:val="18"/>
                <w:szCs w:val="18"/>
              </w:rPr>
              <w:t xml:space="preserve">To be confirmed</w:t>
            </w:r>
          </w:p>
        </w:tc>
        <w:tc>
          <w:tcPr>
            <w:tcW w:type="dxa" w:w="212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Compliance, with Architecture</w:t>
            </w:r>
          </w:p>
        </w:tc>
      </w:tr>
      <w:tr>
        <w:trPr>
          <w:cantSplit/>
        </w:trPr>
        <w:tc>
          <w:tcPr>
            <w:tcW w:type="dxa" w:w="5397"/>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jurisdiction whose law governs each obligation, where a counterparty or a hosting arrangement sits outside India</w:t>
            </w:r>
          </w:p>
        </w:tc>
        <w:tc>
          <w:tcPr>
            <w:tcW w:type="dxa" w:w="2120"/>
            <w:tcMar>
              <w:top w:type="dxa" w:w="90"/>
              <w:left w:type="dxa" w:w="130"/>
              <w:bottom w:type="dxa" w:w="90"/>
              <w:right w:type="dxa" w:w="130"/>
            </w:tcMar>
            <w:vAlign w:val="top"/>
          </w:tcPr>
          <w:p>
            <w:pPr>
              <w:spacing w:after="40" w:before="40" w:line="252"/>
              <w:jc w:val="left"/>
            </w:pPr>
            <w:r>
              <w:rPr>
                <w:b/>
                <w:bCs/>
                <w:i w:val="false"/>
                <w:iCs w:val="false"/>
                <w:color w:val="8A5A00"/>
                <w:sz w:val="18"/>
                <w:szCs w:val="18"/>
              </w:rPr>
              <w:t xml:space="preserve">To be confirmed</w:t>
            </w:r>
          </w:p>
        </w:tc>
        <w:tc>
          <w:tcPr>
            <w:tcW w:type="dxa" w:w="212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Compliance, with Legal</w:t>
            </w:r>
          </w:p>
        </w:tc>
      </w:tr>
      <w:tr>
        <w:trPr>
          <w:cantSplit/>
        </w:trPr>
        <w:tc>
          <w:tcPr>
            <w:tcW w:type="dxa" w:w="5397"/>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Whether any insurer on the panel imposes contractual requirements exceeding the regulatory minimum</w:t>
            </w:r>
          </w:p>
        </w:tc>
        <w:tc>
          <w:tcPr>
            <w:tcW w:type="dxa" w:w="2120"/>
            <w:shd w:fill="F1F5F8" w:color="auto" w:val="clear"/>
            <w:tcMar>
              <w:top w:type="dxa" w:w="90"/>
              <w:left w:type="dxa" w:w="130"/>
              <w:bottom w:type="dxa" w:w="90"/>
              <w:right w:type="dxa" w:w="130"/>
            </w:tcMar>
            <w:vAlign w:val="top"/>
          </w:tcPr>
          <w:p>
            <w:pPr>
              <w:spacing w:after="40" w:before="40" w:line="252"/>
              <w:jc w:val="left"/>
            </w:pPr>
            <w:r>
              <w:rPr>
                <w:b/>
                <w:bCs/>
                <w:i w:val="false"/>
                <w:iCs w:val="false"/>
                <w:color w:val="8A5A00"/>
                <w:sz w:val="18"/>
                <w:szCs w:val="18"/>
              </w:rPr>
              <w:t xml:space="preserve">To be confirmed</w:t>
            </w:r>
          </w:p>
        </w:tc>
        <w:tc>
          <w:tcPr>
            <w:tcW w:type="dxa" w:w="212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Bancassurance, with Compliance</w:t>
            </w:r>
          </w:p>
        </w:tc>
      </w:tr>
    </w:tbl>
    <w:p>
      <w:pPr>
        <w:pStyle w:val="Heading2"/>
        <w:keepNext/>
        <w:keepLines/>
        <w:pageBreakBefore/>
        <w:spacing w:after="120" w:before="0"/>
      </w:pPr>
      <w:r>
        <w:rPr>
          <w:b/>
          <w:bCs/>
          <w:color w:val="11304E"/>
          <w:sz w:val="24"/>
          <w:szCs w:val="24"/>
        </w:rPr>
        <w:t xml:space="preserve">6.2  How each assertion is classified</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928"/>
        <w:gridCol w:w="4048"/>
        <w:gridCol w:w="3662"/>
      </w:tblGrid>
      <w:tr>
        <w:trPr>
          <w:cantSplit/>
          <w:tblHeader/>
        </w:trPr>
        <w:tc>
          <w:tcPr>
            <w:tcW w:type="dxa" w:w="1928"/>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Classification</w:t>
            </w:r>
          </w:p>
        </w:tc>
        <w:tc>
          <w:tcPr>
            <w:tcW w:type="dxa" w:w="4048"/>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Meaning</w:t>
            </w:r>
          </w:p>
        </w:tc>
        <w:tc>
          <w:tcPr>
            <w:tcW w:type="dxa" w:w="366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What it takes to close</w:t>
            </w:r>
          </w:p>
        </w:tc>
      </w:tr>
      <w:tr>
        <w:trPr>
          <w:cantSplit/>
        </w:trPr>
        <w:tc>
          <w:tcPr>
            <w:tcW w:type="dxa" w:w="192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Law or regulation</w:t>
            </w:r>
          </w:p>
        </w:tc>
        <w:tc>
          <w:tcPr>
            <w:tcW w:type="dxa" w:w="404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binding external obligation on this entity in this capacity</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Instrument, clause, version in force, and an applicability determination</w:t>
            </w:r>
          </w:p>
        </w:tc>
      </w:tr>
      <w:tr>
        <w:trPr>
          <w:cantSplit/>
        </w:trPr>
        <w:tc>
          <w:tcPr>
            <w:tcW w:type="dxa" w:w="1928"/>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Regulator guidance</w:t>
            </w:r>
          </w:p>
        </w:tc>
        <w:tc>
          <w:tcPr>
            <w:tcW w:type="dxa" w:w="404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Issued guidance or a circular that is expected but not strictly binding</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Instrument and a determination of how the bank treats it</w:t>
            </w:r>
          </w:p>
        </w:tc>
      </w:tr>
      <w:tr>
        <w:trPr>
          <w:cantSplit/>
        </w:trPr>
        <w:tc>
          <w:tcPr>
            <w:tcW w:type="dxa" w:w="192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Binding internal policy</w:t>
            </w:r>
          </w:p>
        </w:tc>
        <w:tc>
          <w:tcPr>
            <w:tcW w:type="dxa" w:w="404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bank policy that binds regardless of external requirement</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policy reference and its owner</w:t>
            </w:r>
          </w:p>
        </w:tc>
      </w:tr>
      <w:tr>
        <w:trPr>
          <w:cantSplit/>
        </w:trPr>
        <w:tc>
          <w:tcPr>
            <w:tcW w:type="dxa" w:w="1928"/>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Product proposal</w:t>
            </w:r>
          </w:p>
        </w:tc>
        <w:tc>
          <w:tcPr>
            <w:tcW w:type="dxa" w:w="404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Product judgement with no external mandate claimed. Compliance may accept, amend or reject it freely</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Product and Compliance decision only</w:t>
            </w:r>
          </w:p>
        </w:tc>
      </w:tr>
      <w:tr>
        <w:trPr>
          <w:cantSplit/>
        </w:trPr>
        <w:tc>
          <w:tcPr>
            <w:tcW w:type="dxa" w:w="192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Good practice</w:t>
            </w:r>
          </w:p>
        </w:tc>
        <w:tc>
          <w:tcPr>
            <w:tcW w:type="dxa" w:w="404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Defensible practice adopted deliberately, claimed as nothing more</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recorded decision to adopt</w:t>
            </w:r>
          </w:p>
        </w:tc>
      </w:tr>
    </w:tbl>
    <w:p>
      <w:pPr>
        <w:spacing w:after="120"/>
      </w:pPr>
      <w:r>
        <w:t xml:space="preserve"/>
      </w:r>
    </w:p>
    <w:p>
      <w:pPr>
        <w:spacing w:after="120" w:before="0" w:line="276"/>
        <w:jc w:val="left"/>
      </w:pPr>
      <w:r>
        <w:rPr>
          <w:b w:val="false"/>
          <w:bCs w:val="false"/>
          <w:i/>
          <w:iCs/>
          <w:color w:val="222629"/>
          <w:sz w:val="20"/>
          <w:szCs w:val="20"/>
        </w:rPr>
        <w:t xml:space="preserve">The classification in the next table is Product’s proposal. Where Product has written "law or regulation", that is what Product believes and cannot prove. Compliance reclassifying a row downward is a valid and expected outcome, and several rows probably should move.</w:t>
      </w:r>
    </w:p>
    <w:p>
      <w:pPr>
        <w:pStyle w:val="Heading2"/>
        <w:keepNext/>
        <w:keepLines/>
        <w:pageBreakBefore/>
        <w:spacing w:after="120" w:before="0"/>
      </w:pPr>
      <w:r>
        <w:rPr>
          <w:b/>
          <w:bCs/>
          <w:color w:val="11304E"/>
          <w:sz w:val="24"/>
          <w:szCs w:val="24"/>
        </w:rPr>
        <w:t xml:space="preserve">6.3  The applicability schedule</w:t>
      </w:r>
    </w:p>
    <w:p>
      <w:pPr>
        <w:spacing w:after="120" w:before="0" w:line="276"/>
        <w:jc w:val="left"/>
      </w:pPr>
      <w:r>
        <w:rPr>
          <w:b w:val="false"/>
          <w:bCs w:val="false"/>
          <w:i w:val="false"/>
          <w:iCs w:val="false"/>
          <w:color w:val="222629"/>
          <w:sz w:val="20"/>
          <w:szCs w:val="20"/>
        </w:rPr>
        <w:t xml:space="preserve">One row per mandatory assertion. The source column records what the assertion actually rests on today — in most cases a description carried forward from the programme’s own obligation registry, which itself holds no clause-level citation.</w:t>
      </w:r>
    </w:p>
    <w:p>
      <w:pPr>
        <w:spacing w:after="60"/>
      </w:pPr>
      <w:r>
        <w:t xml:space="preserve"/>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2313"/>
        <w:gridCol w:w="1349"/>
        <w:gridCol w:w="1638"/>
        <w:gridCol w:w="4338"/>
      </w:tblGrid>
      <w:tr>
        <w:trPr>
          <w:cantSplit/>
          <w:tblHeader/>
        </w:trPr>
        <w:tc>
          <w:tcPr>
            <w:tcW w:type="dxa" w:w="231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Assertion</w:t>
            </w:r>
          </w:p>
        </w:tc>
        <w:tc>
          <w:tcPr>
            <w:tcW w:type="dxa" w:w="1349"/>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Rules</w:t>
            </w:r>
          </w:p>
        </w:tc>
        <w:tc>
          <w:tcPr>
            <w:tcW w:type="dxa" w:w="1638"/>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Product’s proposed class</w:t>
            </w:r>
          </w:p>
        </w:tc>
        <w:tc>
          <w:tcPr>
            <w:tcW w:type="dxa" w:w="4338"/>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What it rests on today, and what is missing</w:t>
            </w:r>
          </w:p>
        </w:tc>
      </w:tr>
      <w:tr>
        <w:trPr>
          <w:cantSplit/>
        </w:trPr>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documented suitability assessment must precede any quote, and bypassing it is unlawful</w:t>
            </w:r>
          </w:p>
        </w:tc>
        <w:tc>
          <w:tcPr>
            <w:tcW w:type="dxa" w:w="134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SUIT-R20, R25 – R28</w:t>
            </w:r>
          </w:p>
        </w:tc>
        <w:tc>
          <w:tcPr>
            <w:tcW w:type="dxa" w:w="163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Law or regulation</w:t>
            </w:r>
          </w:p>
        </w:tc>
        <w:tc>
          <w:tcPr>
            <w:tcW w:type="dxa" w:w="433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An entry in the programme’s obligation registry describing an insurance-regulator expectation that a recommendation follows documented suitability analysis. No instrument, clause or date. The word "unlawful" is the programme’s characterisation and is not evidenced — see §6.4.</w:t>
            </w:r>
          </w:p>
        </w:tc>
      </w:tr>
      <w:tr>
        <w:trPr>
          <w:cantSplit/>
        </w:trPr>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Customer consent is required before personal data is processed for this purpose</w:t>
            </w:r>
          </w:p>
        </w:tc>
        <w:tc>
          <w:tcPr>
            <w:tcW w:type="dxa" w:w="1349"/>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CNS-DP, CNS-SOL, CNS-R37</w:t>
            </w:r>
          </w:p>
        </w:tc>
        <w:tc>
          <w:tcPr>
            <w:tcW w:type="dxa" w:w="163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Law or regulation</w:t>
            </w:r>
          </w:p>
        </w:tc>
        <w:tc>
          <w:tcPr>
            <w:tcW w:type="dxa" w:w="433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India’s data-protection statute is the obvious candidate instrument, but no clause, no commencement position and no applicability determination has been recorded. Whether the bank is controller at each step is itself open (§6.1).</w:t>
            </w:r>
          </w:p>
        </w:tc>
      </w:tr>
      <w:tr>
        <w:trPr>
          <w:cantSplit/>
        </w:trPr>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 must be verifiable, and verified to the customer’s registered mobile number</w:t>
            </w:r>
          </w:p>
        </w:tc>
        <w:tc>
          <w:tcPr>
            <w:tcW w:type="dxa" w:w="134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CNS-R10, CNS-R11</w:t>
            </w:r>
          </w:p>
        </w:tc>
        <w:tc>
          <w:tcPr>
            <w:tcW w:type="dxa" w:w="163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Law or regulation</w:t>
            </w:r>
          </w:p>
        </w:tc>
        <w:tc>
          <w:tcPr>
            <w:tcW w:type="dxa" w:w="433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Described as an insurance-regulator expectation of verifiable digital consent. No citation. The specific requirement that the number be the one held in bank records is Product’s addition.</w:t>
            </w:r>
          </w:p>
        </w:tc>
      </w:tr>
      <w:tr>
        <w:trPr>
          <w:cantSplit/>
        </w:trPr>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Staff must not be able to complete the customer’s acknowledgement on a staff device</w:t>
            </w:r>
          </w:p>
        </w:tc>
        <w:tc>
          <w:tcPr>
            <w:tcW w:type="dxa" w:w="1349"/>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CNS-R13, SUIT-R42</w:t>
            </w:r>
          </w:p>
        </w:tc>
        <w:tc>
          <w:tcPr>
            <w:tcW w:type="dxa" w:w="163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Product proposal, by analogy</w:t>
            </w:r>
          </w:p>
        </w:tc>
        <w:tc>
          <w:tcPr>
            <w:tcW w:type="dxa" w:w="433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Product reasoning by analogy from the payment-device separation principle. Product does not claim a consent-specific rule exists and asks Compliance to confirm whether one does.</w:t>
            </w:r>
          </w:p>
        </w:tc>
      </w:tr>
      <w:tr>
        <w:trPr>
          <w:cantSplit/>
        </w:trPr>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 and assessment evidence must be retained for seven years</w:t>
            </w:r>
          </w:p>
        </w:tc>
        <w:tc>
          <w:tcPr>
            <w:tcW w:type="dxa" w:w="134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CNS-R33 – R33c, SUIT-R24</w:t>
            </w:r>
          </w:p>
        </w:tc>
        <w:tc>
          <w:tcPr>
            <w:tcW w:type="dxa" w:w="163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Law or regulation</w:t>
            </w:r>
          </w:p>
        </w:tc>
        <w:tc>
          <w:tcPr>
            <w:tcW w:type="dxa" w:w="433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Described as a record-preservation requirement. The seven-year figure is carried from the programme baseline with no instrument named. Whether the clock runs from the record, the policy or the relationship is undetermined and changes the design.</w:t>
            </w:r>
          </w:p>
        </w:tc>
      </w:tr>
      <w:tr>
        <w:trPr>
          <w:cantSplit/>
        </w:trPr>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All records, backups and logs must remain within India</w:t>
            </w:r>
          </w:p>
        </w:tc>
        <w:tc>
          <w:tcPr>
            <w:tcW w:type="dxa" w:w="1349"/>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CNS-R34</w:t>
            </w:r>
          </w:p>
        </w:tc>
        <w:tc>
          <w:tcPr>
            <w:tcW w:type="dxa" w:w="163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Law or regulation</w:t>
            </w:r>
          </w:p>
        </w:tc>
        <w:tc>
          <w:tcPr>
            <w:tcW w:type="dxa" w:w="433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Carried from the programme’s non-waivable control list. Which instrument imposes it, and on which entity, is unrecorded. Product treats it as non-waivable and asks Compliance to confirm the basis.</w:t>
            </w:r>
          </w:p>
        </w:tc>
      </w:tr>
      <w:tr>
        <w:trPr>
          <w:cantSplit/>
        </w:trPr>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customer may withdraw consent at any time</w:t>
            </w:r>
          </w:p>
        </w:tc>
        <w:tc>
          <w:tcPr>
            <w:tcW w:type="dxa" w:w="134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CNS-R27 – R32</w:t>
            </w:r>
          </w:p>
        </w:tc>
        <w:tc>
          <w:tcPr>
            <w:tcW w:type="dxa" w:w="163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Law or regulation</w:t>
            </w:r>
          </w:p>
        </w:tc>
        <w:tc>
          <w:tcPr>
            <w:tcW w:type="dxa" w:w="433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data-protection withdrawal right is the presumed basis. No clause. The consequence Product has designed — halting the journey — is a Product choice, not a stated legal requirement.</w:t>
            </w:r>
          </w:p>
        </w:tc>
      </w:tr>
      <w:tr>
        <w:trPr>
          <w:cantSplit/>
        </w:trPr>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 and assessment records must be immutable and attributable</w:t>
            </w:r>
          </w:p>
        </w:tc>
        <w:tc>
          <w:tcPr>
            <w:tcW w:type="dxa" w:w="1349"/>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CNS-R16 – R20, SUIT-R23 – R23b</w:t>
            </w:r>
          </w:p>
        </w:tc>
        <w:tc>
          <w:tcPr>
            <w:tcW w:type="dxa" w:w="163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Law or regulation, plus good practice</w:t>
            </w:r>
          </w:p>
        </w:tc>
        <w:tc>
          <w:tcPr>
            <w:tcW w:type="dxa" w:w="433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An audit-trail expectation is described in the registry. The specific mechanism — append-only enforced by database privilege — is Product and Architecture’s design, claimed as good practice only.</w:t>
            </w:r>
          </w:p>
        </w:tc>
      </w:tr>
      <w:tr>
        <w:trPr>
          <w:cantSplit/>
        </w:trPr>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 lasts 90 days, insurer-sharing consent 30 days</w:t>
            </w:r>
          </w:p>
        </w:tc>
        <w:tc>
          <w:tcPr>
            <w:tcW w:type="dxa" w:w="134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CNS-R21, R22</w:t>
            </w:r>
          </w:p>
        </w:tc>
        <w:tc>
          <w:tcPr>
            <w:tcW w:type="dxa" w:w="163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Product proposal</w:t>
            </w:r>
          </w:p>
        </w:tc>
        <w:tc>
          <w:tcPr>
            <w:tcW w:type="dxa" w:w="433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No external basis claimed.</w:t>
            </w:r>
            <w:r>
              <w:rPr>
                <w:b w:val="false"/>
                <w:bCs w:val="false"/>
                <w:i w:val="false"/>
                <w:iCs w:val="false"/>
                <w:color w:val="222629"/>
                <w:sz w:val="18"/>
                <w:szCs w:val="18"/>
              </w:rPr>
              <w:t xml:space="preserve"> These are Product’s calibration. Compliance may set any values. Raised as OPEN-CNS-03.</w:t>
            </w:r>
          </w:p>
        </w:tc>
      </w:tr>
      <w:tr>
        <w:trPr>
          <w:cantSplit/>
        </w:trPr>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suitability assessment lasts 30 days</w:t>
            </w:r>
          </w:p>
        </w:tc>
        <w:tc>
          <w:tcPr>
            <w:tcW w:type="dxa" w:w="1349"/>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SUIT-R29</w:t>
            </w:r>
          </w:p>
        </w:tc>
        <w:tc>
          <w:tcPr>
            <w:tcW w:type="dxa" w:w="163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Product proposal</w:t>
            </w:r>
          </w:p>
        </w:tc>
        <w:tc>
          <w:tcPr>
            <w:tcW w:type="dxa" w:w="4338"/>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No external basis claimed.</w:t>
            </w:r>
            <w:r>
              <w:rPr>
                <w:b w:val="false"/>
                <w:bCs w:val="false"/>
                <w:i w:val="false"/>
                <w:iCs w:val="false"/>
                <w:color w:val="222629"/>
                <w:sz w:val="18"/>
                <w:szCs w:val="18"/>
              </w:rPr>
              <w:t xml:space="preserve"> Product’s calibration. Raised as OPEN-SUIT-04.</w:t>
            </w:r>
          </w:p>
        </w:tc>
      </w:tr>
      <w:tr>
        <w:trPr>
          <w:cantSplit/>
        </w:trPr>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not-suitable outcome may never be overridden</w:t>
            </w:r>
          </w:p>
        </w:tc>
        <w:tc>
          <w:tcPr>
            <w:tcW w:type="dxa" w:w="134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SUIT-R38 – R40</w:t>
            </w:r>
          </w:p>
        </w:tc>
        <w:tc>
          <w:tcPr>
            <w:tcW w:type="dxa" w:w="163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Product proposal, on mis-selling grounds</w:t>
            </w:r>
          </w:p>
        </w:tc>
        <w:tc>
          <w:tcPr>
            <w:tcW w:type="dxa" w:w="433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Product’s position, argued from audit exposure rather than from a cited prohibition. Product believes it is the right rule regardless of whether any instrument requires it, and says so rather than dressing it as a legal mandate.</w:t>
            </w:r>
          </w:p>
        </w:tc>
      </w:tr>
      <w:tr>
        <w:trPr>
          <w:cantSplit/>
        </w:trPr>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caution outcome obliges a specific disclosure, acknowledged by the customer</w:t>
            </w:r>
          </w:p>
        </w:tc>
        <w:tc>
          <w:tcPr>
            <w:tcW w:type="dxa" w:w="1349"/>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SUIT-R41 – R43</w:t>
            </w:r>
          </w:p>
        </w:tc>
        <w:tc>
          <w:tcPr>
            <w:tcW w:type="dxa" w:w="163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Regulator guidance, presumed</w:t>
            </w:r>
          </w:p>
        </w:tc>
        <w:tc>
          <w:tcPr>
            <w:tcW w:type="dxa" w:w="433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Presumed to follow from suitability and disclosure expectations. Not cited. The acknowledgement mechanism is Product’s design.</w:t>
            </w:r>
          </w:p>
        </w:tc>
      </w:tr>
      <w:tr>
        <w:trPr>
          <w:cantSplit/>
        </w:trPr>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Replacing an existing policy obliges a specific disclosure before quote</w:t>
            </w:r>
          </w:p>
        </w:tc>
        <w:tc>
          <w:tcPr>
            <w:tcW w:type="dxa" w:w="134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SUIT-R46, R47</w:t>
            </w:r>
          </w:p>
        </w:tc>
        <w:tc>
          <w:tcPr>
            <w:tcW w:type="dxa" w:w="163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Regulator guidance, presumed</w:t>
            </w:r>
          </w:p>
        </w:tc>
        <w:tc>
          <w:tcPr>
            <w:tcW w:type="dxa" w:w="433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Replacement disclosure is a well-established expectation in life distribution; the instrument that imposes it here is not identified, and its exact content requirements are unknown to Product.</w:t>
            </w:r>
          </w:p>
        </w:tc>
      </w:tr>
      <w:tr>
        <w:trPr>
          <w:cantSplit/>
        </w:trPr>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consent naming a panel of insurers can be specific enough, if bound to one by the customer’s selection</w:t>
            </w:r>
          </w:p>
        </w:tc>
        <w:tc>
          <w:tcPr>
            <w:tcW w:type="dxa" w:w="1349"/>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Proposed CNS-R22 to R22d (§11)</w:t>
            </w:r>
          </w:p>
        </w:tc>
        <w:tc>
          <w:tcPr>
            <w:tcW w:type="dxa" w:w="163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Product proposal — permissibility unknown</w:t>
            </w:r>
          </w:p>
        </w:tc>
        <w:tc>
          <w:tcPr>
            <w:tcW w:type="dxa" w:w="4338"/>
            <w:shd w:fill="F1F5F8" w:color="auto" w:val="clear"/>
            <w:tcMar>
              <w:top w:type="dxa" w:w="90"/>
              <w:left w:type="dxa" w:w="130"/>
              <w:bottom w:type="dxa" w:w="90"/>
              <w:right w:type="dxa" w:w="130"/>
            </w:tcMar>
            <w:vAlign w:val="top"/>
          </w:tcPr>
          <w:p>
            <w:pPr>
              <w:spacing w:after="40" w:before="40" w:line="252"/>
              <w:jc w:val="left"/>
            </w:pPr>
            <w:r>
              <w:rPr>
                <w:b/>
                <w:bCs/>
                <w:i w:val="false"/>
                <w:iCs w:val="false"/>
                <w:color w:val="9B2226"/>
                <w:sz w:val="18"/>
                <w:szCs w:val="18"/>
              </w:rPr>
              <w:t xml:space="preserve">This is the one Product least expects to survive unchanged.</w:t>
            </w:r>
            <w:r>
              <w:rPr>
                <w:b w:val="false"/>
                <w:bCs w:val="false"/>
                <w:i w:val="false"/>
                <w:iCs w:val="false"/>
                <w:color w:val="222629"/>
                <w:sz w:val="18"/>
                <w:szCs w:val="18"/>
              </w:rPr>
              <w:t xml:space="preserve"> It is a Product design offered for determination, raised as OPEN-CNS-06, with a fallback at §11.6 if refused.</w:t>
            </w:r>
          </w:p>
        </w:tc>
      </w:tr>
      <w:tr>
        <w:trPr>
          <w:cantSplit/>
        </w:trPr>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Statement wording must be immutable, versioned, and classified by Compliance</w:t>
            </w:r>
          </w:p>
        </w:tc>
        <w:tc>
          <w:tcPr>
            <w:tcW w:type="dxa" w:w="134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CNS-R01 – R09</w:t>
            </w:r>
          </w:p>
        </w:tc>
        <w:tc>
          <w:tcPr>
            <w:tcW w:type="dxa" w:w="163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Good practice, plus Product proposal</w:t>
            </w:r>
          </w:p>
        </w:tc>
        <w:tc>
          <w:tcPr>
            <w:tcW w:type="dxa" w:w="433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No external basis claimed for the mechanism. Product asserts only that evidence with mutable text proves nothing later. The wording itself is Compliance-authored and is not in these packs.</w:t>
            </w:r>
          </w:p>
        </w:tc>
      </w:tr>
    </w:tbl>
    <w:p>
      <w:pPr>
        <w:pStyle w:val="Heading2"/>
        <w:keepNext/>
        <w:keepLines/>
        <w:pageBreakBefore/>
        <w:spacing w:after="120" w:before="0"/>
      </w:pPr>
      <w:r>
        <w:rPr>
          <w:b/>
          <w:bCs/>
          <w:color w:val="11304E"/>
          <w:sz w:val="24"/>
          <w:szCs w:val="24"/>
        </w:rPr>
        <w:t xml:space="preserve">6.4  Assertions Product has withdrawn or downgraded</w:t>
      </w:r>
    </w:p>
    <w:p>
      <w:pPr>
        <w:spacing w:after="120" w:before="0" w:line="276"/>
        <w:jc w:val="left"/>
      </w:pPr>
      <w:r>
        <w:rPr>
          <w:b w:val="false"/>
          <w:bCs w:val="false"/>
          <w:i w:val="false"/>
          <w:iCs w:val="false"/>
          <w:color w:val="222629"/>
          <w:sz w:val="20"/>
          <w:szCs w:val="20"/>
        </w:rPr>
        <w:t xml:space="preserve">Three statements in the earlier drafting claimed more than Product can support. They are corrected here rather than quietly softened.</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3277"/>
        <w:gridCol w:w="6361"/>
      </w:tblGrid>
      <w:tr>
        <w:trPr>
          <w:cantSplit/>
          <w:tblHeader/>
        </w:trPr>
        <w:tc>
          <w:tcPr>
            <w:tcW w:type="dxa" w:w="3277"/>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Statement as drafted</w:t>
            </w:r>
          </w:p>
        </w:tc>
        <w:tc>
          <w:tcPr>
            <w:tcW w:type="dxa" w:w="636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Corrected position</w:t>
            </w:r>
          </w:p>
        </w:tc>
      </w:tr>
      <w:tr>
        <w:trPr>
          <w:cantSplit/>
        </w:trPr>
        <w:tc>
          <w:tcPr>
            <w:tcW w:type="dxa" w:w="3277"/>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"Bypassing suitability before quote is unlawful."</w:t>
            </w:r>
          </w:p>
        </w:tc>
        <w:tc>
          <w:tcPr>
            <w:tcW w:type="dxa" w:w="636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programme’s own baseline characterises it that way. Product repeats the characterisation and does not evidence it. Read it as: the programme treats this as a legal exposure it will not accept. Whether it is unlawful is for Compliance to determine, and the control is worth having either way.</w:t>
            </w:r>
          </w:p>
        </w:tc>
      </w:tr>
      <w:tr>
        <w:trPr>
          <w:cantSplit/>
        </w:trPr>
        <w:tc>
          <w:tcPr>
            <w:tcW w:type="dxa" w:w="3277"/>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"Data residency is non-waivable."</w:t>
            </w:r>
          </w:p>
        </w:tc>
        <w:tc>
          <w:tcPr>
            <w:tcW w:type="dxa" w:w="636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It is on the programme’s non-waivable control list, which is an internal instrument. Whether an external rule also imposes it, and on which entity, is undetermined.</w:t>
            </w:r>
          </w:p>
        </w:tc>
      </w:tr>
      <w:tr>
        <w:trPr>
          <w:cantSplit/>
        </w:trPr>
        <w:tc>
          <w:tcPr>
            <w:tcW w:type="dxa" w:w="3277"/>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"Seven-year retention is required."</w:t>
            </w:r>
          </w:p>
        </w:tc>
        <w:tc>
          <w:tcPr>
            <w:tcW w:type="dxa" w:w="636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Seven years is the figure the programme has carried from the outset. Product has not established the instrument, the trigger event, or whether a different period applies to consent evidence than to transaction records.</w:t>
            </w:r>
          </w:p>
        </w:tc>
      </w:tr>
    </w:tbl>
    <w:p>
      <w:pPr>
        <w:spacing w:after="140"/>
      </w:pPr>
      <w:r>
        <w:t xml:space="preserve"/>
      </w:r>
    </w:p>
    <w:p>
      <w:pPr>
        <w:keepNext/>
        <w:keepLines/>
        <w:pBdr>
          <w:top w:val="single" w:color="F1F5F8" w:sz="2" w:space="8"/>
          <w:left w:val="single" w:color="0F6E6E" w:sz="18" w:space="10"/>
          <w:right w:val="single" w:color="F1F5F8" w:sz="2" w:space="10"/>
        </w:pBdr>
        <w:shd w:fill="F1F5F8" w:color="auto" w:val="clear"/>
        <w:spacing w:after="100" w:before="140" w:line="276"/>
        <w:ind w:left="200" w:right="200"/>
      </w:pPr>
      <w:r>
        <w:rPr>
          <w:b/>
          <w:bCs/>
          <w:i w:val="false"/>
          <w:iCs w:val="false"/>
          <w:color w:val="0F6E6E"/>
          <w:sz w:val="20"/>
          <w:szCs w:val="20"/>
        </w:rPr>
        <w:t xml:space="preserve">What Product is asking for on this section</w:t>
      </w:r>
    </w:p>
    <w:p>
      <w:pPr>
        <w:keepNext w:val="false"/>
        <w:keepLines/>
        <w:pBdr>
          <w:bottom w:val="single" w:color="F1F5F8" w:sz="2" w:space="8"/>
          <w:left w:val="single" w:color="0F6E6E" w:sz="18" w:space="10"/>
          <w:right w:val="single" w:color="F1F5F8" w:sz="2" w:space="10"/>
        </w:pBdr>
        <w:shd w:fill="F1F5F8" w:color="auto" w:val="clear"/>
        <w:spacing w:after="140" w:before="0" w:line="276"/>
        <w:ind w:left="200" w:right="200"/>
      </w:pPr>
      <w:r>
        <w:rPr>
          <w:b w:val="false"/>
          <w:bCs w:val="false"/>
          <w:i w:val="false"/>
          <w:iCs w:val="false"/>
          <w:color w:val="222629"/>
          <w:sz w:val="20"/>
          <w:szCs w:val="20"/>
        </w:rPr>
        <w:t xml:space="preserve">Not agreement. Completion. Product asks Compliance to take §6.3 as a worksheet: reclassify any row, supply instrument and clause where one exists, and mark the rows where no external obligation exists at all — because a control the bank keeps by choice is defensible, while a control the bank describes as legally required and cannot source is not. A signed Schedule A or B without this section completed approves the business behaviour of the controls, and nothing about their permissibility. Both schedules carry that limitation on their face.</w:t>
      </w:r>
    </w:p>
    <w:p>
      <w:pPr>
        <w:pStyle w:val="Heading1"/>
        <w:keepNext/>
        <w:keepLines/>
        <w:pageBreakBefore/>
        <w:pBdr>
          <w:bottom w:val="single" w:color="0F6E6E" w:sz="8" w:space="6"/>
        </w:pBdr>
        <w:spacing w:after="160" w:before="0"/>
      </w:pPr>
      <w:r>
        <w:rPr>
          <w:b/>
          <w:bCs/>
          <w:color w:val="11304E"/>
          <w:sz w:val="30"/>
          <w:szCs w:val="30"/>
        </w:rPr>
        <w:t xml:space="preserve">7.  How to read this document</w:t>
      </w:r>
    </w:p>
    <w:p>
      <w:pPr>
        <w:spacing w:after="120" w:before="0" w:line="276"/>
        <w:jc w:val="left"/>
      </w:pPr>
      <w:r>
        <w:rPr>
          <w:b w:val="false"/>
          <w:bCs w:val="false"/>
          <w:i w:val="false"/>
          <w:iCs w:val="false"/>
          <w:color w:val="222629"/>
          <w:sz w:val="20"/>
          <w:szCs w:val="20"/>
        </w:rPr>
        <w:t xml:space="preserve">Sections 6 and 7 are the decision schedules — one row per section of each pack, with a box to accept, amend or reject. Each row names the rules it covers and the section of Volume 2 or Volume 3 in which those rules are written out in full, in the same order.</w:t>
      </w:r>
    </w:p>
    <w:p>
      <w:pPr>
        <w:pStyle w:val="Heading2"/>
        <w:keepNext/>
        <w:keepLines/>
        <w:spacing w:after="100" w:before="220"/>
      </w:pPr>
      <w:r>
        <w:rPr>
          <w:b/>
          <w:bCs/>
          <w:color w:val="0F6E6E"/>
          <w:sz w:val="21"/>
          <w:szCs w:val="21"/>
        </w:rPr>
        <w:t xml:space="preserve">Conventions used in the rules</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2120"/>
        <w:gridCol w:w="7518"/>
      </w:tblGrid>
      <w:tr>
        <w:trPr>
          <w:cantSplit/>
          <w:tblHeader/>
        </w:trPr>
        <w:tc>
          <w:tcPr>
            <w:tcW w:type="dxa" w:w="212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Element</w:t>
            </w:r>
          </w:p>
        </w:tc>
        <w:tc>
          <w:tcPr>
            <w:tcW w:type="dxa" w:w="7518"/>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Meaning</w:t>
            </w:r>
          </w:p>
        </w:tc>
      </w:tr>
      <w:tr>
        <w:trPr>
          <w:cantSplit/>
        </w:trPr>
        <w:tc>
          <w:tcPr>
            <w:tcW w:type="dxa" w:w="212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MUST / MUST NOT / MAY</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Used in the RFC 2119 sense. MUST is an obligation, MUST NOT is a prohibition, MAY is a permission that creates no obligation.</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Rule identifier</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CNS-Rnn for consent rules, SUIT-Rnn for suitability rules. Identifiers are permanent: a rule that is withdrawn keeps its number and is marked withdrawn, so that a reference in a later document never silently changes meaning.</w:t>
            </w:r>
          </w:p>
        </w:tc>
      </w:tr>
      <w:tr>
        <w:trPr>
          <w:cantSplit/>
        </w:trPr>
        <w:tc>
          <w:tcPr>
            <w:tcW w:type="dxa" w:w="212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Conformance demonstration</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observable condition that separates pass from fail. Every rule has one. A rule that could not be stated with a test was not admitted to either pack, because a control nobody can test is a control nobody can evidence.</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Enforced at</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Where the control will live: the API, the data store, the user interface, the notification service, the infrastructure, or a documented process. This matters because a control enforced only in a screen can be bypassed by anything that does not use the screen.</w:t>
            </w:r>
          </w:p>
        </w:tc>
      </w:tr>
      <w:tr>
        <w:trPr>
          <w:cantSplit/>
        </w:trPr>
        <w:tc>
          <w:tcPr>
            <w:tcW w:type="dxa" w:w="212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Error codes</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Written in capitals, for example CONSENT_EXPIRED. These are the machine-readable reasons a request is refused; the plain-language message shown to staff is given separately in Volume 2, §11.</w:t>
            </w:r>
          </w:p>
        </w:tc>
      </w:tr>
    </w:tbl>
    <w:p>
      <w:pPr>
        <w:spacing w:after="120"/>
      </w:pPr>
      <w:r>
        <w:t xml:space="preserve"/>
      </w:r>
    </w:p>
    <w:p>
      <w:pPr>
        <w:keepNext/>
        <w:keepLines/>
        <w:pBdr>
          <w:top w:val="single" w:color="F1F5F8" w:sz="2" w:space="8"/>
          <w:left w:val="single" w:color="0F6E6E" w:sz="18" w:space="10"/>
          <w:right w:val="single" w:color="F1F5F8" w:sz="2" w:space="10"/>
        </w:pBdr>
        <w:shd w:fill="F1F5F8" w:color="auto" w:val="clear"/>
        <w:spacing w:after="100" w:before="140" w:line="276"/>
        <w:ind w:left="200" w:right="200"/>
      </w:pPr>
      <w:r>
        <w:rPr>
          <w:b/>
          <w:bCs/>
          <w:i w:val="false"/>
          <w:iCs w:val="false"/>
          <w:color w:val="0F6E6E"/>
          <w:sz w:val="20"/>
          <w:szCs w:val="20"/>
        </w:rPr>
        <w:t xml:space="preserve">Internal codes</w:t>
      </w:r>
    </w:p>
    <w:p>
      <w:pPr>
        <w:keepNext w:val="false"/>
        <w:keepLines/>
        <w:pBdr>
          <w:bottom w:val="single" w:color="F1F5F8" w:sz="2" w:space="8"/>
          <w:left w:val="single" w:color="0F6E6E" w:sz="18" w:space="10"/>
          <w:right w:val="single" w:color="F1F5F8" w:sz="2" w:space="10"/>
        </w:pBdr>
        <w:shd w:fill="F1F5F8" w:color="auto" w:val="clear"/>
        <w:spacing w:after="140" w:before="0" w:line="276"/>
        <w:ind w:left="200" w:right="200"/>
      </w:pPr>
      <w:r>
        <w:rPr>
          <w:b w:val="false"/>
          <w:bCs w:val="false"/>
          <w:i w:val="false"/>
          <w:iCs w:val="false"/>
          <w:color w:val="222629"/>
          <w:sz w:val="20"/>
          <w:szCs w:val="20"/>
        </w:rPr>
        <w:t xml:space="preserve">This document avoids the delivery organisation’s internal shorthand. Where a programme code could not sensibly be removed — the rule identifiers, and the identifier of the suitability algorithm — it is explained at the point it appears. The Appendix to this volume, Part 2, lists every such code, what it means, and how these documents refer to it instead. Nothing in this approval requires any of them to be known.</w:t>
      </w:r>
    </w:p>
    <w:p>
      <w:pPr>
        <w:spacing w:after="140"/>
      </w:pPr>
      <w:r>
        <w:t xml:space="preserve"/>
      </w:r>
    </w:p>
    <w:p>
      <w:pPr>
        <w:pStyle w:val="Heading3"/>
        <w:keepNext/>
        <w:keepLines/>
        <w:spacing w:after="100" w:before="220"/>
      </w:pPr>
      <w:r>
        <w:rPr>
          <w:b/>
          <w:bCs/>
          <w:color w:val="0F6E6E"/>
          <w:sz w:val="21"/>
          <w:szCs w:val="21"/>
        </w:rPr>
        <w:t xml:space="preserve">Design commitments Compliance can hold the build to</w:t>
      </w:r>
    </w:p>
    <w:p>
      <w:pPr>
        <w:spacing w:after="120" w:before="0" w:line="276"/>
        <w:jc w:val="left"/>
      </w:pPr>
      <w:r>
        <w:rPr>
          <w:b w:val="false"/>
          <w:bCs w:val="false"/>
          <w:i w:val="false"/>
          <w:iCs w:val="false"/>
          <w:color w:val="222629"/>
          <w:sz w:val="20"/>
          <w:szCs w:val="20"/>
        </w:rPr>
        <w:t xml:space="preserve">Four commitments about how these controls will be constructed. They are recorded here because they are the difference between a rule that is enforced and a rule that is merely intended, and because Compliance should be able to hold the build to them later.</w:t>
      </w:r>
    </w:p>
    <w:p>
      <w:pPr>
        <w:pStyle w:val="ListParagraph"/>
        <w:numPr>
          <w:ilvl w:val="0"/>
          <w:numId w:val="2"/>
        </w:numPr>
        <w:spacing w:after="80" w:line="276"/>
      </w:pPr>
      <w:r>
        <w:rPr>
          <w:b/>
          <w:bCs/>
          <w:i w:val="false"/>
          <w:iCs w:val="false"/>
          <w:color w:val="222629"/>
          <w:sz w:val="20"/>
          <w:szCs w:val="20"/>
        </w:rPr>
        <w:t xml:space="preserve">Consent will be a structural precondition, not a runtime check. </w:t>
      </w:r>
      <w:r>
        <w:rPr>
          <w:b w:val="false"/>
          <w:bCs w:val="false"/>
          <w:i w:val="false"/>
          <w:iCs w:val="false"/>
          <w:color w:val="222629"/>
          <w:sz w:val="20"/>
          <w:szCs w:val="20"/>
        </w:rPr>
        <w:t xml:space="preserve">Operations that require consent will be built so that they cannot be invoked without proof of a valid, unexpired grant. The intent is that "submit a proposal without consent" fails at build time rather than relying on a developer remembering to check.</w:t>
      </w:r>
    </w:p>
    <w:p>
      <w:pPr>
        <w:pStyle w:val="ListParagraph"/>
        <w:numPr>
          <w:ilvl w:val="0"/>
          <w:numId w:val="2"/>
        </w:numPr>
        <w:spacing w:after="80" w:line="276"/>
      </w:pPr>
      <w:r>
        <w:rPr>
          <w:b/>
          <w:bCs/>
          <w:i w:val="false"/>
          <w:iCs w:val="false"/>
          <w:color w:val="222629"/>
          <w:sz w:val="20"/>
          <w:szCs w:val="20"/>
        </w:rPr>
        <w:t xml:space="preserve">The relationship manager’s device will have no field for the customer’s one-time password. </w:t>
      </w:r>
      <w:r>
        <w:rPr>
          <w:b w:val="false"/>
          <w:bCs w:val="false"/>
          <w:i w:val="false"/>
          <w:iCs w:val="false"/>
          <w:color w:val="222629"/>
          <w:sz w:val="20"/>
          <w:szCs w:val="20"/>
        </w:rPr>
        <w:t xml:space="preserve">Where the code is sent to the customer’s own phone, the staff-facing screen will show pending or verified status and a resend control, and nothing that can be typed into. This is the consent equivalent of the payment-device separation principle.</w:t>
      </w:r>
    </w:p>
    <w:p>
      <w:pPr>
        <w:pStyle w:val="ListParagraph"/>
        <w:numPr>
          <w:ilvl w:val="0"/>
          <w:numId w:val="2"/>
        </w:numPr>
        <w:spacing w:after="80" w:line="276"/>
      </w:pPr>
      <w:r>
        <w:rPr>
          <w:b/>
          <w:bCs/>
          <w:i w:val="false"/>
          <w:iCs w:val="false"/>
          <w:color w:val="222629"/>
          <w:sz w:val="20"/>
          <w:szCs w:val="20"/>
        </w:rPr>
        <w:t xml:space="preserve">The suitability gate will sit at the server-side quote interface. </w:t>
      </w:r>
      <w:r>
        <w:rPr>
          <w:b w:val="false"/>
          <w:bCs w:val="false"/>
          <w:i w:val="false"/>
          <w:iCs w:val="false"/>
          <w:color w:val="222629"/>
          <w:sz w:val="20"/>
          <w:szCs w:val="20"/>
        </w:rPr>
        <w:t xml:space="preserve">Not in the screen, not in the layer that serves the screen, and not at the insurer aggregator. A gate in front of one door is not a gate.</w:t>
      </w:r>
    </w:p>
    <w:p>
      <w:pPr>
        <w:pStyle w:val="ListParagraph"/>
        <w:numPr>
          <w:ilvl w:val="0"/>
          <w:numId w:val="2"/>
        </w:numPr>
        <w:spacing w:after="80" w:line="276"/>
      </w:pPr>
      <w:r>
        <w:rPr>
          <w:b/>
          <w:bCs/>
          <w:i w:val="false"/>
          <w:iCs w:val="false"/>
          <w:color w:val="222629"/>
          <w:sz w:val="20"/>
          <w:szCs w:val="20"/>
        </w:rPr>
        <w:t xml:space="preserve">Immutability will be enforced by database privilege. </w:t>
      </w:r>
      <w:r>
        <w:rPr>
          <w:b w:val="false"/>
          <w:bCs w:val="false"/>
          <w:i w:val="false"/>
          <w:iCs w:val="false"/>
          <w:color w:val="222629"/>
          <w:sz w:val="20"/>
          <w:szCs w:val="20"/>
        </w:rPr>
        <w:t xml:space="preserve">The application’s database account will hold no update or delete right on the consent or evaluation records, so append-only survives a code change made under pressure.</w:t>
      </w:r>
    </w:p>
    <w:p>
      <w:pPr>
        <w:pStyle w:val="Heading1"/>
        <w:keepNext/>
        <w:keepLines/>
        <w:pageBreakBefore/>
        <w:pBdr>
          <w:bottom w:val="single" w:color="0F6E6E" w:sz="8" w:space="6"/>
        </w:pBdr>
        <w:spacing w:after="160" w:before="0"/>
      </w:pPr>
      <w:r>
        <w:rPr>
          <w:b/>
          <w:bCs/>
          <w:color w:val="11304E"/>
          <w:sz w:val="30"/>
          <w:szCs w:val="30"/>
        </w:rPr>
        <w:t xml:space="preserve">8.  Decision Schedule A — Consent Rule Pack</w:t>
      </w:r>
    </w:p>
    <w:p>
      <w:pPr>
        <w:spacing w:after="120" w:before="0" w:line="276"/>
        <w:jc w:val="left"/>
      </w:pPr>
      <w:r>
        <w:rPr>
          <w:b w:val="false"/>
          <w:bCs w:val="false"/>
          <w:i w:val="false"/>
          <w:iCs w:val="false"/>
          <w:color w:val="222629"/>
          <w:sz w:val="20"/>
          <w:szCs w:val="20"/>
        </w:rPr>
        <w:t xml:space="preserve">Mark one box per row. An amendment does not reject the pack: write the amendment in the sign-off sheet at §14 and the pack will be reissued at v1.2 carrying your text and naming you as the amending authority. A row left blank is treated as not approved. The last line of each subject cell gives the section of Volume 2 where those rules are written out in full.</w:t>
      </w:r>
    </w:p>
    <w:p>
      <w:pPr>
        <w:spacing w:after="60"/>
      </w:pPr>
      <w:r>
        <w:t xml:space="preserve"/>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675"/>
        <w:gridCol w:w="2217"/>
        <w:gridCol w:w="4433"/>
        <w:gridCol w:w="2313"/>
      </w:tblGrid>
      <w:tr>
        <w:trPr>
          <w:cantSplit/>
          <w:tblHeader/>
        </w:trPr>
        <w:tc>
          <w:tcPr>
            <w:tcW w:type="dxa" w:w="675"/>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Ref</w:t>
            </w:r>
          </w:p>
        </w:tc>
        <w:tc>
          <w:tcPr>
            <w:tcW w:type="dxa" w:w="2217"/>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Subject and rules</w:t>
            </w:r>
          </w:p>
        </w:tc>
        <w:tc>
          <w:tcPr>
            <w:tcW w:type="dxa" w:w="443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What approval certifies</w:t>
            </w:r>
          </w:p>
        </w:tc>
        <w:tc>
          <w:tcPr>
            <w:tcW w:type="dxa" w:w="231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Decision</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A.1</w:t>
            </w:r>
          </w:p>
        </w:tc>
        <w:tc>
          <w:tcPr>
            <w:tcW w:type="dxa" w:w="221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Consent events</w:t>
            </w:r>
            <w:r>
              <w:rPr>
                <w:b/>
                <w:bCs/>
                <w:i w:val="false"/>
                <w:iCs w:val="false"/>
                <w:color w:val="222629"/>
                <w:sz w:val="18"/>
                <w:szCs w:val="18"/>
              </w:rPr>
              <w:br/>
              <w:t xml:space="preserve"/>
            </w:r>
            <w:r>
              <w:rPr>
                <w:b w:val="false"/>
                <w:bCs w:val="false"/>
                <w:i w:val="false"/>
                <w:iCs w:val="false"/>
                <w:color w:val="222629"/>
                <w:sz w:val="18"/>
                <w:szCs w:val="18"/>
              </w:rPr>
              <w:t xml:space="preserve">4 consent events</w:t>
            </w:r>
            <w:r>
              <w:rPr>
                <w:b w:val="false"/>
                <w:bCs w:val="false"/>
                <w:i w:val="false"/>
                <w:iCs w:val="false"/>
                <w:color w:val="222629"/>
                <w:sz w:val="18"/>
                <w:szCs w:val="18"/>
              </w:rPr>
              <w:br/>
              <w:t xml:space="preserve">Volume 2, §1</w:t>
            </w:r>
          </w:p>
        </w:tc>
        <w:tc>
          <w:tcPr>
            <w:tcW w:type="dxa" w:w="443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That data processing, solicitation, insurer sharing and servicing communications are the right set of consent events for the first release, and that each blocks the journey at the point named.</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67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A.2</w:t>
            </w:r>
          </w:p>
        </w:tc>
        <w:tc>
          <w:tcPr>
            <w:tcW w:type="dxa" w:w="221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Statement identity and versioning</w:t>
            </w:r>
            <w:r>
              <w:rPr>
                <w:b/>
                <w:bCs/>
                <w:i w:val="false"/>
                <w:iCs w:val="false"/>
                <w:color w:val="222629"/>
                <w:sz w:val="18"/>
                <w:szCs w:val="18"/>
              </w:rPr>
              <w:br/>
              <w:t xml:space="preserve"/>
            </w:r>
            <w:r>
              <w:rPr>
                <w:b w:val="false"/>
                <w:bCs w:val="false"/>
                <w:i w:val="false"/>
                <w:iCs w:val="false"/>
                <w:color w:val="222629"/>
                <w:sz w:val="18"/>
                <w:szCs w:val="18"/>
              </w:rPr>
              <w:t xml:space="preserve">CNS-R01 – CNS-R04</w:t>
            </w:r>
            <w:r>
              <w:rPr>
                <w:b w:val="false"/>
                <w:bCs w:val="false"/>
                <w:i w:val="false"/>
                <w:iCs w:val="false"/>
                <w:color w:val="222629"/>
                <w:sz w:val="18"/>
                <w:szCs w:val="18"/>
              </w:rPr>
              <w:br/>
              <w:t xml:space="preserve">Volume 2, §2</w:t>
            </w:r>
          </w:p>
        </w:tc>
        <w:tc>
          <w:tcPr>
            <w:tcW w:type="dxa" w:w="443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That every capture stores the statement identifier, its version, the exact text shown to the customer and a cryptographic hash of that text; that published text can never be edited; and that only Compliance may classify a wording change as material or non-material.</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A.3</w:t>
            </w:r>
          </w:p>
        </w:tc>
        <w:tc>
          <w:tcPr>
            <w:tcW w:type="dxa" w:w="221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Version change and journeys in flight</w:t>
            </w:r>
            <w:r>
              <w:rPr>
                <w:b/>
                <w:bCs/>
                <w:i w:val="false"/>
                <w:iCs w:val="false"/>
                <w:color w:val="222629"/>
                <w:sz w:val="18"/>
                <w:szCs w:val="18"/>
              </w:rPr>
              <w:br/>
              <w:t xml:space="preserve"/>
            </w:r>
            <w:r>
              <w:rPr>
                <w:b w:val="false"/>
                <w:bCs w:val="false"/>
                <w:i w:val="false"/>
                <w:iCs w:val="false"/>
                <w:color w:val="222629"/>
                <w:sz w:val="18"/>
                <w:szCs w:val="18"/>
              </w:rPr>
              <w:t xml:space="preserve">CNS-R05 – CNS-R07</w:t>
            </w:r>
            <w:r>
              <w:rPr>
                <w:b w:val="false"/>
                <w:bCs w:val="false"/>
                <w:i w:val="false"/>
                <w:iCs w:val="false"/>
                <w:color w:val="222629"/>
                <w:sz w:val="18"/>
                <w:szCs w:val="18"/>
              </w:rPr>
              <w:br/>
              <w:t xml:space="preserve">Volume 2, §3</w:t>
            </w:r>
          </w:p>
        </w:tc>
        <w:tc>
          <w:tcPr>
            <w:tcW w:type="dxa" w:w="443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That a material change re-prompts only journeys that have not yet passed the point the consent gates, and that journeys past that point continue under the version they captured.</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67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A.4</w:t>
            </w:r>
          </w:p>
        </w:tc>
        <w:tc>
          <w:tcPr>
            <w:tcW w:type="dxa" w:w="221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Language</w:t>
            </w:r>
            <w:r>
              <w:rPr>
                <w:b/>
                <w:bCs/>
                <w:i w:val="false"/>
                <w:iCs w:val="false"/>
                <w:color w:val="222629"/>
                <w:sz w:val="18"/>
                <w:szCs w:val="18"/>
              </w:rPr>
              <w:br/>
              <w:t xml:space="preserve"/>
            </w:r>
            <w:r>
              <w:rPr>
                <w:b w:val="false"/>
                <w:bCs w:val="false"/>
                <w:i w:val="false"/>
                <w:iCs w:val="false"/>
                <w:color w:val="222629"/>
                <w:sz w:val="18"/>
                <w:szCs w:val="18"/>
              </w:rPr>
              <w:t xml:space="preserve">CNS-R08 – CNS-R09</w:t>
            </w:r>
            <w:r>
              <w:rPr>
                <w:b w:val="false"/>
                <w:bCs w:val="false"/>
                <w:i w:val="false"/>
                <w:iCs w:val="false"/>
                <w:color w:val="222629"/>
                <w:sz w:val="18"/>
                <w:szCs w:val="18"/>
              </w:rPr>
              <w:br/>
              <w:t xml:space="preserve">Volume 2, §4</w:t>
            </w:r>
          </w:p>
        </w:tc>
        <w:tc>
          <w:tcPr>
            <w:tcW w:type="dxa" w:w="443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That the language shown is recorded on the record, and that a translated statement is separately Compliance-approved rather than inheriting approval from its source language.</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A.5</w:t>
            </w:r>
          </w:p>
        </w:tc>
        <w:tc>
          <w:tcPr>
            <w:tcW w:type="dxa" w:w="221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Capture mechanism</w:t>
            </w:r>
            <w:r>
              <w:rPr>
                <w:b/>
                <w:bCs/>
                <w:i w:val="false"/>
                <w:iCs w:val="false"/>
                <w:color w:val="222629"/>
                <w:sz w:val="18"/>
                <w:szCs w:val="18"/>
              </w:rPr>
              <w:br/>
              <w:t xml:space="preserve"/>
            </w:r>
            <w:r>
              <w:rPr>
                <w:b w:val="false"/>
                <w:bCs w:val="false"/>
                <w:i w:val="false"/>
                <w:iCs w:val="false"/>
                <w:color w:val="222629"/>
                <w:sz w:val="18"/>
                <w:szCs w:val="18"/>
              </w:rPr>
              <w:t xml:space="preserve">CNS-R10 – CNS-R15</w:t>
            </w:r>
            <w:r>
              <w:rPr>
                <w:b w:val="false"/>
                <w:bCs w:val="false"/>
                <w:i w:val="false"/>
                <w:iCs w:val="false"/>
                <w:color w:val="222629"/>
                <w:sz w:val="18"/>
                <w:szCs w:val="18"/>
              </w:rPr>
              <w:br/>
              <w:t xml:space="preserve">Volume 2, §5</w:t>
            </w:r>
          </w:p>
        </w:tc>
        <w:tc>
          <w:tcPr>
            <w:tcW w:type="dxa" w:w="443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That consent requires a verified one-time password sent to the customer’s bank-registered mobile number; that no acknowledgement control is pre-selected; that staff cannot complete a customer-device confirmation; and the 10-minute validity, 3-attempt and 5-issue limits.</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67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A.6</w:t>
            </w:r>
          </w:p>
        </w:tc>
        <w:tc>
          <w:tcPr>
            <w:tcW w:type="dxa" w:w="221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The evidence record</w:t>
            </w:r>
            <w:r>
              <w:rPr>
                <w:b/>
                <w:bCs/>
                <w:i w:val="false"/>
                <w:iCs w:val="false"/>
                <w:color w:val="222629"/>
                <w:sz w:val="18"/>
                <w:szCs w:val="18"/>
              </w:rPr>
              <w:br/>
              <w:t xml:space="preserve"/>
            </w:r>
            <w:r>
              <w:rPr>
                <w:b w:val="false"/>
                <w:bCs w:val="false"/>
                <w:i w:val="false"/>
                <w:iCs w:val="false"/>
                <w:color w:val="222629"/>
                <w:sz w:val="18"/>
                <w:szCs w:val="18"/>
              </w:rPr>
              <w:t xml:space="preserve">24 fields</w:t>
            </w:r>
            <w:r>
              <w:rPr>
                <w:b w:val="false"/>
                <w:bCs w:val="false"/>
                <w:i w:val="false"/>
                <w:iCs w:val="false"/>
                <w:color w:val="222629"/>
                <w:sz w:val="18"/>
                <w:szCs w:val="18"/>
              </w:rPr>
              <w:br/>
              <w:t xml:space="preserve">Volume 2, §6</w:t>
            </w:r>
          </w:p>
        </w:tc>
        <w:tc>
          <w:tcPr>
            <w:tcW w:type="dxa" w:w="443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That these 24 fields are sufficient to defend a single consent at audit three years after it was given, and that the classification of each field is correct.</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A.7</w:t>
            </w:r>
          </w:p>
        </w:tc>
        <w:tc>
          <w:tcPr>
            <w:tcW w:type="dxa" w:w="221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Immutability</w:t>
            </w:r>
            <w:r>
              <w:rPr>
                <w:b/>
                <w:bCs/>
                <w:i w:val="false"/>
                <w:iCs w:val="false"/>
                <w:color w:val="222629"/>
                <w:sz w:val="18"/>
                <w:szCs w:val="18"/>
              </w:rPr>
              <w:br/>
              <w:t xml:space="preserve"/>
            </w:r>
            <w:r>
              <w:rPr>
                <w:b w:val="false"/>
                <w:bCs w:val="false"/>
                <w:i w:val="false"/>
                <w:iCs w:val="false"/>
                <w:color w:val="222629"/>
                <w:sz w:val="18"/>
                <w:szCs w:val="18"/>
              </w:rPr>
              <w:t xml:space="preserve">CNS-R16 – CNS-R20</w:t>
            </w:r>
            <w:r>
              <w:rPr>
                <w:b w:val="false"/>
                <w:bCs w:val="false"/>
                <w:i w:val="false"/>
                <w:iCs w:val="false"/>
                <w:color w:val="222629"/>
                <w:sz w:val="18"/>
                <w:szCs w:val="18"/>
              </w:rPr>
              <w:br/>
              <w:t xml:space="preserve">Volume 2, §7</w:t>
            </w:r>
          </w:p>
        </w:tc>
        <w:tc>
          <w:tcPr>
            <w:tcW w:type="dxa" w:w="443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That the store is append-only by database privilege; that expiry, withdrawal and supersession are recorded as new records rather than edits; and that no restricted or confidential field appears in system logs.</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67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A.8</w:t>
            </w:r>
          </w:p>
        </w:tc>
        <w:tc>
          <w:tcPr>
            <w:tcW w:type="dxa" w:w="221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Validity, expiry and reuse</w:t>
            </w:r>
            <w:r>
              <w:rPr>
                <w:b/>
                <w:bCs/>
                <w:i w:val="false"/>
                <w:iCs w:val="false"/>
                <w:color w:val="222629"/>
                <w:sz w:val="18"/>
                <w:szCs w:val="18"/>
              </w:rPr>
              <w:br/>
              <w:t xml:space="preserve"/>
            </w:r>
            <w:r>
              <w:rPr>
                <w:b w:val="false"/>
                <w:bCs w:val="false"/>
                <w:i w:val="false"/>
                <w:iCs w:val="false"/>
                <w:color w:val="222629"/>
                <w:sz w:val="18"/>
                <w:szCs w:val="18"/>
              </w:rPr>
              <w:t xml:space="preserve">CNS-R21 – CNS-R26</w:t>
            </w:r>
            <w:r>
              <w:rPr>
                <w:b w:val="false"/>
                <w:bCs w:val="false"/>
                <w:i w:val="false"/>
                <w:iCs w:val="false"/>
                <w:color w:val="222629"/>
                <w:sz w:val="18"/>
                <w:szCs w:val="18"/>
              </w:rPr>
              <w:br/>
              <w:t xml:space="preserve">Volume 2, §8</w:t>
            </w:r>
          </w:p>
        </w:tc>
        <w:tc>
          <w:tcPr>
            <w:tcW w:type="dxa" w:w="443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90-day window for data processing and solicitation, the 30-day insurer-scoped window for sharing, no expiry for servicing communications, and reuse across journeys bounded by customer, event, scope and window.</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A.9</w:t>
            </w:r>
          </w:p>
        </w:tc>
        <w:tc>
          <w:tcPr>
            <w:tcW w:type="dxa" w:w="221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Withdrawal</w:t>
            </w:r>
            <w:r>
              <w:rPr>
                <w:b/>
                <w:bCs/>
                <w:i w:val="false"/>
                <w:iCs w:val="false"/>
                <w:color w:val="222629"/>
                <w:sz w:val="18"/>
                <w:szCs w:val="18"/>
              </w:rPr>
              <w:br/>
              <w:t xml:space="preserve"/>
            </w:r>
            <w:r>
              <w:rPr>
                <w:b w:val="false"/>
                <w:bCs w:val="false"/>
                <w:i w:val="false"/>
                <w:iCs w:val="false"/>
                <w:color w:val="222629"/>
                <w:sz w:val="18"/>
                <w:szCs w:val="18"/>
              </w:rPr>
              <w:t xml:space="preserve">CNS-R27 – CNS-R32</w:t>
            </w:r>
            <w:r>
              <w:rPr>
                <w:b w:val="false"/>
                <w:bCs w:val="false"/>
                <w:i w:val="false"/>
                <w:iCs w:val="false"/>
                <w:color w:val="222629"/>
                <w:sz w:val="18"/>
                <w:szCs w:val="18"/>
              </w:rPr>
              <w:br/>
              <w:t xml:space="preserve">Volume 2, §9</w:t>
            </w:r>
          </w:p>
        </w:tc>
        <w:tc>
          <w:tcPr>
            <w:tcW w:type="dxa" w:w="443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That withdrawal is available at any time on the same verification terms as capture; that withdrawing data-processing or solicitation consent halts the journey; and that withdrawal after a proposal has been sent to an insurer is never presented to the customer as cancelling that submission.</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67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A.10</w:t>
            </w:r>
          </w:p>
        </w:tc>
        <w:tc>
          <w:tcPr>
            <w:tcW w:type="dxa" w:w="221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Retention and retrieval</w:t>
            </w:r>
            <w:r>
              <w:rPr>
                <w:b/>
                <w:bCs/>
                <w:i w:val="false"/>
                <w:iCs w:val="false"/>
                <w:color w:val="222629"/>
                <w:sz w:val="18"/>
                <w:szCs w:val="18"/>
              </w:rPr>
              <w:br/>
              <w:t xml:space="preserve"/>
            </w:r>
            <w:r>
              <w:rPr>
                <w:b w:val="false"/>
                <w:bCs w:val="false"/>
                <w:i w:val="false"/>
                <w:iCs w:val="false"/>
                <w:color w:val="222629"/>
                <w:sz w:val="18"/>
                <w:szCs w:val="18"/>
              </w:rPr>
              <w:t xml:space="preserve">CNS-R33 – CNS-R36</w:t>
            </w:r>
            <w:r>
              <w:rPr>
                <w:b w:val="false"/>
                <w:bCs w:val="false"/>
                <w:i w:val="false"/>
                <w:iCs w:val="false"/>
                <w:color w:val="222629"/>
                <w:sz w:val="18"/>
                <w:szCs w:val="18"/>
              </w:rPr>
              <w:br/>
              <w:t xml:space="preserve">Volume 2, §10</w:t>
            </w:r>
          </w:p>
        </w:tc>
        <w:tc>
          <w:tcPr>
            <w:tcW w:type="dxa" w:w="443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Seven years from the journey’s terminal state, write-once storage in an India region, one record retrievable within 4 business hours and a full journey bundle within 1 business day, and retention that cannot be shortened by a configuration change.</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A.11</w:t>
            </w:r>
          </w:p>
        </w:tc>
        <w:tc>
          <w:tcPr>
            <w:tcW w:type="dxa" w:w="221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Failure behaviour</w:t>
            </w:r>
            <w:r>
              <w:rPr>
                <w:b/>
                <w:bCs/>
                <w:i w:val="false"/>
                <w:iCs w:val="false"/>
                <w:color w:val="222629"/>
                <w:sz w:val="18"/>
                <w:szCs w:val="18"/>
              </w:rPr>
              <w:br/>
              <w:t xml:space="preserve"/>
            </w:r>
            <w:r>
              <w:rPr>
                <w:b w:val="false"/>
                <w:bCs w:val="false"/>
                <w:i w:val="false"/>
                <w:iCs w:val="false"/>
                <w:color w:val="222629"/>
                <w:sz w:val="18"/>
                <w:szCs w:val="18"/>
              </w:rPr>
              <w:t xml:space="preserve">CNS-R37 – CNS-R38</w:t>
            </w:r>
            <w:r>
              <w:rPr>
                <w:b w:val="false"/>
                <w:bCs w:val="false"/>
                <w:i w:val="false"/>
                <w:iCs w:val="false"/>
                <w:color w:val="222629"/>
                <w:sz w:val="18"/>
                <w:szCs w:val="18"/>
              </w:rPr>
              <w:br/>
              <w:t xml:space="preserve">Volume 2, §11</w:t>
            </w:r>
          </w:p>
        </w:tc>
        <w:tc>
          <w:tcPr>
            <w:tcW w:type="dxa" w:w="443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That consent capture fails closed, that a customer-identity mismatch is treated as a security event rather than a business error, and that the plain-language messages shown to staff are appropriate.</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bl>
    <w:p>
      <w:pPr>
        <w:spacing w:after="140"/>
      </w:pPr>
      <w:r>
        <w:t xml:space="preserve"/>
      </w:r>
    </w:p>
    <w:p>
      <w:pPr>
        <w:keepNext/>
        <w:keepLines/>
        <w:pBdr>
          <w:top w:val="single" w:color="F1F5F8" w:sz="2" w:space="8"/>
          <w:left w:val="single" w:color="8A5A00" w:sz="18" w:space="10"/>
          <w:right w:val="single" w:color="F1F5F8" w:sz="2" w:space="10"/>
        </w:pBdr>
        <w:shd w:fill="F1F5F8" w:color="auto" w:val="clear"/>
        <w:spacing w:after="100" w:before="140" w:line="276"/>
        <w:ind w:left="200" w:right="200"/>
      </w:pPr>
      <w:r>
        <w:rPr>
          <w:b/>
          <w:bCs/>
          <w:i w:val="false"/>
          <w:iCs w:val="false"/>
          <w:color w:val="8A5A00"/>
          <w:sz w:val="20"/>
          <w:szCs w:val="20"/>
        </w:rPr>
        <w:t xml:space="preserve">One rule in Schedule A that Product asks you to test hardest</w:t>
      </w:r>
    </w:p>
    <w:p>
      <w:pPr>
        <w:keepNext w:val="false"/>
        <w:keepLines/>
        <w:pBdr>
          <w:bottom w:val="single" w:color="F1F5F8" w:sz="2" w:space="8"/>
          <w:left w:val="single" w:color="8A5A00" w:sz="18" w:space="10"/>
          <w:right w:val="single" w:color="F1F5F8" w:sz="2" w:space="10"/>
        </w:pBdr>
        <w:shd w:fill="F1F5F8" w:color="auto" w:val="clear"/>
        <w:spacing w:after="140" w:before="0" w:line="276"/>
        <w:ind w:left="200" w:right="200"/>
      </w:pPr>
      <w:r>
        <w:rPr>
          <w:b w:val="false"/>
          <w:bCs w:val="false"/>
          <w:i w:val="false"/>
          <w:iCs w:val="false"/>
          <w:color w:val="222629"/>
          <w:sz w:val="20"/>
          <w:szCs w:val="20"/>
        </w:rPr>
        <w:t xml:space="preserve">CNS-R37 settles, for consent specifically, a question the business requirements left open — whether a failure to write an audit record should stop the business action or let it through. The Product position is that consent evidence is the artefact that makes the sale lawful, so a sale that proceeds without it is worse than a sale that fails. If Compliance takes a different view, please say so explicitly. This is not a rule that should be carried by silence.</w:t>
      </w:r>
    </w:p>
    <w:p>
      <w:pPr>
        <w:pStyle w:val="Heading1"/>
        <w:keepNext/>
        <w:keepLines/>
        <w:pageBreakBefore/>
        <w:pBdr>
          <w:bottom w:val="single" w:color="0F6E6E" w:sz="8" w:space="6"/>
        </w:pBdr>
        <w:spacing w:after="160" w:before="0"/>
      </w:pPr>
      <w:r>
        <w:rPr>
          <w:b/>
          <w:bCs/>
          <w:color w:val="11304E"/>
          <w:sz w:val="30"/>
          <w:szCs w:val="30"/>
        </w:rPr>
        <w:t xml:space="preserve">9.  Decision Schedule B — Suitability Rule Pack</w:t>
      </w:r>
    </w:p>
    <w:p>
      <w:pPr>
        <w:spacing w:after="120" w:before="0" w:line="276"/>
        <w:jc w:val="left"/>
      </w:pPr>
      <w:r>
        <w:rPr>
          <w:b w:val="false"/>
          <w:bCs w:val="false"/>
          <w:i w:val="false"/>
          <w:iCs w:val="false"/>
          <w:color w:val="222629"/>
          <w:sz w:val="20"/>
          <w:szCs w:val="20"/>
        </w:rPr>
        <w:t xml:space="preserve">The last line of each subject cell gives the section of Volume 3 where those rules are written out in full. One row is marked separately: row B.2 is the arithmetic, and it is the whole of decision D2b. Every other row is decision D2a, the structure, and can be signed without settling OPEN-SUIT-01.</w:t>
      </w:r>
    </w:p>
    <w:p>
      <w:pPr>
        <w:spacing w:after="80"/>
      </w:pPr>
      <w:r>
        <w:t xml:space="preserve"/>
      </w:r>
    </w:p>
    <w:p>
      <w:pPr>
        <w:keepNext/>
        <w:keepLines/>
        <w:pBdr>
          <w:top w:val="single" w:color="F1F5F8" w:sz="2" w:space="8"/>
          <w:left w:val="single" w:color="8A5A00" w:sz="18" w:space="10"/>
          <w:right w:val="single" w:color="F1F5F8" w:sz="2" w:space="10"/>
        </w:pBdr>
        <w:shd w:fill="F1F5F8" w:color="auto" w:val="clear"/>
        <w:spacing w:after="100" w:before="140" w:line="276"/>
        <w:ind w:left="200" w:right="200"/>
      </w:pPr>
      <w:r>
        <w:rPr>
          <w:b/>
          <w:bCs/>
          <w:i w:val="false"/>
          <w:iCs w:val="false"/>
          <w:color w:val="8A5A00"/>
          <w:sz w:val="20"/>
          <w:szCs w:val="20"/>
        </w:rPr>
        <w:t xml:space="preserve">Reading this schedule against the split decision</w:t>
      </w:r>
    </w:p>
    <w:p>
      <w:pPr>
        <w:keepNext/>
        <w:keepLines/>
        <w:pBdr>
          <w:left w:val="single" w:color="8A5A00" w:sz="18" w:space="10"/>
          <w:right w:val="single" w:color="F1F5F8" w:sz="2" w:space="10"/>
        </w:pBdr>
        <w:shd w:fill="F1F5F8" w:color="auto" w:val="clear"/>
        <w:spacing w:after="100" w:before="0" w:line="276"/>
        <w:ind w:left="200" w:right="200"/>
      </w:pPr>
      <w:r>
        <w:rPr>
          <w:b w:val="false"/>
          <w:bCs w:val="false"/>
          <w:i w:val="false"/>
          <w:iCs w:val="false"/>
          <w:color w:val="222629"/>
          <w:sz w:val="20"/>
          <w:szCs w:val="20"/>
        </w:rPr>
        <w:t xml:space="preserve">D2a — the structure — is rows B.1 and B.3 to B.12. It approves the question set, the record, the gate, invalidation, reuse, the override policy and the disclosures. It is what releases the Suitability Service into construction and lets the gate be built in front of the existing quote path.</w:t>
      </w:r>
    </w:p>
    <w:p>
      <w:pPr>
        <w:keepNext w:val="false"/>
        <w:keepLines/>
        <w:pBdr>
          <w:bottom w:val="single" w:color="F1F5F8" w:sz="2" w:space="8"/>
          <w:left w:val="single" w:color="8A5A00" w:sz="18" w:space="10"/>
          <w:right w:val="single" w:color="F1F5F8" w:sz="2" w:space="10"/>
        </w:pBdr>
        <w:shd w:fill="F1F5F8" w:color="auto" w:val="clear"/>
        <w:spacing w:after="140" w:before="0" w:line="276"/>
        <w:ind w:left="200" w:right="200"/>
      </w:pPr>
      <w:r>
        <w:rPr>
          <w:b w:val="false"/>
          <w:bCs w:val="false"/>
          <w:i w:val="false"/>
          <w:iCs w:val="false"/>
          <w:color w:val="222629"/>
          <w:sz w:val="20"/>
          <w:szCs w:val="20"/>
        </w:rPr>
        <w:t xml:space="preserve">D2b — the algorithm — is row B.2 alone: the income multiples, the age factors and the outcome thresholds. Product does not ask for that row to be signed until OPEN-SUIT-01 is answered with a source. Signing the structure now and the arithmetic later is the recommended path, because it unblocks the gate in front of a quote path that currently has none.</w:t>
      </w:r>
    </w:p>
    <w:p>
      <w:pPr>
        <w:spacing w:after="60"/>
      </w:pPr>
      <w:r>
        <w:t xml:space="preserve"/>
      </w:r>
    </w:p>
    <w:p>
      <w:pPr>
        <w:spacing w:after="60"/>
      </w:pPr>
      <w:r>
        <w:t xml:space="preserve"/>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675"/>
        <w:gridCol w:w="2217"/>
        <w:gridCol w:w="4433"/>
        <w:gridCol w:w="2313"/>
      </w:tblGrid>
      <w:tr>
        <w:trPr>
          <w:cantSplit/>
          <w:tblHeader/>
        </w:trPr>
        <w:tc>
          <w:tcPr>
            <w:tcW w:type="dxa" w:w="675"/>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Ref</w:t>
            </w:r>
          </w:p>
        </w:tc>
        <w:tc>
          <w:tcPr>
            <w:tcW w:type="dxa" w:w="2217"/>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Subject and rules</w:t>
            </w:r>
          </w:p>
        </w:tc>
        <w:tc>
          <w:tcPr>
            <w:tcW w:type="dxa" w:w="443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What approval certifies</w:t>
            </w:r>
          </w:p>
        </w:tc>
        <w:tc>
          <w:tcPr>
            <w:tcW w:type="dxa" w:w="231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Decision</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B.1</w:t>
            </w:r>
          </w:p>
        </w:tc>
        <w:tc>
          <w:tcPr>
            <w:tcW w:type="dxa" w:w="221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The question set</w:t>
            </w:r>
            <w:r>
              <w:rPr>
                <w:b/>
                <w:bCs/>
                <w:i w:val="false"/>
                <w:iCs w:val="false"/>
                <w:color w:val="222629"/>
                <w:sz w:val="18"/>
                <w:szCs w:val="18"/>
              </w:rPr>
              <w:br/>
              <w:t xml:space="preserve"/>
            </w:r>
            <w:r>
              <w:rPr>
                <w:b w:val="false"/>
                <w:bCs w:val="false"/>
                <w:i w:val="false"/>
                <w:iCs w:val="false"/>
                <w:color w:val="222629"/>
                <w:sz w:val="18"/>
                <w:szCs w:val="18"/>
              </w:rPr>
              <w:t xml:space="preserve">12 inputs, SUIT-R01 – SUIT-R04</w:t>
            </w:r>
            <w:r>
              <w:rPr>
                <w:b w:val="false"/>
                <w:bCs w:val="false"/>
                <w:i w:val="false"/>
                <w:iCs w:val="false"/>
                <w:color w:val="222629"/>
                <w:sz w:val="18"/>
                <w:szCs w:val="18"/>
              </w:rPr>
              <w:br/>
              <w:t xml:space="preserve">Volume 3, §2</w:t>
            </w:r>
          </w:p>
        </w:tc>
        <w:tc>
          <w:tcPr>
            <w:tcW w:type="dxa" w:w="443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That four inputs taken from bank records and eight asked of the customer constitute a documented need analysis; that a partial questionnaire produces no assessment at all; and that where a customer’s self-declared figure is lower than the figure the bank already holds, the higher figure is used and the discrepancy recorded.</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67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B.2</w:t>
            </w:r>
          </w:p>
        </w:tc>
        <w:tc>
          <w:tcPr>
            <w:tcW w:type="dxa" w:w="221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The computation</w:t>
            </w:r>
            <w:r>
              <w:rPr>
                <w:b/>
                <w:bCs/>
                <w:i w:val="false"/>
                <w:iCs w:val="false"/>
                <w:color w:val="222629"/>
                <w:sz w:val="18"/>
                <w:szCs w:val="18"/>
              </w:rPr>
              <w:br/>
              <w:t xml:space="preserve"/>
            </w:r>
            <w:r>
              <w:rPr>
                <w:b w:val="false"/>
                <w:bCs w:val="false"/>
                <w:i w:val="false"/>
                <w:iCs w:val="false"/>
                <w:color w:val="222629"/>
                <w:sz w:val="18"/>
                <w:szCs w:val="18"/>
              </w:rPr>
              <w:t xml:space="preserve">SUIT-R05 – SUIT-R08</w:t>
            </w:r>
            <w:r>
              <w:rPr>
                <w:b w:val="false"/>
                <w:bCs w:val="false"/>
                <w:i w:val="false"/>
                <w:iCs w:val="false"/>
                <w:color w:val="222629"/>
                <w:sz w:val="18"/>
                <w:szCs w:val="18"/>
              </w:rPr>
              <w:br/>
              <w:t xml:space="preserve">Volume 3, §3</w:t>
            </w:r>
          </w:p>
        </w:tc>
        <w:tc>
          <w:tcPr>
            <w:tcW w:type="dxa" w:w="443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That the model is arithmetic rather than judgement — 8 income bands, 5 age factors, a stated formula — reproducible by hand by two people to the same answer, with the algorithm version recorded on every assessment and frozen once published.</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B.3</w:t>
            </w:r>
          </w:p>
        </w:tc>
        <w:tc>
          <w:tcPr>
            <w:tcW w:type="dxa" w:w="221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Product-class outcomes</w:t>
            </w:r>
            <w:r>
              <w:rPr>
                <w:b/>
                <w:bCs/>
                <w:i w:val="false"/>
                <w:iCs w:val="false"/>
                <w:color w:val="222629"/>
                <w:sz w:val="18"/>
                <w:szCs w:val="18"/>
              </w:rPr>
              <w:br/>
              <w:t xml:space="preserve"/>
            </w:r>
            <w:r>
              <w:rPr>
                <w:b w:val="false"/>
                <w:bCs w:val="false"/>
                <w:i w:val="false"/>
                <w:iCs w:val="false"/>
                <w:color w:val="222629"/>
                <w:sz w:val="18"/>
                <w:szCs w:val="18"/>
              </w:rPr>
              <w:t xml:space="preserve">SUIT-R09 – SUIT-R19a</w:t>
            </w:r>
            <w:r>
              <w:rPr>
                <w:b w:val="false"/>
                <w:bCs w:val="false"/>
                <w:i w:val="false"/>
                <w:iCs w:val="false"/>
                <w:color w:val="222629"/>
                <w:sz w:val="18"/>
                <w:szCs w:val="18"/>
              </w:rPr>
              <w:br/>
              <w:t xml:space="preserve">Volume 3, §4</w:t>
            </w:r>
          </w:p>
        </w:tc>
        <w:tc>
          <w:tcPr>
            <w:tcW w:type="dxa" w:w="443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four-value outcome vocabulary; that an assessment produces one outcome per product class rather than one overall verdict; that where several rules fire the most restrictive outcome wins; and that every reason that fired is recorded, not only the one that decided.</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67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B.4</w:t>
            </w:r>
          </w:p>
        </w:tc>
        <w:tc>
          <w:tcPr>
            <w:tcW w:type="dxa" w:w="221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The assessment record</w:t>
            </w:r>
            <w:r>
              <w:rPr>
                <w:b/>
                <w:bCs/>
                <w:i w:val="false"/>
                <w:iCs w:val="false"/>
                <w:color w:val="222629"/>
                <w:sz w:val="18"/>
                <w:szCs w:val="18"/>
              </w:rPr>
              <w:br/>
              <w:t xml:space="preserve"/>
            </w:r>
            <w:r>
              <w:rPr>
                <w:b w:val="false"/>
                <w:bCs w:val="false"/>
                <w:i w:val="false"/>
                <w:iCs w:val="false"/>
                <w:color w:val="222629"/>
                <w:sz w:val="18"/>
                <w:szCs w:val="18"/>
              </w:rPr>
              <w:t xml:space="preserve">18 fields, SUIT-R21 – SUIT-R24</w:t>
            </w:r>
            <w:r>
              <w:rPr>
                <w:b w:val="false"/>
                <w:bCs w:val="false"/>
                <w:i w:val="false"/>
                <w:iCs w:val="false"/>
                <w:color w:val="222629"/>
                <w:sz w:val="18"/>
                <w:szCs w:val="18"/>
              </w:rPr>
              <w:br/>
              <w:t xml:space="preserve">Volume 3, §5</w:t>
            </w:r>
          </w:p>
        </w:tc>
        <w:tc>
          <w:tcPr>
            <w:tcW w:type="dxa" w:w="443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That no assessment may exist without a valid solicitation consent; that a human-readable suitability statement is produced and stored unalterably at the time of assessment; and append-only storage and seven-year retention on the same terms as consent.</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B.5</w:t>
            </w:r>
          </w:p>
        </w:tc>
        <w:tc>
          <w:tcPr>
            <w:tcW w:type="dxa" w:w="221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The gate before quote</w:t>
            </w:r>
            <w:r>
              <w:rPr>
                <w:b/>
                <w:bCs/>
                <w:i w:val="false"/>
                <w:iCs w:val="false"/>
                <w:color w:val="222629"/>
                <w:sz w:val="18"/>
                <w:szCs w:val="18"/>
              </w:rPr>
              <w:br/>
              <w:t xml:space="preserve"/>
            </w:r>
            <w:r>
              <w:rPr>
                <w:b w:val="false"/>
                <w:bCs w:val="false"/>
                <w:i w:val="false"/>
                <w:iCs w:val="false"/>
                <w:color w:val="222629"/>
                <w:sz w:val="18"/>
                <w:szCs w:val="18"/>
              </w:rPr>
              <w:t xml:space="preserve">SUIT-R20, SUIT-R25 – SUIT-R28</w:t>
            </w:r>
            <w:r>
              <w:rPr>
                <w:b w:val="false"/>
                <w:bCs w:val="false"/>
                <w:i w:val="false"/>
                <w:iCs w:val="false"/>
                <w:color w:val="222629"/>
                <w:sz w:val="18"/>
                <w:szCs w:val="18"/>
              </w:rPr>
              <w:br/>
              <w:t xml:space="preserve">Volume 3, §1 and §6</w:t>
            </w:r>
          </w:p>
        </w:tc>
        <w:tc>
          <w:tcPr>
            <w:tcW w:type="dxa" w:w="443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That the gate is enforced at the server-side quote interface and not in the screen; that it refuses rather than permits when the assessment service is unavailable; that its code carries complete branch coverage with no waiver; and that all nine refusal cases are correct, including the two added at v1.1 that check the caution and replacement acknowledgements.</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67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B.6</w:t>
            </w:r>
          </w:p>
        </w:tc>
        <w:tc>
          <w:tcPr>
            <w:tcW w:type="dxa" w:w="221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Invalidation and re-assessment</w:t>
            </w:r>
            <w:r>
              <w:rPr>
                <w:b/>
                <w:bCs/>
                <w:i w:val="false"/>
                <w:iCs w:val="false"/>
                <w:color w:val="222629"/>
                <w:sz w:val="18"/>
                <w:szCs w:val="18"/>
              </w:rPr>
              <w:br/>
              <w:t xml:space="preserve"/>
            </w:r>
            <w:r>
              <w:rPr>
                <w:b w:val="false"/>
                <w:bCs w:val="false"/>
                <w:i w:val="false"/>
                <w:iCs w:val="false"/>
                <w:color w:val="222629"/>
                <w:sz w:val="18"/>
                <w:szCs w:val="18"/>
              </w:rPr>
              <w:t xml:space="preserve">SUIT-R29 – SUIT-R34</w:t>
            </w:r>
            <w:r>
              <w:rPr>
                <w:b w:val="false"/>
                <w:bCs w:val="false"/>
                <w:i w:val="false"/>
                <w:iCs w:val="false"/>
                <w:color w:val="222629"/>
                <w:sz w:val="18"/>
                <w:szCs w:val="18"/>
              </w:rPr>
              <w:br/>
              <w:t xml:space="preserve">Volume 3, §7</w:t>
            </w:r>
          </w:p>
        </w:tc>
        <w:tc>
          <w:tcPr>
            <w:tcW w:type="dxa" w:w="443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30-day expiry, invalidation on consent withdrawal or a change of model version, supersession by a newer assessment, and the exception that a proposal already submitted is never retrospectively invalidated.</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B.7</w:t>
            </w:r>
          </w:p>
        </w:tc>
        <w:tc>
          <w:tcPr>
            <w:tcW w:type="dxa" w:w="221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Reuse</w:t>
            </w:r>
            <w:r>
              <w:rPr>
                <w:b/>
                <w:bCs/>
                <w:i w:val="false"/>
                <w:iCs w:val="false"/>
                <w:color w:val="222629"/>
                <w:sz w:val="18"/>
                <w:szCs w:val="18"/>
              </w:rPr>
              <w:br/>
              <w:t xml:space="preserve"/>
            </w:r>
            <w:r>
              <w:rPr>
                <w:b w:val="false"/>
                <w:bCs w:val="false"/>
                <w:i w:val="false"/>
                <w:iCs w:val="false"/>
                <w:color w:val="222629"/>
                <w:sz w:val="18"/>
                <w:szCs w:val="18"/>
              </w:rPr>
              <w:t xml:space="preserve">SUIT-R35 – SUIT-R37</w:t>
            </w:r>
            <w:r>
              <w:rPr>
                <w:b w:val="false"/>
                <w:bCs w:val="false"/>
                <w:i w:val="false"/>
                <w:iCs w:val="false"/>
                <w:color w:val="222629"/>
                <w:sz w:val="18"/>
                <w:szCs w:val="18"/>
              </w:rPr>
              <w:br/>
              <w:t xml:space="preserve">Volume 3, §7</w:t>
            </w:r>
          </w:p>
        </w:tc>
        <w:tc>
          <w:tcPr>
            <w:tcW w:type="dxa" w:w="443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That an active assessment may be reused across journeys for the same customer inside its window, never across customers, and that each reuse is itself recorded.</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67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B.8</w:t>
            </w:r>
          </w:p>
        </w:tc>
        <w:tc>
          <w:tcPr>
            <w:tcW w:type="dxa" w:w="221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No override</w:t>
            </w:r>
            <w:r>
              <w:rPr>
                <w:b/>
                <w:bCs/>
                <w:i w:val="false"/>
                <w:iCs w:val="false"/>
                <w:color w:val="222629"/>
                <w:sz w:val="18"/>
                <w:szCs w:val="18"/>
              </w:rPr>
              <w:br/>
              <w:t xml:space="preserve"/>
            </w:r>
            <w:r>
              <w:rPr>
                <w:b w:val="false"/>
                <w:bCs w:val="false"/>
                <w:i w:val="false"/>
                <w:iCs w:val="false"/>
                <w:color w:val="222629"/>
                <w:sz w:val="18"/>
                <w:szCs w:val="18"/>
              </w:rPr>
              <w:t xml:space="preserve">SUIT-R38 – SUIT-R40</w:t>
            </w:r>
            <w:r>
              <w:rPr>
                <w:b w:val="false"/>
                <w:bCs w:val="false"/>
                <w:i w:val="false"/>
                <w:iCs w:val="false"/>
                <w:color w:val="222629"/>
                <w:sz w:val="18"/>
                <w:szCs w:val="18"/>
              </w:rPr>
              <w:br/>
              <w:t xml:space="preserve">Volume 3, §8</w:t>
            </w:r>
          </w:p>
        </w:tc>
        <w:tc>
          <w:tcPr>
            <w:tcW w:type="dxa" w:w="443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That a NOT_SUITABLE outcome cannot be overridden by any actor at any level in the first release — no override route, no approval workflow, no configuration switch — and that the gate itself cannot be disabled by flag, configuration, environment setting or request header in any environment holding customer data.</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B.9</w:t>
            </w:r>
          </w:p>
        </w:tc>
        <w:tc>
          <w:tcPr>
            <w:tcW w:type="dxa" w:w="221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Caution disclosure</w:t>
            </w:r>
            <w:r>
              <w:rPr>
                <w:b/>
                <w:bCs/>
                <w:i w:val="false"/>
                <w:iCs w:val="false"/>
                <w:color w:val="222629"/>
                <w:sz w:val="18"/>
                <w:szCs w:val="18"/>
              </w:rPr>
              <w:br/>
              <w:t xml:space="preserve"/>
            </w:r>
            <w:r>
              <w:rPr>
                <w:b w:val="false"/>
                <w:bCs w:val="false"/>
                <w:i w:val="false"/>
                <w:iCs w:val="false"/>
                <w:color w:val="222629"/>
                <w:sz w:val="18"/>
                <w:szCs w:val="18"/>
              </w:rPr>
              <w:t xml:space="preserve">SUIT-R41 – SUIT-R43</w:t>
            </w:r>
            <w:r>
              <w:rPr>
                <w:b w:val="false"/>
                <w:bCs w:val="false"/>
                <w:i w:val="false"/>
                <w:iCs w:val="false"/>
                <w:color w:val="222629"/>
                <w:sz w:val="18"/>
                <w:szCs w:val="18"/>
              </w:rPr>
              <w:br/>
              <w:t xml:space="preserve">Volume 3, §9</w:t>
            </w:r>
          </w:p>
        </w:tc>
        <w:tc>
          <w:tcPr>
            <w:tcW w:type="dxa" w:w="443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That a caution outcome permits the quote but obliges a specific, named, plain-language disclosure, acknowledged by the customer on their own device with the same verification as consent.</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67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B.10</w:t>
            </w:r>
          </w:p>
        </w:tc>
        <w:tc>
          <w:tcPr>
            <w:tcW w:type="dxa" w:w="221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Customer-initiated deviation</w:t>
            </w:r>
            <w:r>
              <w:rPr>
                <w:b/>
                <w:bCs/>
                <w:i w:val="false"/>
                <w:iCs w:val="false"/>
                <w:color w:val="222629"/>
                <w:sz w:val="18"/>
                <w:szCs w:val="18"/>
              </w:rPr>
              <w:br/>
              <w:t xml:space="preserve"/>
            </w:r>
            <w:r>
              <w:rPr>
                <w:b w:val="false"/>
                <w:bCs w:val="false"/>
                <w:i w:val="false"/>
                <w:iCs w:val="false"/>
                <w:color w:val="222629"/>
                <w:sz w:val="18"/>
                <w:szCs w:val="18"/>
              </w:rPr>
              <w:t xml:space="preserve">SUIT-R44 – SUIT-R45</w:t>
            </w:r>
            <w:r>
              <w:rPr>
                <w:b w:val="false"/>
                <w:bCs w:val="false"/>
                <w:i w:val="false"/>
                <w:iCs w:val="false"/>
                <w:color w:val="222629"/>
                <w:sz w:val="18"/>
                <w:szCs w:val="18"/>
              </w:rPr>
              <w:br/>
              <w:t xml:space="preserve">Volume 3, §10</w:t>
            </w:r>
          </w:p>
        </w:tc>
        <w:tc>
          <w:tcPr>
            <w:tcW w:type="dxa" w:w="443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That a customer may choose any product whose class outcome permits it, including one the model did not rank first, recorded as a divergence with a stated reason — and that this is a customer choice, not an override of the assessment.</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B.11</w:t>
            </w:r>
          </w:p>
        </w:tc>
        <w:tc>
          <w:tcPr>
            <w:tcW w:type="dxa" w:w="221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Replacement of an existing policy</w:t>
            </w:r>
            <w:r>
              <w:rPr>
                <w:b/>
                <w:bCs/>
                <w:i w:val="false"/>
                <w:iCs w:val="false"/>
                <w:color w:val="222629"/>
                <w:sz w:val="18"/>
                <w:szCs w:val="18"/>
              </w:rPr>
              <w:br/>
              <w:t xml:space="preserve"/>
            </w:r>
            <w:r>
              <w:rPr>
                <w:b w:val="false"/>
                <w:bCs w:val="false"/>
                <w:i w:val="false"/>
                <w:iCs w:val="false"/>
                <w:color w:val="222629"/>
                <w:sz w:val="18"/>
                <w:szCs w:val="18"/>
              </w:rPr>
              <w:t xml:space="preserve">SUIT-R46 – SUIT-R47</w:t>
            </w:r>
            <w:r>
              <w:rPr>
                <w:b w:val="false"/>
                <w:bCs w:val="false"/>
                <w:i w:val="false"/>
                <w:iCs w:val="false"/>
                <w:color w:val="222629"/>
                <w:sz w:val="18"/>
                <w:szCs w:val="18"/>
              </w:rPr>
              <w:br/>
              <w:t xml:space="preserve">Volume 3, §11</w:t>
            </w:r>
          </w:p>
        </w:tc>
        <w:tc>
          <w:tcPr>
            <w:tcW w:type="dxa" w:w="443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That a replacement case requires a disclosure covering lost accrued benefit, fresh waiting and contestability periods and the risk of re-underwriting, acknowledged before any quote, and is flagged for post-sale review.</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67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B.12</w:t>
            </w:r>
          </w:p>
        </w:tc>
        <w:tc>
          <w:tcPr>
            <w:tcW w:type="dxa" w:w="221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The one exception that exists</w:t>
            </w:r>
            <w:r>
              <w:rPr>
                <w:b/>
                <w:bCs/>
                <w:i w:val="false"/>
                <w:iCs w:val="false"/>
                <w:color w:val="222629"/>
                <w:sz w:val="18"/>
                <w:szCs w:val="18"/>
              </w:rPr>
              <w:br/>
              <w:t xml:space="preserve"/>
            </w:r>
            <w:r>
              <w:rPr>
                <w:b w:val="false"/>
                <w:bCs w:val="false"/>
                <w:i w:val="false"/>
                <w:iCs w:val="false"/>
                <w:color w:val="222629"/>
                <w:sz w:val="18"/>
                <w:szCs w:val="18"/>
              </w:rPr>
              <w:t xml:space="preserve">SUIT-R48</w:t>
            </w:r>
            <w:r>
              <w:rPr>
                <w:b w:val="false"/>
                <w:bCs w:val="false"/>
                <w:i w:val="false"/>
                <w:iCs w:val="false"/>
                <w:color w:val="222629"/>
                <w:sz w:val="18"/>
                <w:szCs w:val="18"/>
              </w:rPr>
              <w:br/>
              <w:t xml:space="preserve">Volume 3, §12</w:t>
            </w:r>
          </w:p>
        </w:tc>
        <w:tc>
          <w:tcPr>
            <w:tcW w:type="dxa" w:w="443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That an assessment believed to be wrong is remedied by a defect report against the algorithm version, resolved by publishing a corrected version under change control, and never resolved for one customer in flight.</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bl>
    <w:p>
      <w:pPr>
        <w:spacing w:after="140"/>
      </w:pPr>
      <w:r>
        <w:t xml:space="preserve"/>
      </w:r>
    </w:p>
    <w:p>
      <w:pPr>
        <w:keepNext/>
        <w:keepLines/>
        <w:pBdr>
          <w:top w:val="single" w:color="F1F5F8" w:sz="2" w:space="8"/>
          <w:left w:val="single" w:color="9B2226" w:sz="18" w:space="10"/>
          <w:right w:val="single" w:color="F1F5F8" w:sz="2" w:space="10"/>
        </w:pBdr>
        <w:shd w:fill="F1F5F8" w:color="auto" w:val="clear"/>
        <w:spacing w:after="100" w:before="140" w:line="276"/>
        <w:ind w:left="200" w:right="200"/>
      </w:pPr>
      <w:r>
        <w:rPr>
          <w:b/>
          <w:bCs/>
          <w:i w:val="false"/>
          <w:iCs w:val="false"/>
          <w:color w:val="9B2226"/>
          <w:sz w:val="20"/>
          <w:szCs w:val="20"/>
        </w:rPr>
        <w:t xml:space="preserve">The rule Product will defend most strongly</w:t>
      </w:r>
    </w:p>
    <w:p>
      <w:pPr>
        <w:keepNext w:val="false"/>
        <w:keepLines/>
        <w:pBdr>
          <w:bottom w:val="single" w:color="F1F5F8" w:sz="2" w:space="8"/>
          <w:left w:val="single" w:color="9B2226" w:sz="18" w:space="10"/>
          <w:right w:val="single" w:color="F1F5F8" w:sz="2" w:space="10"/>
        </w:pBdr>
        <w:shd w:fill="F1F5F8" w:color="auto" w:val="clear"/>
        <w:spacing w:after="140" w:before="0" w:line="276"/>
        <w:ind w:left="200" w:right="200"/>
      </w:pPr>
      <w:r>
        <w:rPr>
          <w:b w:val="false"/>
          <w:bCs w:val="false"/>
          <w:i w:val="false"/>
          <w:iCs w:val="false"/>
          <w:color w:val="222629"/>
          <w:sz w:val="20"/>
          <w:szCs w:val="20"/>
        </w:rPr>
        <w:t xml:space="preserve">SUIT-R38 — no override of a NOT_SUITABLE outcome in the first release. A bank that makes overriding easy has an advisory process with a bypass button, and per-case exceptions to a suitability model are indistinguishable, at audit, from mis-selling: a model that is wrong for one customer is wrong for a population, and the remedy has to operate on the population. If Compliance and the executive sponsor want a senior-authorisation path, the Product position is that it belongs in a later release with its own control design and its own evidence obligation, not as an amendment to this pack. The question is logged as OPEN-SUIT-02.</w:t>
      </w:r>
    </w:p>
    <w:p>
      <w:pPr>
        <w:pStyle w:val="Heading1"/>
        <w:keepNext/>
        <w:keepLines/>
        <w:pageBreakBefore/>
        <w:pBdr>
          <w:bottom w:val="single" w:color="0F6E6E" w:sz="8" w:space="6"/>
        </w:pBdr>
        <w:spacing w:after="160" w:before="0"/>
      </w:pPr>
      <w:r>
        <w:rPr>
          <w:b/>
          <w:bCs/>
          <w:color w:val="11304E"/>
          <w:sz w:val="30"/>
          <w:szCs w:val="30"/>
        </w:rPr>
        <w:t xml:space="preserve">10.  Open items requiring a Compliance determination</w:t>
      </w:r>
    </w:p>
    <w:p>
      <w:pPr>
        <w:spacing w:after="120" w:before="0" w:line="276"/>
        <w:jc w:val="left"/>
      </w:pPr>
      <w:r>
        <w:rPr>
          <w:b w:val="false"/>
          <w:bCs w:val="false"/>
          <w:i w:val="false"/>
          <w:iCs w:val="false"/>
          <w:color w:val="222629"/>
          <w:sz w:val="20"/>
          <w:szCs w:val="20"/>
        </w:rPr>
        <w:t xml:space="preserve">Items where the answer belongs to Compliance and not to Product. For each, the position Product would take is stated, so that Compliance is amending a proposal rather than starting from a blank page.</w:t>
      </w:r>
    </w:p>
    <w:p>
      <w:pPr>
        <w:spacing w:after="80"/>
      </w:pPr>
      <w:r>
        <w:t xml:space="preserve"/>
      </w:r>
    </w:p>
    <w:p>
      <w:pPr>
        <w:keepNext/>
        <w:keepLines/>
        <w:pBdr>
          <w:top w:val="single" w:color="F1F5F8" w:sz="2" w:space="8"/>
          <w:left w:val="single" w:color="9B2226" w:sz="18" w:space="10"/>
          <w:right w:val="single" w:color="F1F5F8" w:sz="2" w:space="10"/>
        </w:pBdr>
        <w:shd w:fill="F1F5F8" w:color="auto" w:val="clear"/>
        <w:spacing w:after="100" w:before="140" w:line="276"/>
        <w:ind w:left="200" w:right="200"/>
      </w:pPr>
      <w:r>
        <w:rPr>
          <w:b/>
          <w:bCs/>
          <w:i w:val="false"/>
          <w:iCs w:val="false"/>
          <w:color w:val="9B2226"/>
          <w:sz w:val="20"/>
          <w:szCs w:val="20"/>
        </w:rPr>
        <w:t xml:space="preserve">An earlier draft said none of these blocks approval. That was wrong for two of them</w:t>
      </w:r>
    </w:p>
    <w:p>
      <w:pPr>
        <w:keepNext w:val="false"/>
        <w:keepLines/>
        <w:pBdr>
          <w:bottom w:val="single" w:color="F1F5F8" w:sz="2" w:space="8"/>
          <w:left w:val="single" w:color="9B2226" w:sz="18" w:space="10"/>
          <w:right w:val="single" w:color="F1F5F8" w:sz="2" w:space="10"/>
        </w:pBdr>
        <w:shd w:fill="F1F5F8" w:color="auto" w:val="clear"/>
        <w:spacing w:after="140" w:before="0" w:line="276"/>
        <w:ind w:left="200" w:right="200"/>
      </w:pPr>
      <w:r>
        <w:rPr>
          <w:b w:val="false"/>
          <w:bCs w:val="false"/>
          <w:i w:val="false"/>
          <w:iCs w:val="false"/>
          <w:color w:val="222629"/>
          <w:sz w:val="20"/>
          <w:szCs w:val="20"/>
        </w:rPr>
        <w:t xml:space="preserve">The test is not whether an item is inconvenient — it is whether the answer could change a control rather than only its wording. Applied honestly, two items fail that test. OPEN-SUIT-01 asks whether this model discharges the suitability obligation at all, which is the entirety of decision D2b. OPEN-CNS-06 asks whether a panel-scoped consent is permissible, and the answer decides whether six proposed rules exist. Both are marked blocking below. Everything else is a window, a wording or a sequencing question over a structure that does not change with the answer, and those genuinely do not block.</w:t>
      </w:r>
    </w:p>
    <w:p>
      <w:pPr>
        <w:spacing w:after="120"/>
      </w:pPr>
      <w:r>
        <w:t xml:space="preserve"/>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157"/>
        <w:gridCol w:w="2602"/>
        <w:gridCol w:w="3759"/>
        <w:gridCol w:w="2120"/>
      </w:tblGrid>
      <w:tr>
        <w:trPr>
          <w:cantSplit/>
          <w:tblHeader/>
        </w:trPr>
        <w:tc>
          <w:tcPr>
            <w:tcW w:type="dxa" w:w="1157"/>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Ref</w:t>
            </w:r>
          </w:p>
        </w:tc>
        <w:tc>
          <w:tcPr>
            <w:tcW w:type="dxa" w:w="260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Question</w:t>
            </w:r>
          </w:p>
        </w:tc>
        <w:tc>
          <w:tcPr>
            <w:tcW w:type="dxa" w:w="3759"/>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Product’s recommended position</w:t>
            </w:r>
          </w:p>
        </w:tc>
        <w:tc>
          <w:tcPr>
            <w:tcW w:type="dxa" w:w="212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Blocks approval?</w:t>
            </w:r>
          </w:p>
        </w:tc>
      </w:tr>
      <w:tr>
        <w:trPr>
          <w:cantSplit/>
        </w:trPr>
        <w:tc>
          <w:tcPr>
            <w:tcW w:type="dxa" w:w="115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OPEN-CNS-01</w:t>
            </w:r>
          </w:p>
        </w:tc>
        <w:tc>
          <w:tcPr>
            <w:tcW w:type="dxa" w:w="260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May data-processing consent and solicitation consent share a single acknowledgement action, or must each have its own affirmative act?</w:t>
            </w:r>
          </w:p>
        </w:tc>
        <w:tc>
          <w:tcPr>
            <w:tcW w:type="dxa" w:w="375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One acknowledgement action, three separately-recorded consents with three statement identifiers. If separation is required, the change is confined to the screen — the record structure already keeps them apart.</w:t>
            </w:r>
          </w:p>
        </w:tc>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No — the answer changes a screen, not a rule.</w:t>
            </w:r>
          </w:p>
        </w:tc>
      </w:tr>
      <w:tr>
        <w:trPr>
          <w:cantSplit/>
        </w:trPr>
        <w:tc>
          <w:tcPr>
            <w:tcW w:type="dxa" w:w="115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OPEN-CNS-02</w:t>
            </w:r>
          </w:p>
        </w:tc>
        <w:tc>
          <w:tcPr>
            <w:tcW w:type="dxa" w:w="260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approved legal wording for each consent statement.</w:t>
            </w:r>
          </w:p>
        </w:tc>
        <w:tc>
          <w:tcPr>
            <w:tcW w:type="dxa" w:w="3759"/>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Compliance-authored. The pack defines structure, fields, identity and versioning; Product does not draft the legal text and has not attempted to.</w:t>
            </w:r>
          </w:p>
        </w:tc>
        <w:tc>
          <w:tcPr>
            <w:tcW w:type="dxa" w:w="212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No for the schedules. Blocks the customer-facing wording, and therefore screen design.</w:t>
            </w:r>
          </w:p>
        </w:tc>
      </w:tr>
      <w:tr>
        <w:trPr>
          <w:cantSplit/>
        </w:trPr>
        <w:tc>
          <w:tcPr>
            <w:tcW w:type="dxa" w:w="115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OPEN-CNS-03</w:t>
            </w:r>
          </w:p>
        </w:tc>
        <w:tc>
          <w:tcPr>
            <w:tcW w:type="dxa" w:w="260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Are the 90-day and 30-day validity windows acceptable, or must they be shorter?</w:t>
            </w:r>
          </w:p>
        </w:tc>
        <w:tc>
          <w:tcPr>
            <w:tcW w:type="dxa" w:w="375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Retain 90 and 30 days. Shorter windows increase how often a customer is re-prompted for identical permission, which teaches customers that consent is noise — the outcome the obligation exists to prevent.</w:t>
            </w:r>
          </w:p>
        </w:tc>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No — a parameter value, changeable without changing a rule.</w:t>
            </w:r>
          </w:p>
        </w:tc>
      </w:tr>
      <w:tr>
        <w:trPr>
          <w:cantSplit/>
        </w:trPr>
        <w:tc>
          <w:tcPr>
            <w:tcW w:type="dxa" w:w="115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OPEN-CNS-04</w:t>
            </w:r>
          </w:p>
        </w:tc>
        <w:tc>
          <w:tcPr>
            <w:tcW w:type="dxa" w:w="260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Does a withdrawal after the policy is issued create an obligation on the bank towards the insurer?</w:t>
            </w:r>
          </w:p>
        </w:tc>
        <w:tc>
          <w:tcPr>
            <w:tcW w:type="dxa" w:w="3759"/>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Treat it as an operational obligation until determined: record the withdrawal, stop further sharing, raise a task, and contact the insurer through a person.</w:t>
            </w:r>
          </w:p>
        </w:tc>
        <w:tc>
          <w:tcPr>
            <w:tcW w:type="dxa" w:w="212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No — the behaviour is defined either way; the answer adds an insurer-side step.</w:t>
            </w:r>
          </w:p>
        </w:tc>
      </w:tr>
      <w:tr>
        <w:trPr>
          <w:cantSplit/>
        </w:trPr>
        <w:tc>
          <w:tcPr>
            <w:tcW w:type="dxa" w:w="115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OPEN-CNS-05</w:t>
            </w:r>
          </w:p>
        </w:tc>
        <w:tc>
          <w:tcPr>
            <w:tcW w:type="dxa" w:w="260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Interoperability with a statutory consent manager, if one is notified before go-live.</w:t>
            </w:r>
          </w:p>
        </w:tc>
        <w:tc>
          <w:tcPr>
            <w:tcW w:type="dxa" w:w="375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Design the evidence record so that it can be exported in full; do not build an integration against a specification that has not been notified.</w:t>
            </w:r>
          </w:p>
        </w:tc>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No.</w:t>
            </w:r>
          </w:p>
        </w:tc>
      </w:tr>
      <w:tr>
        <w:trPr>
          <w:cantSplit/>
        </w:trPr>
        <w:tc>
          <w:tcPr>
            <w:tcW w:type="dxa" w:w="115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OPEN-CNS-06</w:t>
            </w:r>
          </w:p>
        </w:tc>
        <w:tc>
          <w:tcPr>
            <w:tcW w:type="dxa" w:w="2602"/>
            <w:shd w:fill="F1F5F8" w:color="auto" w:val="clear"/>
            <w:tcMar>
              <w:top w:type="dxa" w:w="90"/>
              <w:left w:type="dxa" w:w="130"/>
              <w:bottom w:type="dxa" w:w="90"/>
              <w:right w:type="dxa" w:w="130"/>
            </w:tcMar>
            <w:vAlign w:val="top"/>
          </w:tcPr>
          <w:p>
            <w:pPr>
              <w:spacing w:after="40" w:before="40" w:line="252"/>
              <w:jc w:val="left"/>
            </w:pPr>
            <w:r>
              <w:rPr>
                <w:b/>
                <w:bCs/>
                <w:i w:val="false"/>
                <w:iCs w:val="false"/>
                <w:color w:val="9B2226"/>
                <w:sz w:val="18"/>
                <w:szCs w:val="18"/>
              </w:rPr>
              <w:t xml:space="preserve">Raised in this document.</w:t>
            </w:r>
            <w:r>
              <w:rPr>
                <w:b w:val="false"/>
                <w:bCs w:val="false"/>
                <w:i w:val="false"/>
                <w:iCs w:val="false"/>
                <w:color w:val="222629"/>
                <w:sz w:val="18"/>
                <w:szCs w:val="18"/>
              </w:rPr>
              <w:t xml:space="preserve"> May insurer-sharing consent be captured up front as a panel-scoped consent naming every insurer on the approved panel, with the customer’s later product selection binding it to one of them? See §11.</w:t>
            </w:r>
          </w:p>
        </w:tc>
        <w:tc>
          <w:tcPr>
            <w:tcW w:type="dxa" w:w="3759"/>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Yes, subject to the controls proposed in §11.5.</w:t>
            </w:r>
            <w:r>
              <w:rPr>
                <w:b w:val="false"/>
                <w:bCs w:val="false"/>
                <w:i w:val="false"/>
                <w:iCs w:val="false"/>
                <w:color w:val="222629"/>
                <w:sz w:val="18"/>
                <w:szCs w:val="18"/>
              </w:rPr>
              <w:t xml:space="preserve"> This is the single change that would let the customer give consent once rather than twice.</w:t>
            </w:r>
          </w:p>
        </w:tc>
        <w:tc>
          <w:tcPr>
            <w:tcW w:type="dxa" w:w="2120"/>
            <w:shd w:fill="F1F5F8" w:color="auto" w:val="clear"/>
            <w:tcMar>
              <w:top w:type="dxa" w:w="90"/>
              <w:left w:type="dxa" w:w="130"/>
              <w:bottom w:type="dxa" w:w="90"/>
              <w:right w:type="dxa" w:w="130"/>
            </w:tcMar>
            <w:vAlign w:val="top"/>
          </w:tcPr>
          <w:p>
            <w:pPr>
              <w:spacing w:after="40" w:before="40" w:line="252"/>
              <w:jc w:val="left"/>
            </w:pPr>
            <w:r>
              <w:rPr>
                <w:b/>
                <w:bCs/>
                <w:i w:val="false"/>
                <w:iCs w:val="false"/>
                <w:color w:val="9B2226"/>
                <w:sz w:val="18"/>
                <w:szCs w:val="18"/>
              </w:rPr>
              <w:t xml:space="preserve">Yes — blocking.</w:t>
            </w:r>
            <w:r>
              <w:rPr>
                <w:b w:val="false"/>
                <w:bCs w:val="false"/>
                <w:i w:val="false"/>
                <w:iCs w:val="false"/>
                <w:color w:val="222629"/>
                <w:sz w:val="18"/>
                <w:szCs w:val="18"/>
              </w:rPr>
              <w:t xml:space="preserve"> The answer decides whether six proposed rules exist at all.</w:t>
            </w:r>
          </w:p>
        </w:tc>
      </w:tr>
      <w:tr>
        <w:trPr>
          <w:cantSplit/>
        </w:trPr>
        <w:tc>
          <w:tcPr>
            <w:tcW w:type="dxa" w:w="115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OPEN-CNS-07</w:t>
            </w:r>
          </w:p>
        </w:tc>
        <w:tc>
          <w:tcPr>
            <w:tcW w:type="dxa" w:w="2602"/>
            <w:tcMar>
              <w:top w:type="dxa" w:w="90"/>
              <w:left w:type="dxa" w:w="130"/>
              <w:bottom w:type="dxa" w:w="90"/>
              <w:right w:type="dxa" w:w="130"/>
            </w:tcMar>
            <w:vAlign w:val="top"/>
          </w:tcPr>
          <w:p>
            <w:pPr>
              <w:spacing w:after="40" w:before="40" w:line="252"/>
              <w:jc w:val="left"/>
            </w:pPr>
            <w:r>
              <w:rPr>
                <w:b/>
                <w:bCs/>
                <w:i w:val="false"/>
                <w:iCs w:val="false"/>
                <w:color w:val="9B2226"/>
                <w:sz w:val="18"/>
                <w:szCs w:val="18"/>
              </w:rPr>
              <w:t xml:space="preserve">Raised in this document.</w:t>
            </w:r>
            <w:r>
              <w:rPr>
                <w:b w:val="false"/>
                <w:bCs w:val="false"/>
                <w:i w:val="false"/>
                <w:iCs w:val="false"/>
                <w:color w:val="222629"/>
                <w:sz w:val="18"/>
                <w:szCs w:val="18"/>
              </w:rPr>
              <w:t xml:space="preserve"> Where several statements are presented in one interaction, must each be separately declinable?</w:t>
            </w:r>
          </w:p>
        </w:tc>
        <w:tc>
          <w:tcPr>
            <w:tcW w:type="dxa" w:w="375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Yes — and Product proposes to make it a rule, CNS-R12a in §11.5. It is the control that distinguishes a consolidated interaction from a bundled consent.</w:t>
            </w:r>
          </w:p>
        </w:tc>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Not for D1, but the §11.6 fallback depends on it, so please rule on it either way.</w:t>
            </w:r>
          </w:p>
        </w:tc>
      </w:tr>
      <w:tr>
        <w:trPr>
          <w:cantSplit/>
        </w:trPr>
        <w:tc>
          <w:tcPr>
            <w:tcW w:type="dxa" w:w="115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OPEN-SUIT-01</w:t>
            </w:r>
          </w:p>
        </w:tc>
        <w:tc>
          <w:tcPr>
            <w:tcW w:type="dxa" w:w="260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Does the income-multiple and age-factor model discharge the suitability obligation, or does a prescribed model apply?</w:t>
            </w:r>
          </w:p>
        </w:tc>
        <w:tc>
          <w:tcPr>
            <w:tcW w:type="dxa" w:w="3759"/>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Adopt the model as drafted, or direct a prescribed one. Product’s earlier claim that this does not block was wrong: it is precisely the permissibility question behind the algorithm.</w:t>
            </w:r>
          </w:p>
        </w:tc>
        <w:tc>
          <w:tcPr>
            <w:tcW w:type="dxa" w:w="2120"/>
            <w:shd w:fill="F1F5F8" w:color="auto" w:val="clear"/>
            <w:tcMar>
              <w:top w:type="dxa" w:w="90"/>
              <w:left w:type="dxa" w:w="130"/>
              <w:bottom w:type="dxa" w:w="90"/>
              <w:right w:type="dxa" w:w="130"/>
            </w:tcMar>
            <w:vAlign w:val="top"/>
          </w:tcPr>
          <w:p>
            <w:pPr>
              <w:spacing w:after="40" w:before="40" w:line="252"/>
              <w:jc w:val="left"/>
            </w:pPr>
            <w:r>
              <w:rPr>
                <w:b/>
                <w:bCs/>
                <w:i w:val="false"/>
                <w:iCs w:val="false"/>
                <w:color w:val="9B2226"/>
                <w:sz w:val="18"/>
                <w:szCs w:val="18"/>
              </w:rPr>
              <w:t xml:space="preserve">Yes — this is decision D2b.</w:t>
            </w:r>
            <w:r>
              <w:rPr>
                <w:b w:val="false"/>
                <w:bCs w:val="false"/>
                <w:i w:val="false"/>
                <w:iCs w:val="false"/>
                <w:color w:val="222629"/>
                <w:sz w:val="18"/>
                <w:szCs w:val="18"/>
              </w:rPr>
              <w:t xml:space="preserve"> The structural half, D2a, is unaffected and can be signed now.</w:t>
            </w:r>
          </w:p>
        </w:tc>
      </w:tr>
      <w:tr>
        <w:trPr>
          <w:cantSplit/>
        </w:trPr>
        <w:tc>
          <w:tcPr>
            <w:tcW w:type="dxa" w:w="115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OPEN-SUIT-02</w:t>
            </w:r>
          </w:p>
        </w:tc>
        <w:tc>
          <w:tcPr>
            <w:tcW w:type="dxa" w:w="260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May a NOT_SUITABLE outcome ever be overridden with senior authorisation in a later release?</w:t>
            </w:r>
          </w:p>
        </w:tc>
        <w:tc>
          <w:tcPr>
            <w:tcW w:type="dxa" w:w="375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Never in the first release. Revisit later only with a designed control, a named authority, and its own evidence obligation.</w:t>
            </w:r>
          </w:p>
        </w:tc>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No — it concerns a later release.</w:t>
            </w:r>
          </w:p>
        </w:tc>
      </w:tr>
      <w:tr>
        <w:trPr>
          <w:cantSplit/>
        </w:trPr>
        <w:tc>
          <w:tcPr>
            <w:tcW w:type="dxa" w:w="115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OPEN-SUIT-04</w:t>
            </w:r>
          </w:p>
        </w:tc>
        <w:tc>
          <w:tcPr>
            <w:tcW w:type="dxa" w:w="260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Is the 30-day assessment validity window acceptable?</w:t>
            </w:r>
          </w:p>
        </w:tc>
        <w:tc>
          <w:tcPr>
            <w:tcW w:type="dxa" w:w="3759"/>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Retain 30 days. It is deliberately shorter than the consent window, because advice ages faster than permission.</w:t>
            </w:r>
          </w:p>
        </w:tc>
        <w:tc>
          <w:tcPr>
            <w:tcW w:type="dxa" w:w="212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No — a parameter value.</w:t>
            </w:r>
          </w:p>
        </w:tc>
      </w:tr>
    </w:tbl>
    <w:p>
      <w:pPr>
        <w:spacing w:after="120"/>
      </w:pPr>
      <w:r>
        <w:t xml:space="preserve"/>
      </w:r>
    </w:p>
    <w:p>
      <w:pPr>
        <w:spacing w:after="120" w:before="0" w:line="276"/>
        <w:jc w:val="left"/>
      </w:pPr>
      <w:r>
        <w:rPr>
          <w:b w:val="false"/>
          <w:bCs w:val="false"/>
          <w:i/>
          <w:iCs/>
          <w:color w:val="5A6570"/>
          <w:sz w:val="19"/>
          <w:szCs w:val="19"/>
        </w:rPr>
        <w:t xml:space="preserve">Two further items are open and do not require a determination in this sitting: the approved wording of the caution and replacement disclosures (OPEN-SUIT-03, with Legal), and whether any insurer on the panel imposes suitability requirements exceeding this model (OPEN-SUIT-05, with Bancassurance).</w:t>
      </w:r>
    </w:p>
    <w:p>
      <w:pPr>
        <w:pStyle w:val="Heading1"/>
        <w:keepNext/>
        <w:keepLines/>
        <w:pageBreakBefore/>
        <w:pBdr>
          <w:bottom w:val="single" w:color="0F6E6E" w:sz="8" w:space="6"/>
        </w:pBdr>
        <w:spacing w:after="160" w:before="0"/>
      </w:pPr>
      <w:r>
        <w:rPr>
          <w:b/>
          <w:bCs/>
          <w:color w:val="11304E"/>
          <w:sz w:val="30"/>
          <w:szCs w:val="30"/>
        </w:rPr>
        <w:t xml:space="preserve">11.  Product proposal — consolidating consent into a single up-front ceremony</w:t>
      </w:r>
    </w:p>
    <w:p>
      <w:pPr>
        <w:spacing w:after="120" w:before="0" w:line="276"/>
        <w:jc w:val="left"/>
      </w:pPr>
      <w:r>
        <w:rPr>
          <w:b w:val="false"/>
          <w:bCs w:val="false"/>
          <w:i w:val="false"/>
          <w:iCs w:val="false"/>
          <w:color w:val="222629"/>
          <w:sz w:val="20"/>
          <w:szCs w:val="20"/>
        </w:rPr>
        <w:t xml:space="preserve">This section is a proposal, not a settled decision. It is included because it changes what Compliance is approving, and it would be wrong to ask for approval of the sequence in the packs without saying that Product intends to change it.</w:t>
      </w:r>
    </w:p>
    <w:p>
      <w:pPr>
        <w:pStyle w:val="Heading2"/>
        <w:keepNext/>
        <w:keepLines/>
        <w:spacing w:after="120" w:before="300"/>
      </w:pPr>
      <w:r>
        <w:rPr>
          <w:b/>
          <w:bCs/>
          <w:color w:val="11304E"/>
          <w:sz w:val="24"/>
          <w:szCs w:val="24"/>
        </w:rPr>
        <w:t xml:space="preserve">11.1  The problem, stated plainly</w:t>
      </w:r>
    </w:p>
    <w:p>
      <w:pPr>
        <w:spacing w:after="120" w:before="0" w:line="276"/>
        <w:jc w:val="left"/>
      </w:pPr>
      <w:r>
        <w:rPr>
          <w:b w:val="false"/>
          <w:bCs w:val="false"/>
          <w:i w:val="false"/>
          <w:iCs w:val="false"/>
          <w:color w:val="222629"/>
          <w:sz w:val="20"/>
          <w:szCs w:val="20"/>
        </w:rPr>
        <w:t xml:space="preserve">Consent as currently specified is correct and scattered. Each individual placement is defensible; the sum of them is not a conversation a relationship manager can hold in a branch. In the worst case the customer is interrupted four separate times for a consent or a disclosure, each one stopping the meeting while a code travels to their phone and back.</w:t>
      </w:r>
    </w:p>
    <w:p>
      <w:pPr>
        <w:spacing w:after="60"/>
      </w:pPr>
      <w:r>
        <w:t xml:space="preserve"/>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482"/>
        <w:gridCol w:w="2313"/>
        <w:gridCol w:w="3470"/>
        <w:gridCol w:w="1542"/>
        <w:gridCol w:w="1831"/>
      </w:tblGrid>
      <w:tr>
        <w:trPr>
          <w:cantSplit/>
          <w:tblHeader/>
        </w:trPr>
        <w:tc>
          <w:tcPr>
            <w:tcW w:type="dxa" w:w="48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t>
            </w:r>
          </w:p>
        </w:tc>
        <w:tc>
          <w:tcPr>
            <w:tcW w:type="dxa" w:w="231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Interaction</w:t>
            </w:r>
          </w:p>
        </w:tc>
        <w:tc>
          <w:tcPr>
            <w:tcW w:type="dxa" w:w="347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Where it falls in the specified journey</w:t>
            </w:r>
          </w:p>
        </w:tc>
        <w:tc>
          <w:tcPr>
            <w:tcW w:type="dxa" w:w="154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Always?</w:t>
            </w:r>
          </w:p>
        </w:tc>
        <w:tc>
          <w:tcPr>
            <w:tcW w:type="dxa" w:w="183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Customer-device code</w:t>
            </w:r>
          </w:p>
        </w:tc>
      </w:tr>
      <w:tr>
        <w:trPr>
          <w:cantSplit/>
        </w:trPr>
        <w:tc>
          <w:tcPr>
            <w:tcW w:type="dxa" w:w="48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Data processing, solicitation and servicing communications</w:t>
            </w:r>
          </w:p>
        </w:tc>
        <w:tc>
          <w:tcPr>
            <w:tcW w:type="dxa" w:w="347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Before any bank record is read and before the questionnaire is presented</w:t>
            </w:r>
          </w:p>
        </w:tc>
        <w:tc>
          <w:tcPr>
            <w:tcW w:type="dxa" w:w="154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Always</w:t>
            </w:r>
          </w:p>
        </w:tc>
        <w:tc>
          <w:tcPr>
            <w:tcW w:type="dxa" w:w="183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Yes — 1</w:t>
            </w:r>
          </w:p>
        </w:tc>
      </w:tr>
      <w:tr>
        <w:trPr>
          <w:cantSplit/>
        </w:trPr>
        <w:tc>
          <w:tcPr>
            <w:tcW w:type="dxa" w:w="48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2</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Caution disclosure</w:t>
            </w:r>
          </w:p>
        </w:tc>
        <w:tc>
          <w:tcPr>
            <w:tcW w:type="dxa" w:w="347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After the assessment and before quote, whenever any product class returns a caution outcome</w:t>
            </w:r>
          </w:p>
        </w:tc>
        <w:tc>
          <w:tcPr>
            <w:tcW w:type="dxa" w:w="154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Conditional</w:t>
            </w:r>
          </w:p>
        </w:tc>
        <w:tc>
          <w:tcPr>
            <w:tcW w:type="dxa" w:w="183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Yes — 1</w:t>
            </w:r>
          </w:p>
        </w:tc>
      </w:tr>
      <w:tr>
        <w:trPr>
          <w:cantSplit/>
        </w:trPr>
        <w:tc>
          <w:tcPr>
            <w:tcW w:type="dxa" w:w="48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3</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Replacement disclosure</w:t>
            </w:r>
          </w:p>
        </w:tc>
        <w:tc>
          <w:tcPr>
            <w:tcW w:type="dxa" w:w="347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Before quote, whenever the customer is replacing an existing policy</w:t>
            </w:r>
          </w:p>
        </w:tc>
        <w:tc>
          <w:tcPr>
            <w:tcW w:type="dxa" w:w="154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Conditional</w:t>
            </w:r>
          </w:p>
        </w:tc>
        <w:tc>
          <w:tcPr>
            <w:tcW w:type="dxa" w:w="183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Yes — 1</w:t>
            </w:r>
          </w:p>
        </w:tc>
      </w:tr>
      <w:tr>
        <w:trPr>
          <w:cantSplit/>
        </w:trPr>
        <w:tc>
          <w:tcPr>
            <w:tcW w:type="dxa" w:w="48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4</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Insurer sharing consent</w:t>
            </w:r>
          </w:p>
        </w:tc>
        <w:tc>
          <w:tcPr>
            <w:tcW w:type="dxa" w:w="347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At proposal, once the insurer is known</w:t>
            </w:r>
          </w:p>
        </w:tc>
        <w:tc>
          <w:tcPr>
            <w:tcW w:type="dxa" w:w="154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Always</w:t>
            </w:r>
          </w:p>
        </w:tc>
        <w:tc>
          <w:tcPr>
            <w:tcW w:type="dxa" w:w="183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Yes — 1</w:t>
            </w:r>
          </w:p>
        </w:tc>
      </w:tr>
      <w:tr>
        <w:trPr>
          <w:cantSplit/>
        </w:trPr>
        <w:tc>
          <w:tcPr>
            <w:tcW w:type="dxa" w:w="48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Payment authorisation</w:t>
            </w:r>
          </w:p>
        </w:tc>
        <w:tc>
          <w:tcPr>
            <w:tcW w:type="dxa" w:w="347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At payment, on the customer’s device</w:t>
            </w:r>
          </w:p>
        </w:tc>
        <w:tc>
          <w:tcPr>
            <w:tcW w:type="dxa" w:w="154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Always</w:t>
            </w:r>
          </w:p>
        </w:tc>
        <w:tc>
          <w:tcPr>
            <w:tcW w:type="dxa" w:w="183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Outside these packs</w:t>
            </w:r>
          </w:p>
        </w:tc>
      </w:tr>
    </w:tbl>
    <w:p>
      <w:pPr>
        <w:spacing w:after="120"/>
      </w:pPr>
      <w:r>
        <w:t xml:space="preserve"/>
      </w:r>
    </w:p>
    <w:p>
      <w:pPr>
        <w:spacing w:after="120" w:before="0" w:line="276"/>
        <w:jc w:val="left"/>
      </w:pPr>
      <w:r>
        <w:rPr>
          <w:b/>
          <w:bCs/>
          <w:i w:val="false"/>
          <w:iCs w:val="false"/>
          <w:color w:val="222629"/>
          <w:sz w:val="20"/>
          <w:szCs w:val="20"/>
        </w:rPr>
        <w:t xml:space="preserve">A typical journey therefore stops the customer twice. The worst case stops them four times. </w:t>
      </w:r>
      <w:r>
        <w:rPr>
          <w:b w:val="false"/>
          <w:bCs w:val="false"/>
          <w:i w:val="false"/>
          <w:iCs w:val="false"/>
          <w:color w:val="222629"/>
          <w:sz w:val="20"/>
          <w:szCs w:val="20"/>
        </w:rPr>
        <w:t xml:space="preserve">The typical case is already one interruption more than the design needs, and the worst case is a branch conversation that stalls four times before a policy is bought.</w:t>
      </w:r>
    </w:p>
    <w:p>
      <w:pPr>
        <w:pStyle w:val="Heading2"/>
        <w:keepNext/>
        <w:keepLines/>
        <w:spacing w:after="120" w:before="300"/>
      </w:pPr>
      <w:r>
        <w:rPr>
          <w:b/>
          <w:bCs/>
          <w:color w:val="11304E"/>
          <w:sz w:val="24"/>
          <w:szCs w:val="24"/>
        </w:rPr>
        <w:t xml:space="preserve">11.2  What was asked for, and what is actually available</w:t>
      </w:r>
    </w:p>
    <w:p>
      <w:pPr>
        <w:spacing w:after="120" w:before="0" w:line="276"/>
        <w:jc w:val="left"/>
      </w:pPr>
      <w:r>
        <w:rPr>
          <w:b w:val="false"/>
          <w:bCs w:val="false"/>
          <w:i w:val="false"/>
          <w:iCs w:val="false"/>
          <w:color w:val="222629"/>
          <w:sz w:val="20"/>
          <w:szCs w:val="20"/>
        </w:rPr>
        <w:t xml:space="preserve">The instinct is right: put the consent where the customer is already stopped, rather than wherever the journey happens to need it. But the two obvious ways of doing that are not equally available, and one of them is not available at all.</w:t>
      </w:r>
    </w:p>
    <w:p>
      <w:pPr>
        <w:spacing w:after="60"/>
      </w:pPr>
      <w:r>
        <w:t xml:space="preserve"/>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2024"/>
        <w:gridCol w:w="2699"/>
        <w:gridCol w:w="4915"/>
      </w:tblGrid>
      <w:tr>
        <w:trPr>
          <w:cantSplit/>
          <w:tblHeader/>
        </w:trPr>
        <w:tc>
          <w:tcPr>
            <w:tcW w:type="dxa" w:w="2024"/>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Option</w:t>
            </w:r>
          </w:p>
        </w:tc>
        <w:tc>
          <w:tcPr>
            <w:tcW w:type="dxa" w:w="2699"/>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Description</w:t>
            </w:r>
          </w:p>
        </w:tc>
        <w:tc>
          <w:tcPr>
            <w:tcW w:type="dxa" w:w="4915"/>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Assessment</w:t>
            </w:r>
          </w:p>
        </w:tc>
      </w:tr>
      <w:tr>
        <w:trPr>
          <w:cantSplit/>
        </w:trPr>
        <w:tc>
          <w:tcPr>
            <w:tcW w:type="dxa" w:w="2024"/>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A — everything at the very start</w:t>
            </w:r>
          </w:p>
        </w:tc>
        <w:tc>
          <w:tcPr>
            <w:tcW w:type="dxa" w:w="269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single interaction at the beginning of the journey covering all four consents, before any customer data is read.</w:t>
            </w:r>
          </w:p>
        </w:tc>
        <w:tc>
          <w:tcPr>
            <w:tcW w:type="dxa" w:w="4915"/>
            <w:tcMar>
              <w:top w:type="dxa" w:w="90"/>
              <w:left w:type="dxa" w:w="130"/>
              <w:bottom w:type="dxa" w:w="90"/>
              <w:right w:type="dxa" w:w="130"/>
            </w:tcMar>
            <w:vAlign w:val="top"/>
          </w:tcPr>
          <w:p>
            <w:pPr>
              <w:spacing w:after="40" w:before="40" w:line="252"/>
              <w:jc w:val="left"/>
            </w:pPr>
            <w:r>
              <w:rPr>
                <w:b/>
                <w:bCs/>
                <w:i w:val="false"/>
                <w:iCs w:val="false"/>
                <w:color w:val="8A5A00"/>
                <w:sz w:val="18"/>
                <w:szCs w:val="18"/>
              </w:rPr>
              <w:t xml:space="preserve">Partly available.</w:t>
            </w:r>
            <w:r>
              <w:rPr>
                <w:b w:val="false"/>
                <w:bCs w:val="false"/>
                <w:i w:val="false"/>
                <w:iCs w:val="false"/>
                <w:color w:val="222629"/>
                <w:sz w:val="18"/>
                <w:szCs w:val="18"/>
              </w:rPr>
              <w:t xml:space="preserve"> Data processing, solicitation and servicing communications belong here and are already placed here. Insurer sharing is the difficulty: at the start of the journey no insurer has been selected, and the sharing consent is scoped to a named insurer so that the customer can see who receives their data. A consent to share with whoever the customer later chooses is a blanket consent, and blanket is the thing the scoping requirement exists to prevent — unless the panel is enumerated. That is the question raised as OPEN-CNS-06.</w:t>
            </w:r>
          </w:p>
        </w:tc>
      </w:tr>
      <w:tr>
        <w:trPr>
          <w:cantSplit/>
        </w:trPr>
        <w:tc>
          <w:tcPr>
            <w:tcW w:type="dxa" w:w="2024"/>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B — everything at the proposal stage</w:t>
            </w:r>
          </w:p>
        </w:tc>
        <w:tc>
          <w:tcPr>
            <w:tcW w:type="dxa" w:w="2699"/>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single interaction once the customer has chosen a product and the insurer is therefore known.</w:t>
            </w:r>
          </w:p>
        </w:tc>
        <w:tc>
          <w:tcPr>
            <w:tcW w:type="dxa" w:w="4915"/>
            <w:shd w:fill="F1F5F8" w:color="auto" w:val="clear"/>
            <w:tcMar>
              <w:top w:type="dxa" w:w="90"/>
              <w:left w:type="dxa" w:w="130"/>
              <w:bottom w:type="dxa" w:w="90"/>
              <w:right w:type="dxa" w:w="130"/>
            </w:tcMar>
            <w:vAlign w:val="top"/>
          </w:tcPr>
          <w:p>
            <w:pPr>
              <w:spacing w:after="40" w:before="40" w:line="252"/>
              <w:jc w:val="left"/>
            </w:pPr>
            <w:r>
              <w:rPr>
                <w:b/>
                <w:bCs/>
                <w:i w:val="false"/>
                <w:iCs w:val="false"/>
                <w:color w:val="9B2226"/>
                <w:sz w:val="18"/>
                <w:szCs w:val="18"/>
              </w:rPr>
              <w:t xml:space="preserve">Not available, and Product has to say so plainly.</w:t>
            </w:r>
            <w:r>
              <w:rPr>
                <w:b w:val="false"/>
                <w:bCs w:val="false"/>
                <w:i w:val="false"/>
                <w:iCs w:val="false"/>
                <w:color w:val="222629"/>
                <w:sz w:val="18"/>
                <w:szCs w:val="18"/>
              </w:rPr>
              <w:t xml:space="preserve"> Data-processing consent authorises reading the customer’s bank record to pre-fill the journey, and solicitation consent authorises the need analysis. By the proposal stage both of those things have already happened. Moving those consents to proposal means asking permission for processing that is already complete. That is retrospective consent; it is one of the first things an examiner looks for; and no improvement in the customer experience justifies it.</w:t>
            </w:r>
          </w:p>
        </w:tc>
      </w:tr>
      <w:tr>
        <w:trPr>
          <w:cantSplit/>
        </w:trPr>
        <w:tc>
          <w:tcPr>
            <w:tcW w:type="dxa" w:w="2024"/>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 — two interactions, front-loaded </w:t>
            </w:r>
            <w:r>
              <w:rPr>
                <w:b/>
                <w:bCs/>
                <w:i w:val="false"/>
                <w:iCs w:val="false"/>
                <w:color w:val="0F6E6E"/>
                <w:sz w:val="18"/>
                <w:szCs w:val="18"/>
              </w:rPr>
              <w:t xml:space="preserve">(recommended)</w:t>
            </w:r>
          </w:p>
        </w:tc>
        <w:tc>
          <w:tcPr>
            <w:tcW w:type="dxa" w:w="269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One full consent interaction at the start of the journey, including a panel-scoped sharing consent; and one conditional acknowledgement at the moment the customer selects an offer, carrying whichever disclosures actually apply plus the binding of the sharing consent to the chosen insurer.</w:t>
            </w:r>
          </w:p>
        </w:tc>
        <w:tc>
          <w:tcPr>
            <w:tcW w:type="dxa" w:w="4915"/>
            <w:tcMar>
              <w:top w:type="dxa" w:w="90"/>
              <w:left w:type="dxa" w:w="130"/>
              <w:bottom w:type="dxa" w:w="90"/>
              <w:right w:type="dxa" w:w="130"/>
            </w:tcMar>
            <w:vAlign w:val="top"/>
          </w:tcPr>
          <w:p>
            <w:pPr>
              <w:spacing w:after="40" w:before="40" w:line="252"/>
              <w:jc w:val="left"/>
            </w:pPr>
            <w:r>
              <w:rPr>
                <w:b/>
                <w:bCs/>
                <w:i w:val="false"/>
                <w:iCs w:val="false"/>
                <w:color w:val="0F6E6E"/>
                <w:sz w:val="18"/>
                <w:szCs w:val="18"/>
              </w:rPr>
              <w:t xml:space="preserve">Recommended.</w:t>
            </w:r>
            <w:r>
              <w:rPr>
                <w:b w:val="false"/>
                <w:bCs w:val="false"/>
                <w:i w:val="false"/>
                <w:iCs w:val="false"/>
                <w:color w:val="222629"/>
                <w:sz w:val="18"/>
                <w:szCs w:val="18"/>
              </w:rPr>
              <w:t xml:space="preserve"> Delivers what Option A was reaching for — the customer consents once, at the start, before anything happens to their data — while keeping every consent specific at the moment it is relied upon. A typical journey drops to one interaction; the worst case drops to two.</w:t>
            </w:r>
          </w:p>
        </w:tc>
      </w:tr>
      <w:tr>
        <w:trPr>
          <w:cantSplit/>
        </w:trPr>
        <w:tc>
          <w:tcPr>
            <w:tcW w:type="dxa" w:w="2024"/>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D — leave the sequence as specified</w:t>
            </w:r>
          </w:p>
        </w:tc>
        <w:tc>
          <w:tcPr>
            <w:tcW w:type="dxa" w:w="2699"/>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Build the journey exactly as the packs describe it.</w:t>
            </w:r>
          </w:p>
        </w:tc>
        <w:tc>
          <w:tcPr>
            <w:tcW w:type="dxa" w:w="491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Compliant, and the fallback if OPEN-CNS-06 is declined. It costs the customer one avoidable interruption on every journey, and up to three on a replacement case that also carries a caution.</w:t>
            </w:r>
          </w:p>
        </w:tc>
      </w:tr>
    </w:tbl>
    <w:p>
      <w:pPr>
        <w:pStyle w:val="Heading2"/>
        <w:keepNext/>
        <w:keepLines/>
        <w:spacing w:after="120" w:before="300"/>
      </w:pPr>
      <w:r>
        <w:rPr>
          <w:b/>
          <w:bCs/>
          <w:color w:val="11304E"/>
          <w:sz w:val="24"/>
          <w:szCs w:val="24"/>
        </w:rPr>
        <w:t xml:space="preserve">11.3  The recommended design</w:t>
      </w:r>
    </w:p>
    <w:p>
      <w:pPr>
        <w:spacing w:after="120" w:before="0" w:line="276"/>
        <w:jc w:val="left"/>
      </w:pPr>
      <w:r>
        <w:rPr>
          <w:b w:val="false"/>
          <w:bCs w:val="false"/>
          <w:i w:val="false"/>
          <w:iCs w:val="false"/>
          <w:color w:val="222629"/>
          <w:sz w:val="20"/>
          <w:szCs w:val="20"/>
        </w:rPr>
        <w:t xml:space="preserve">Two named interactions, and nothing else in the journey asks the customer for anything.</w:t>
      </w:r>
    </w:p>
    <w:p>
      <w:pPr>
        <w:spacing w:after="60"/>
      </w:pPr>
      <w:r>
        <w:t xml:space="preserve"/>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542"/>
        <w:gridCol w:w="4048"/>
        <w:gridCol w:w="4048"/>
      </w:tblGrid>
      <w:tr>
        <w:trPr>
          <w:cantSplit/>
          <w:tblHeader/>
        </w:trPr>
        <w:tc>
          <w:tcPr>
            <w:tcW w:type="dxa" w:w="154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
            </w:r>
          </w:p>
        </w:tc>
        <w:tc>
          <w:tcPr>
            <w:tcW w:type="dxa" w:w="4048"/>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Interaction 1 — Advice and Data Consent</w:t>
            </w:r>
          </w:p>
        </w:tc>
        <w:tc>
          <w:tcPr>
            <w:tcW w:type="dxa" w:w="4048"/>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Interaction 2 — Recommendation Acknowledgement</w:t>
            </w:r>
          </w:p>
        </w:tc>
      </w:tr>
      <w:tr>
        <w:trPr>
          <w:cantSplit/>
        </w:trPr>
        <w:tc>
          <w:tcPr>
            <w:tcW w:type="dxa" w:w="1542"/>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When</w:t>
            </w:r>
          </w:p>
        </w:tc>
        <w:tc>
          <w:tcPr>
            <w:tcW w:type="dxa" w:w="404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At the start of the journey, before any bank record is read and before the questionnaire is presented.</w:t>
            </w:r>
          </w:p>
        </w:tc>
        <w:tc>
          <w:tcPr>
            <w:tcW w:type="dxa" w:w="404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After the assessment and before the first quote is shown.</w:t>
            </w:r>
            <w:r>
              <w:rPr>
                <w:b w:val="false"/>
                <w:bCs w:val="false"/>
                <w:i w:val="false"/>
                <w:iCs w:val="false"/>
                <w:color w:val="222629"/>
                <w:sz w:val="18"/>
                <w:szCs w:val="18"/>
              </w:rPr>
              <w:t xml:space="preserve"> It cannot sit at offer selection: the caution and replacement disclosures must be acknowledged before a quote exists, and an offer cannot be selected before there is a quote to select. Correcting that ordering error is part of this proposal.</w:t>
            </w:r>
          </w:p>
        </w:tc>
      </w:tr>
      <w:tr>
        <w:trPr>
          <w:cantSplit/>
        </w:trPr>
        <w:tc>
          <w:tcPr>
            <w:tcW w:type="dxa" w:w="1542"/>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Carries</w:t>
            </w:r>
          </w:p>
        </w:tc>
        <w:tc>
          <w:tcPr>
            <w:tcW w:type="dxa" w:w="404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Data processing, solicitation, servicing communications, and insurer sharing scoped to the named panel.</w:t>
            </w:r>
          </w:p>
        </w:tc>
        <w:tc>
          <w:tcPr>
            <w:tcW w:type="dxa" w:w="404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caution disclosure if any product class produced one, and the replacement disclosure if the customer is replacing a policy. Insurer scope binding is NOT carried here — it happens later, when the insurer is actually known.</w:t>
            </w:r>
          </w:p>
        </w:tc>
      </w:tr>
      <w:tr>
        <w:trPr>
          <w:cantSplit/>
        </w:trPr>
        <w:tc>
          <w:tcPr>
            <w:tcW w:type="dxa" w:w="1542"/>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Record written</w:t>
            </w:r>
          </w:p>
        </w:tc>
        <w:tc>
          <w:tcPr>
            <w:tcW w:type="dxa" w:w="404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Four separate consent records, four statement identifiers, four independent withdrawal handles — sharing one verification event.</w:t>
            </w:r>
          </w:p>
        </w:tc>
        <w:tc>
          <w:tcPr>
            <w:tcW w:type="dxa" w:w="404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One acknowledgement record per disclosure, each naming the exact reason codes acknowledged and the assessment they belong to.</w:t>
            </w:r>
          </w:p>
        </w:tc>
      </w:tr>
      <w:tr>
        <w:trPr>
          <w:cantSplit/>
        </w:trPr>
        <w:tc>
          <w:tcPr>
            <w:tcW w:type="dxa" w:w="1542"/>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When it fires</w:t>
            </w:r>
          </w:p>
        </w:tc>
        <w:tc>
          <w:tcPr>
            <w:tcW w:type="dxa" w:w="404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Always — unless valid consents already exist for this customer within their windows, in which case only the expired ones are re-taken.</w:t>
            </w:r>
          </w:p>
        </w:tc>
        <w:tc>
          <w:tcPr>
            <w:tcW w:type="dxa" w:w="404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Only when a caution or replacement disclosure actually applies. For a straightforward term purchase on a clean profile, it never fires.</w:t>
            </w:r>
          </w:p>
        </w:tc>
      </w:tr>
      <w:tr>
        <w:trPr>
          <w:cantSplit/>
        </w:trPr>
        <w:tc>
          <w:tcPr>
            <w:tcW w:type="dxa" w:w="1542"/>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Customer-device code</w:t>
            </w:r>
          </w:p>
        </w:tc>
        <w:tc>
          <w:tcPr>
            <w:tcW w:type="dxa" w:w="404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One.</w:t>
            </w:r>
          </w:p>
        </w:tc>
        <w:tc>
          <w:tcPr>
            <w:tcW w:type="dxa" w:w="404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One, or none.</w:t>
            </w:r>
          </w:p>
        </w:tc>
      </w:tr>
      <w:tr>
        <w:trPr>
          <w:cantSplit/>
        </w:trPr>
        <w:tc>
          <w:tcPr>
            <w:tcW w:type="dxa" w:w="1542"/>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Not an interaction</w:t>
            </w:r>
          </w:p>
        </w:tc>
        <w:tc>
          <w:tcPr>
            <w:tcW w:type="dxa" w:w="404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t>
            </w:r>
          </w:p>
        </w:tc>
        <w:tc>
          <w:tcPr>
            <w:tcW w:type="dxa" w:w="4048"/>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Scope binding happens on every sale</w:t>
            </w:r>
            <w:r>
              <w:rPr>
                <w:b w:val="false"/>
                <w:bCs w:val="false"/>
                <w:i w:val="false"/>
                <w:iCs w:val="false"/>
                <w:color w:val="222629"/>
                <w:sz w:val="18"/>
                <w:szCs w:val="18"/>
              </w:rPr>
              <w:t xml:space="preserve">, at offer selection, once the insurer is known. It is a recorded event and a notice to the customer naming the insurer — not a third ceremony and not a third code. See §11.5, CNS-R22c and CNS-R22d.</w:t>
            </w:r>
          </w:p>
        </w:tc>
      </w:tr>
    </w:tbl>
    <w:p>
      <w:pPr>
        <w:spacing w:after="140"/>
      </w:pPr>
      <w:r>
        <w:t xml:space="preserve"/>
      </w:r>
    </w:p>
    <w:p>
      <w:pPr>
        <w:pStyle w:val="Heading3"/>
        <w:keepNext/>
        <w:keepLines/>
        <w:spacing w:after="100" w:before="220"/>
      </w:pPr>
      <w:r>
        <w:rPr>
          <w:b/>
          <w:bCs/>
          <w:color w:val="0F6E6E"/>
          <w:sz w:val="21"/>
          <w:szCs w:val="21"/>
        </w:rPr>
        <w:t xml:space="preserve">What this changes for the customer</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4819"/>
        <w:gridCol w:w="2410"/>
        <w:gridCol w:w="2409"/>
      </w:tblGrid>
      <w:tr>
        <w:trPr>
          <w:cantSplit/>
          <w:tblHeader/>
        </w:trPr>
        <w:tc>
          <w:tcPr>
            <w:tcW w:type="dxa" w:w="4819"/>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Scenario</w:t>
            </w:r>
          </w:p>
        </w:tc>
        <w:tc>
          <w:tcPr>
            <w:tcW w:type="dxa" w:w="2410"/>
            <w:shd w:fill="11304E" w:color="auto" w:val="clear"/>
            <w:tcMar>
              <w:top w:type="dxa" w:w="90"/>
              <w:left w:type="dxa" w:w="130"/>
              <w:bottom w:type="dxa" w:w="90"/>
              <w:right w:type="dxa" w:w="130"/>
            </w:tcMar>
            <w:vAlign w:val="center"/>
          </w:tcPr>
          <w:p>
            <w:pPr>
              <w:spacing w:after="40" w:before="40" w:line="252"/>
              <w:jc w:val="center"/>
            </w:pPr>
            <w:r>
              <w:rPr>
                <w:b/>
                <w:bCs/>
                <w:i w:val="false"/>
                <w:iCs w:val="false"/>
                <w:color w:val="FFFFFF"/>
                <w:sz w:val="18"/>
                <w:szCs w:val="18"/>
              </w:rPr>
              <w:t xml:space="preserve">As specified</w:t>
            </w:r>
          </w:p>
        </w:tc>
        <w:tc>
          <w:tcPr>
            <w:tcW w:type="dxa" w:w="2409"/>
            <w:shd w:fill="11304E" w:color="auto" w:val="clear"/>
            <w:tcMar>
              <w:top w:type="dxa" w:w="90"/>
              <w:left w:type="dxa" w:w="130"/>
              <w:bottom w:type="dxa" w:w="90"/>
              <w:right w:type="dxa" w:w="130"/>
            </w:tcMar>
            <w:vAlign w:val="center"/>
          </w:tcPr>
          <w:p>
            <w:pPr>
              <w:spacing w:after="40" w:before="40" w:line="252"/>
              <w:jc w:val="center"/>
            </w:pPr>
            <w:r>
              <w:rPr>
                <w:b/>
                <w:bCs/>
                <w:i w:val="false"/>
                <w:iCs w:val="false"/>
                <w:color w:val="FFFFFF"/>
                <w:sz w:val="18"/>
                <w:szCs w:val="18"/>
              </w:rPr>
              <w:t xml:space="preserve">Proposed</w:t>
            </w:r>
          </w:p>
        </w:tc>
      </w:tr>
      <w:tr>
        <w:trPr>
          <w:cantSplit/>
        </w:trPr>
        <w:tc>
          <w:tcPr>
            <w:tcW w:type="dxa" w:w="481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New customer, clean profile, straightforward term purchase</w:t>
            </w:r>
          </w:p>
        </w:tc>
        <w:tc>
          <w:tcPr>
            <w:tcW w:type="dxa" w:w="2410"/>
            <w:tcMar>
              <w:top w:type="dxa" w:w="90"/>
              <w:left w:type="dxa" w:w="130"/>
              <w:bottom w:type="dxa" w:w="90"/>
              <w:right w:type="dxa" w:w="130"/>
            </w:tcMar>
            <w:vAlign w:val="top"/>
          </w:tcPr>
          <w:p>
            <w:pPr>
              <w:spacing w:after="40" w:before="40" w:line="252"/>
              <w:jc w:val="center"/>
            </w:pPr>
            <w:r>
              <w:rPr>
                <w:b w:val="false"/>
                <w:bCs w:val="false"/>
                <w:i w:val="false"/>
                <w:iCs w:val="false"/>
                <w:color w:val="222629"/>
                <w:sz w:val="18"/>
                <w:szCs w:val="18"/>
              </w:rPr>
              <w:t xml:space="preserve">2 interactions</w:t>
            </w:r>
          </w:p>
        </w:tc>
        <w:tc>
          <w:tcPr>
            <w:tcW w:type="dxa" w:w="2409"/>
            <w:tcMar>
              <w:top w:type="dxa" w:w="90"/>
              <w:left w:type="dxa" w:w="130"/>
              <w:bottom w:type="dxa" w:w="90"/>
              <w:right w:type="dxa" w:w="130"/>
            </w:tcMar>
            <w:vAlign w:val="top"/>
          </w:tcPr>
          <w:p>
            <w:pPr>
              <w:spacing w:after="40" w:before="40" w:line="252"/>
              <w:jc w:val="center"/>
            </w:pPr>
            <w:r>
              <w:rPr>
                <w:b w:val="false"/>
                <w:bCs w:val="false"/>
                <w:i w:val="false"/>
                <w:iCs w:val="false"/>
                <w:color w:val="222629"/>
                <w:sz w:val="18"/>
                <w:szCs w:val="18"/>
              </w:rPr>
              <w:t xml:space="preserve">1 interaction</w:t>
            </w:r>
          </w:p>
        </w:tc>
      </w:tr>
      <w:tr>
        <w:trPr>
          <w:cantSplit/>
        </w:trPr>
        <w:tc>
          <w:tcPr>
            <w:tcW w:type="dxa" w:w="4819"/>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Customer whose premium is high relative to income</w:t>
            </w:r>
          </w:p>
        </w:tc>
        <w:tc>
          <w:tcPr>
            <w:tcW w:type="dxa" w:w="2410"/>
            <w:shd w:fill="F1F5F8" w:color="auto" w:val="clear"/>
            <w:tcMar>
              <w:top w:type="dxa" w:w="90"/>
              <w:left w:type="dxa" w:w="130"/>
              <w:bottom w:type="dxa" w:w="90"/>
              <w:right w:type="dxa" w:w="130"/>
            </w:tcMar>
            <w:vAlign w:val="top"/>
          </w:tcPr>
          <w:p>
            <w:pPr>
              <w:spacing w:after="40" w:before="40" w:line="252"/>
              <w:jc w:val="center"/>
            </w:pPr>
            <w:r>
              <w:rPr>
                <w:b w:val="false"/>
                <w:bCs w:val="false"/>
                <w:i w:val="false"/>
                <w:iCs w:val="false"/>
                <w:color w:val="222629"/>
                <w:sz w:val="18"/>
                <w:szCs w:val="18"/>
              </w:rPr>
              <w:t xml:space="preserve">3 interactions</w:t>
            </w:r>
          </w:p>
        </w:tc>
        <w:tc>
          <w:tcPr>
            <w:tcW w:type="dxa" w:w="2409"/>
            <w:shd w:fill="F1F5F8" w:color="auto" w:val="clear"/>
            <w:tcMar>
              <w:top w:type="dxa" w:w="90"/>
              <w:left w:type="dxa" w:w="130"/>
              <w:bottom w:type="dxa" w:w="90"/>
              <w:right w:type="dxa" w:w="130"/>
            </w:tcMar>
            <w:vAlign w:val="top"/>
          </w:tcPr>
          <w:p>
            <w:pPr>
              <w:spacing w:after="40" w:before="40" w:line="252"/>
              <w:jc w:val="center"/>
            </w:pPr>
            <w:r>
              <w:rPr>
                <w:b w:val="false"/>
                <w:bCs w:val="false"/>
                <w:i w:val="false"/>
                <w:iCs w:val="false"/>
                <w:color w:val="222629"/>
                <w:sz w:val="18"/>
                <w:szCs w:val="18"/>
              </w:rPr>
              <w:t xml:space="preserve">2 interactions</w:t>
            </w:r>
          </w:p>
        </w:tc>
      </w:tr>
      <w:tr>
        <w:trPr>
          <w:cantSplit/>
        </w:trPr>
        <w:tc>
          <w:tcPr>
            <w:tcW w:type="dxa" w:w="481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Customer replacing an existing policy, also carrying a caution</w:t>
            </w:r>
          </w:p>
        </w:tc>
        <w:tc>
          <w:tcPr>
            <w:tcW w:type="dxa" w:w="2410"/>
            <w:tcMar>
              <w:top w:type="dxa" w:w="90"/>
              <w:left w:type="dxa" w:w="130"/>
              <w:bottom w:type="dxa" w:w="90"/>
              <w:right w:type="dxa" w:w="130"/>
            </w:tcMar>
            <w:vAlign w:val="top"/>
          </w:tcPr>
          <w:p>
            <w:pPr>
              <w:spacing w:after="40" w:before="40" w:line="252"/>
              <w:jc w:val="center"/>
            </w:pPr>
            <w:r>
              <w:rPr>
                <w:b w:val="false"/>
                <w:bCs w:val="false"/>
                <w:i w:val="false"/>
                <w:iCs w:val="false"/>
                <w:color w:val="222629"/>
                <w:sz w:val="18"/>
                <w:szCs w:val="18"/>
              </w:rPr>
              <w:t xml:space="preserve">4 interactions</w:t>
            </w:r>
          </w:p>
        </w:tc>
        <w:tc>
          <w:tcPr>
            <w:tcW w:type="dxa" w:w="2409"/>
            <w:tcMar>
              <w:top w:type="dxa" w:w="90"/>
              <w:left w:type="dxa" w:w="130"/>
              <w:bottom w:type="dxa" w:w="90"/>
              <w:right w:type="dxa" w:w="130"/>
            </w:tcMar>
            <w:vAlign w:val="top"/>
          </w:tcPr>
          <w:p>
            <w:pPr>
              <w:spacing w:after="40" w:before="40" w:line="252"/>
              <w:jc w:val="center"/>
            </w:pPr>
            <w:r>
              <w:rPr>
                <w:b w:val="false"/>
                <w:bCs w:val="false"/>
                <w:i w:val="false"/>
                <w:iCs w:val="false"/>
                <w:color w:val="222629"/>
                <w:sz w:val="18"/>
                <w:szCs w:val="18"/>
              </w:rPr>
              <w:t xml:space="preserve">2 interactions</w:t>
            </w:r>
          </w:p>
        </w:tc>
      </w:tr>
      <w:tr>
        <w:trPr>
          <w:cantSplit/>
        </w:trPr>
        <w:tc>
          <w:tcPr>
            <w:tcW w:type="dxa" w:w="4819"/>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Returning customer inside 30 days, clean profile — every consent and the assessment are still valid</w:t>
            </w:r>
          </w:p>
        </w:tc>
        <w:tc>
          <w:tcPr>
            <w:tcW w:type="dxa" w:w="2410"/>
            <w:shd w:fill="F1F5F8" w:color="auto" w:val="clear"/>
            <w:tcMar>
              <w:top w:type="dxa" w:w="90"/>
              <w:left w:type="dxa" w:w="130"/>
              <w:bottom w:type="dxa" w:w="90"/>
              <w:right w:type="dxa" w:w="130"/>
            </w:tcMar>
            <w:vAlign w:val="top"/>
          </w:tcPr>
          <w:p>
            <w:pPr>
              <w:spacing w:after="40" w:before="40" w:line="252"/>
              <w:jc w:val="center"/>
            </w:pPr>
            <w:r>
              <w:rPr>
                <w:b w:val="false"/>
                <w:bCs w:val="false"/>
                <w:i w:val="false"/>
                <w:iCs w:val="false"/>
                <w:color w:val="222629"/>
                <w:sz w:val="18"/>
                <w:szCs w:val="18"/>
              </w:rPr>
              <w:t xml:space="preserve">1–2 interactions</w:t>
            </w:r>
          </w:p>
        </w:tc>
        <w:tc>
          <w:tcPr>
            <w:tcW w:type="dxa" w:w="2409"/>
            <w:shd w:fill="F1F5F8" w:color="auto" w:val="clear"/>
            <w:tcMar>
              <w:top w:type="dxa" w:w="90"/>
              <w:left w:type="dxa" w:w="130"/>
              <w:bottom w:type="dxa" w:w="90"/>
              <w:right w:type="dxa" w:w="130"/>
            </w:tcMar>
            <w:vAlign w:val="top"/>
          </w:tcPr>
          <w:p>
            <w:pPr>
              <w:spacing w:after="40" w:before="40" w:line="252"/>
              <w:jc w:val="center"/>
            </w:pPr>
            <w:r>
              <w:rPr>
                <w:b/>
                <w:bCs/>
                <w:i w:val="false"/>
                <w:iCs w:val="false"/>
                <w:color w:val="0F6E6E"/>
                <w:sz w:val="18"/>
                <w:szCs w:val="18"/>
              </w:rPr>
              <w:t xml:space="preserve">none</w:t>
            </w:r>
          </w:p>
        </w:tc>
      </w:tr>
      <w:tr>
        <w:trPr>
          <w:cantSplit/>
        </w:trPr>
        <w:tc>
          <w:tcPr>
            <w:tcW w:type="dxa" w:w="481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Returning customer at 31–90 days, clean profile — data-processing and solicitation consent still valid, but sharing consent and the assessment have expired</w:t>
            </w:r>
          </w:p>
        </w:tc>
        <w:tc>
          <w:tcPr>
            <w:tcW w:type="dxa" w:w="2410"/>
            <w:tcMar>
              <w:top w:type="dxa" w:w="90"/>
              <w:left w:type="dxa" w:w="130"/>
              <w:bottom w:type="dxa" w:w="90"/>
              <w:right w:type="dxa" w:w="130"/>
            </w:tcMar>
            <w:vAlign w:val="top"/>
          </w:tcPr>
          <w:p>
            <w:pPr>
              <w:spacing w:after="40" w:before="40" w:line="252"/>
              <w:jc w:val="center"/>
            </w:pPr>
            <w:r>
              <w:rPr>
                <w:b w:val="false"/>
                <w:bCs w:val="false"/>
                <w:i w:val="false"/>
                <w:iCs w:val="false"/>
                <w:color w:val="222629"/>
                <w:sz w:val="18"/>
                <w:szCs w:val="18"/>
              </w:rPr>
              <w:t xml:space="preserve">1–2 interactions</w:t>
            </w:r>
          </w:p>
        </w:tc>
        <w:tc>
          <w:tcPr>
            <w:tcW w:type="dxa" w:w="2409"/>
            <w:tcMar>
              <w:top w:type="dxa" w:w="90"/>
              <w:left w:type="dxa" w:w="130"/>
              <w:bottom w:type="dxa" w:w="90"/>
              <w:right w:type="dxa" w:w="130"/>
            </w:tcMar>
            <w:vAlign w:val="top"/>
          </w:tcPr>
          <w:p>
            <w:pPr>
              <w:spacing w:after="40" w:before="40" w:line="252"/>
              <w:jc w:val="center"/>
            </w:pPr>
            <w:r>
              <w:rPr>
                <w:b w:val="false"/>
                <w:bCs w:val="false"/>
                <w:i w:val="false"/>
                <w:iCs w:val="false"/>
                <w:color w:val="222629"/>
                <w:sz w:val="18"/>
                <w:szCs w:val="18"/>
              </w:rPr>
              <w:t xml:space="preserve">1 interaction (a fresh assessment and a fresh sharing consent; the other consents are reused)</w:t>
            </w:r>
          </w:p>
        </w:tc>
      </w:tr>
    </w:tbl>
    <w:p>
      <w:pPr>
        <w:spacing w:after="120"/>
      </w:pPr>
      <w:r>
        <w:t xml:space="preserve"/>
      </w:r>
    </w:p>
    <w:p>
      <w:pPr>
        <w:spacing w:after="120" w:before="0" w:line="276"/>
        <w:jc w:val="left"/>
      </w:pPr>
      <w:r>
        <w:rPr>
          <w:b w:val="false"/>
          <w:bCs w:val="false"/>
          <w:i w:val="false"/>
          <w:iCs w:val="false"/>
          <w:color w:val="222629"/>
          <w:sz w:val="20"/>
          <w:szCs w:val="20"/>
        </w:rPr>
        <w:t xml:space="preserve">The two returning-customer rows are set out separately because the windows differ and it would be misleading to average them. Data-processing and solicitation consent last 90 days; sharing consent lasts 30, and a suitability assessment lasts 30. A customer returning inside 30 days meets no interaction at all. A customer returning on day 45 is re-assessed and gives a fresh sharing consent, but is not asked again for permission the bank already holds. The rule that produces this is already in the pack: reuse is bounded by customer, event, scope and window together — all four.</w:t>
      </w:r>
    </w:p>
    <w:p>
      <w:pPr>
        <w:pStyle w:val="Heading2"/>
        <w:keepNext/>
        <w:keepLines/>
        <w:pageBreakBefore/>
        <w:spacing w:after="120" w:before="0"/>
      </w:pPr>
      <w:r>
        <w:rPr>
          <w:b/>
          <w:bCs/>
          <w:color w:val="11304E"/>
          <w:sz w:val="24"/>
          <w:szCs w:val="24"/>
        </w:rPr>
        <w:t xml:space="preserve">11.4  Why this is a compliance improvement and not only an experience improvement</w:t>
      </w:r>
    </w:p>
    <w:p>
      <w:pPr>
        <w:pStyle w:val="ListParagraph"/>
        <w:numPr>
          <w:ilvl w:val="0"/>
          <w:numId w:val="2"/>
        </w:numPr>
        <w:spacing w:after="80" w:line="276"/>
      </w:pPr>
      <w:r>
        <w:rPr>
          <w:b/>
          <w:bCs/>
          <w:i w:val="false"/>
          <w:iCs w:val="false"/>
          <w:color w:val="222629"/>
          <w:sz w:val="20"/>
          <w:szCs w:val="20"/>
        </w:rPr>
        <w:t xml:space="preserve">Consent precedes processing, visibly. </w:t>
      </w:r>
      <w:r>
        <w:rPr>
          <w:b w:val="false"/>
          <w:bCs w:val="false"/>
          <w:i w:val="false"/>
          <w:iCs w:val="false"/>
          <w:color w:val="222629"/>
          <w:sz w:val="20"/>
          <w:szCs w:val="20"/>
        </w:rPr>
        <w:t xml:space="preserve">Every consent in the first interaction is captured before the act it authorises. An examiner walking the journey sees permission first and processing second, with no ordering argument needed.</w:t>
      </w:r>
    </w:p>
    <w:p>
      <w:pPr>
        <w:pStyle w:val="ListParagraph"/>
        <w:numPr>
          <w:ilvl w:val="0"/>
          <w:numId w:val="2"/>
        </w:numPr>
        <w:spacing w:after="80" w:line="276"/>
      </w:pPr>
      <w:r>
        <w:rPr>
          <w:b/>
          <w:bCs/>
          <w:i w:val="false"/>
          <w:iCs w:val="false"/>
          <w:color w:val="222629"/>
          <w:sz w:val="20"/>
          <w:szCs w:val="20"/>
        </w:rPr>
        <w:t xml:space="preserve">One verification event, four separate records. </w:t>
      </w:r>
      <w:r>
        <w:rPr>
          <w:b w:val="false"/>
          <w:bCs w:val="false"/>
          <w:i w:val="false"/>
          <w:iCs w:val="false"/>
          <w:color w:val="222629"/>
          <w:sz w:val="20"/>
          <w:szCs w:val="20"/>
        </w:rPr>
        <w:t xml:space="preserve">The evidence does not degrade. Each consent keeps its own statement identifier, version, exact text, hash, validity window and withdrawal handle. What is shared between them is the verification, not the grant.</w:t>
      </w:r>
    </w:p>
    <w:p>
      <w:pPr>
        <w:pStyle w:val="ListParagraph"/>
        <w:numPr>
          <w:ilvl w:val="0"/>
          <w:numId w:val="2"/>
        </w:numPr>
        <w:spacing w:after="80" w:line="276"/>
      </w:pPr>
      <w:r>
        <w:rPr>
          <w:b/>
          <w:bCs/>
          <w:i w:val="false"/>
          <w:iCs w:val="false"/>
          <w:color w:val="222629"/>
          <w:sz w:val="20"/>
          <w:szCs w:val="20"/>
        </w:rPr>
        <w:t xml:space="preserve">Fewer interruptions means fewer workarounds. </w:t>
      </w:r>
      <w:r>
        <w:rPr>
          <w:b w:val="false"/>
          <w:bCs w:val="false"/>
          <w:i w:val="false"/>
          <w:iCs w:val="false"/>
          <w:color w:val="222629"/>
          <w:sz w:val="20"/>
          <w:szCs w:val="20"/>
        </w:rPr>
        <w:t xml:space="preserve">A control that stops a branch conversation four times teaches staff to find ways around it — to warm up the code in advance, to hold the customer’s phone, to run the interaction before the customer has arrived. Control integrity and interaction cost are not separate problems.</w:t>
      </w:r>
    </w:p>
    <w:p>
      <w:pPr>
        <w:pStyle w:val="ListParagraph"/>
        <w:numPr>
          <w:ilvl w:val="0"/>
          <w:numId w:val="2"/>
        </w:numPr>
        <w:spacing w:after="80" w:line="276"/>
      </w:pPr>
      <w:r>
        <w:rPr>
          <w:b/>
          <w:bCs/>
          <w:i w:val="false"/>
          <w:iCs w:val="false"/>
          <w:color w:val="222629"/>
          <w:sz w:val="20"/>
          <w:szCs w:val="20"/>
        </w:rPr>
        <w:t xml:space="preserve">Disclosures land where the decision is made. </w:t>
      </w:r>
      <w:r>
        <w:rPr>
          <w:b w:val="false"/>
          <w:bCs w:val="false"/>
          <w:i w:val="false"/>
          <w:iCs w:val="false"/>
          <w:color w:val="222629"/>
          <w:sz w:val="20"/>
          <w:szCs w:val="20"/>
        </w:rPr>
        <w:t xml:space="preserve">A caution about affordability means more at the moment the customer is choosing a premium than it does earlier, in the abstract.</w:t>
      </w:r>
    </w:p>
    <w:p>
      <w:pPr>
        <w:spacing w:after="100"/>
      </w:pPr>
      <w:r>
        <w:t xml:space="preserve"/>
      </w:r>
    </w:p>
    <w:p>
      <w:pPr>
        <w:keepNext/>
        <w:keepLines/>
        <w:pBdr>
          <w:top w:val="single" w:color="F1F5F8" w:sz="2" w:space="8"/>
          <w:left w:val="single" w:color="8A5A00" w:sz="18" w:space="10"/>
          <w:right w:val="single" w:color="F1F5F8" w:sz="2" w:space="10"/>
        </w:pBdr>
        <w:shd w:fill="F1F5F8" w:color="auto" w:val="clear"/>
        <w:spacing w:after="100" w:before="140" w:line="276"/>
        <w:ind w:left="200" w:right="200"/>
      </w:pPr>
      <w:r>
        <w:rPr>
          <w:b/>
          <w:bCs/>
          <w:i w:val="false"/>
          <w:iCs w:val="false"/>
          <w:color w:val="8A5A00"/>
          <w:sz w:val="20"/>
          <w:szCs w:val="20"/>
        </w:rPr>
        <w:t xml:space="preserve">The risk this creates, named</w:t>
      </w:r>
    </w:p>
    <w:p>
      <w:pPr>
        <w:keepNext w:val="false"/>
        <w:keepLines/>
        <w:pBdr>
          <w:bottom w:val="single" w:color="F1F5F8" w:sz="2" w:space="8"/>
          <w:left w:val="single" w:color="8A5A00" w:sz="18" w:space="10"/>
          <w:right w:val="single" w:color="F1F5F8" w:sz="2" w:space="10"/>
        </w:pBdr>
        <w:shd w:fill="F1F5F8" w:color="auto" w:val="clear"/>
        <w:spacing w:after="140" w:before="0" w:line="276"/>
        <w:ind w:left="200" w:right="200"/>
      </w:pPr>
      <w:r>
        <w:rPr>
          <w:b w:val="false"/>
          <w:bCs w:val="false"/>
          <w:i w:val="false"/>
          <w:iCs w:val="false"/>
          <w:color w:val="222629"/>
          <w:sz w:val="20"/>
          <w:szCs w:val="20"/>
        </w:rPr>
        <w:t xml:space="preserve">Consolidation moves the design closer to a bundled consent, which is precisely what separate capture was protecting against. Product’s answer is not that it will be fine — it is CNS-R12a below, which makes each statement independently declinable. If that rule is not approved, the consolidation should not proceed and Option D stands.</w:t>
      </w:r>
    </w:p>
    <w:p>
      <w:pPr>
        <w:pStyle w:val="Heading2"/>
        <w:keepNext/>
        <w:keepLines/>
        <w:spacing w:after="120" w:before="300"/>
      </w:pPr>
      <w:r>
        <w:rPr>
          <w:b/>
          <w:bCs/>
          <w:color w:val="11304E"/>
          <w:sz w:val="24"/>
          <w:szCs w:val="24"/>
        </w:rPr>
        <w:t xml:space="preserve">11.5  Rule changes required, if approved</w:t>
      </w:r>
    </w:p>
    <w:p>
      <w:pPr>
        <w:spacing w:after="120" w:before="0" w:line="276"/>
        <w:jc w:val="left"/>
      </w:pPr>
      <w:r>
        <w:rPr>
          <w:b w:val="false"/>
          <w:bCs w:val="false"/>
          <w:i w:val="false"/>
          <w:iCs w:val="false"/>
          <w:color w:val="222629"/>
          <w:sz w:val="20"/>
          <w:szCs w:val="20"/>
        </w:rPr>
        <w:t xml:space="preserve">Six changes. Five are new rules; one amends a rule in the pack. Each is drafted so that Compliance can rule on it individually.</w:t>
      </w:r>
    </w:p>
    <w:p>
      <w:pPr>
        <w:spacing w:after="60"/>
      </w:pPr>
      <w:r>
        <w:t xml:space="preserve"/>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253"/>
        <w:gridCol w:w="3662"/>
        <w:gridCol w:w="2988"/>
        <w:gridCol w:w="1735"/>
      </w:tblGrid>
      <w:tr>
        <w:trPr>
          <w:cantSplit/>
          <w:tblHeader/>
        </w:trPr>
        <w:tc>
          <w:tcPr>
            <w:tcW w:type="dxa" w:w="125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w:t>
            </w:r>
          </w:p>
        </w:tc>
        <w:tc>
          <w:tcPr>
            <w:tcW w:type="dxa" w:w="366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Normative statement</w:t>
            </w:r>
          </w:p>
        </w:tc>
        <w:tc>
          <w:tcPr>
            <w:tcW w:type="dxa" w:w="2988"/>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How conformance will be demonstrated</w:t>
            </w:r>
          </w:p>
        </w:tc>
        <w:tc>
          <w:tcPr>
            <w:tcW w:type="dxa" w:w="1735"/>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Decision</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CNS-R12a</w:t>
            </w:r>
            <w:r>
              <w:rPr>
                <w:b/>
                <w:bCs/>
                <w:i w:val="false"/>
                <w:iCs w:val="false"/>
                <w:color w:val="222629"/>
                <w:sz w:val="18"/>
                <w:szCs w:val="18"/>
              </w:rPr>
              <w:br/>
              <w:t xml:space="preserve"/>
            </w:r>
            <w:r>
              <w:rPr>
                <w:b w:val="false"/>
                <w:bCs w:val="false"/>
                <w:i/>
                <w:iCs/>
                <w:color w:val="0F6E6E"/>
                <w:sz w:val="18"/>
                <w:szCs w:val="18"/>
              </w:rPr>
              <w:t xml:space="preserve">new</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Where more than one consent statement is presented in a single interaction, each statement MUST be independently declinable. Declining servicing communications MUST NOT block the journey. Declining data processing or solicitation MUST stop it, with the reason named to the customer.</w:t>
            </w:r>
          </w:p>
        </w:tc>
        <w:tc>
          <w:tcPr>
            <w:tcW w:type="dxa" w:w="298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Decline one statement and accept the rest. The accepted consents exist as separate valid records; the declined statement produces a decline record under CNS-R12b; and the journey behaves as the decline matrix specifies.</w:t>
            </w:r>
          </w:p>
        </w:tc>
        <w:tc>
          <w:tcPr>
            <w:tcW w:type="dxa" w:w="173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125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CNS-R12b</w:t>
            </w:r>
            <w:r>
              <w:rPr>
                <w:b/>
                <w:bCs/>
                <w:i w:val="false"/>
                <w:iCs w:val="false"/>
                <w:color w:val="222629"/>
                <w:sz w:val="18"/>
                <w:szCs w:val="18"/>
              </w:rPr>
              <w:br/>
              <w:t xml:space="preserve"/>
            </w:r>
            <w:r>
              <w:rPr>
                <w:b w:val="false"/>
                <w:bCs w:val="false"/>
                <w:i/>
                <w:iCs/>
                <w:color w:val="0F6E6E"/>
                <w:sz w:val="18"/>
                <w:szCs w:val="18"/>
              </w:rPr>
              <w:t xml:space="preserve">new</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declined statement MUST produce its own evidence record, carrying the statement identifier and version, the exact text shown, the time, the channel, the acting identity and the outcome DECLINED. A decline is a customer decision and MUST be as evidenced as an acceptance. A declined statement MUST NOT be represented anywhere as an absent or pending consent, and MUST NOT be re-presented within the same interaction.</w:t>
            </w:r>
          </w:p>
        </w:tc>
        <w:tc>
          <w:tcPr>
            <w:tcW w:type="dxa" w:w="298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Decline one statement: a record exists with outcome DECLINED carrying all six fields. Query the customer’s consent position: the statement reads as declined, not as missing. Attempt to re-present it in the same interaction: refused.</w:t>
            </w:r>
          </w:p>
        </w:tc>
        <w:tc>
          <w:tcPr>
            <w:tcW w:type="dxa" w:w="173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CNS-R22</w:t>
            </w:r>
            <w:r>
              <w:rPr>
                <w:b/>
                <w:bCs/>
                <w:i w:val="false"/>
                <w:iCs w:val="false"/>
                <w:color w:val="222629"/>
                <w:sz w:val="18"/>
                <w:szCs w:val="18"/>
              </w:rPr>
              <w:br/>
              <w:t xml:space="preserve"/>
            </w:r>
            <w:r>
              <w:rPr>
                <w:b w:val="false"/>
                <w:bCs w:val="false"/>
                <w:i/>
                <w:iCs/>
                <w:color w:val="8A5A00"/>
                <w:sz w:val="18"/>
                <w:szCs w:val="18"/>
              </w:rPr>
              <w:t xml:space="preserve">amended</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Insurer-sharing consent MAY be captured as a panel-scoped consent that names every insurer on the approved panel by legal entity name within the statement text, provided the scope is subsequently bound to exactly one of them by an explicit customer selection.</w:t>
            </w:r>
          </w:p>
        </w:tc>
        <w:tc>
          <w:tcPr>
            <w:tcW w:type="dxa" w:w="298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text shown to the customer contains each panel entity’s legal name verbatim. Adding an insurer to the panel requires a new material statement version and does not extend the scope of any consent already captured.</w:t>
            </w:r>
          </w:p>
        </w:tc>
        <w:tc>
          <w:tcPr>
            <w:tcW w:type="dxa" w:w="173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125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CNS-R22b</w:t>
            </w:r>
            <w:r>
              <w:rPr>
                <w:b/>
                <w:bCs/>
                <w:i w:val="false"/>
                <w:iCs w:val="false"/>
                <w:color w:val="222629"/>
                <w:sz w:val="18"/>
                <w:szCs w:val="18"/>
              </w:rPr>
              <w:br/>
              <w:t xml:space="preserve"/>
            </w:r>
            <w:r>
              <w:rPr>
                <w:b w:val="false"/>
                <w:bCs w:val="false"/>
                <w:i/>
                <w:iCs/>
                <w:color w:val="0F6E6E"/>
                <w:sz w:val="18"/>
                <w:szCs w:val="18"/>
              </w:rPr>
              <w:t xml:space="preserve">new</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Customer data MUST NOT be transmitted to any insurer on the panel other than the one bound by the selection, notwithstanding that the consent enumerates several.</w:t>
            </w:r>
          </w:p>
        </w:tc>
        <w:tc>
          <w:tcPr>
            <w:tcW w:type="dxa" w:w="298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Bind the scope to one insurer, then attempt a submission to another. The attempt is refused with a scope-mismatch error and no outbound transmission occurs.</w:t>
            </w:r>
          </w:p>
        </w:tc>
        <w:tc>
          <w:tcPr>
            <w:tcW w:type="dxa" w:w="173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CNS-R22c</w:t>
            </w:r>
            <w:r>
              <w:rPr>
                <w:b/>
                <w:bCs/>
                <w:i w:val="false"/>
                <w:iCs w:val="false"/>
                <w:color w:val="222629"/>
                <w:sz w:val="18"/>
                <w:szCs w:val="18"/>
              </w:rPr>
              <w:br/>
              <w:t xml:space="preserve"/>
            </w:r>
            <w:r>
              <w:rPr>
                <w:b w:val="false"/>
                <w:bCs w:val="false"/>
                <w:i/>
                <w:iCs/>
                <w:color w:val="0F6E6E"/>
                <w:sz w:val="18"/>
                <w:szCs w:val="18"/>
              </w:rPr>
              <w:t xml:space="preserve">new</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binding MUST be recorded as a new record referencing the panel consent, carrying the selected insurer, the offer, the time, the acting staff identity and a reference to the customer’s selection. No further one-time password is required for the binding itself.</w:t>
            </w:r>
          </w:p>
        </w:tc>
        <w:tc>
          <w:tcPr>
            <w:tcW w:type="dxa" w:w="298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Perform a binding; one new record exists carrying all six items, chained to the original consent, and the original record is unaltered.</w:t>
            </w:r>
          </w:p>
        </w:tc>
        <w:tc>
          <w:tcPr>
            <w:tcW w:type="dxa" w:w="173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125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CNS-R22d</w:t>
            </w:r>
            <w:r>
              <w:rPr>
                <w:b/>
                <w:bCs/>
                <w:i w:val="false"/>
                <w:iCs w:val="false"/>
                <w:color w:val="222629"/>
                <w:sz w:val="18"/>
                <w:szCs w:val="18"/>
              </w:rPr>
              <w:br/>
              <w:t xml:space="preserve"/>
            </w:r>
            <w:r>
              <w:rPr>
                <w:b w:val="false"/>
                <w:bCs w:val="false"/>
                <w:i/>
                <w:iCs/>
                <w:color w:val="0F6E6E"/>
                <w:sz w:val="18"/>
                <w:szCs w:val="18"/>
              </w:rPr>
              <w:t xml:space="preserve">new</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Before any data reaches the insurer, the customer MUST be shown on their own device the legal entity name of the insurer their data will be sent to, together with an instruction on how to stop the submission. The submission MUST then be held for a defined notice interval, during which a stop instruction from the customer prevents it. Product proposes 15 minutes, and the interval is a Compliance-set parameter: Compliance may set any value, and setting it to zero means the notice is informational only and the submission proceeds at once.</w:t>
            </w:r>
          </w:p>
        </w:tc>
        <w:tc>
          <w:tcPr>
            <w:tcW w:type="dxa" w:w="298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Perform a binding. A message naming the insurer by legal entity name is dispatched to the customer’s registered number and the submission is held. Submit a stop instruction inside the interval: the submission does not occur and the reason is recorded. Let the interval elapse with no instruction: the submission proceeds. Assert the interval in force is the configured value and that changing it is an audited configuration change, not a code change.</w:t>
            </w:r>
          </w:p>
        </w:tc>
        <w:tc>
          <w:tcPr>
            <w:tcW w:type="dxa" w:w="173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bl>
    <w:p>
      <w:pPr>
        <w:spacing w:after="120"/>
      </w:pPr>
      <w:r>
        <w:t xml:space="preserve"/>
      </w:r>
    </w:p>
    <w:p>
      <w:pPr>
        <w:keepNext/>
        <w:keepLines/>
        <w:pBdr>
          <w:top w:val="single" w:color="F1F5F8" w:sz="2" w:space="8"/>
          <w:left w:val="single" w:color="9B2226" w:sz="18" w:space="10"/>
          <w:right w:val="single" w:color="F1F5F8" w:sz="2" w:space="10"/>
        </w:pBdr>
        <w:shd w:fill="F1F5F8" w:color="auto" w:val="clear"/>
        <w:spacing w:after="100" w:before="140" w:line="276"/>
        <w:ind w:left="200" w:right="200"/>
      </w:pPr>
      <w:r>
        <w:rPr>
          <w:b/>
          <w:bCs/>
          <w:i w:val="false"/>
          <w:iCs w:val="false"/>
          <w:color w:val="9B2226"/>
          <w:sz w:val="20"/>
          <w:szCs w:val="20"/>
        </w:rPr>
        <w:t xml:space="preserve">CNS-R22d is where this design is thinnest, and Product says so</w:t>
      </w:r>
    </w:p>
    <w:p>
      <w:pPr>
        <w:keepNext w:val="false"/>
        <w:keepLines/>
        <w:pBdr>
          <w:bottom w:val="single" w:color="F1F5F8" w:sz="2" w:space="8"/>
          <w:left w:val="single" w:color="9B2226" w:sz="18" w:space="10"/>
          <w:right w:val="single" w:color="F1F5F8" w:sz="2" w:space="10"/>
        </w:pBdr>
        <w:shd w:fill="F1F5F8" w:color="auto" w:val="clear"/>
        <w:spacing w:after="140" w:before="0" w:line="276"/>
        <w:ind w:left="200" w:right="200"/>
      </w:pPr>
      <w:r>
        <w:rPr>
          <w:b w:val="false"/>
          <w:bCs w:val="false"/>
          <w:i w:val="false"/>
          <w:iCs w:val="false"/>
          <w:color w:val="222629"/>
          <w:sz w:val="20"/>
          <w:szCs w:val="20"/>
        </w:rPr>
        <w:t xml:space="preserve">A notice naming the insurer, with an instruction on how to stop, is not the same thing as a fresh affirmative act. Reasonable people will differ on whether an enumerated-panel consent plus the customer’s own product selection together carry the specificity that a separate sharing consent carries today. Product’s view is that they do: the customer chose the insurer themselves, and the panel was named to them in writing at the point of capture. If Compliance’s view is that they do not, the fallback in §11.6 costs the customer very little.</w:t>
      </w:r>
    </w:p>
    <w:p>
      <w:pPr>
        <w:pStyle w:val="Heading2"/>
        <w:keepNext/>
        <w:keepLines/>
        <w:spacing w:after="120" w:before="300"/>
      </w:pPr>
      <w:r>
        <w:rPr>
          <w:b/>
          <w:bCs/>
          <w:color w:val="11304E"/>
          <w:sz w:val="24"/>
          <w:szCs w:val="24"/>
        </w:rPr>
        <w:t xml:space="preserve">11.6  If Compliance declines the panel-scoped consent</w:t>
      </w:r>
    </w:p>
    <w:p>
      <w:pPr>
        <w:spacing w:after="120" w:before="0" w:line="276"/>
        <w:jc w:val="left"/>
      </w:pPr>
      <w:r>
        <w:rPr>
          <w:b w:val="false"/>
          <w:bCs w:val="false"/>
          <w:i w:val="false"/>
          <w:iCs w:val="false"/>
          <w:color w:val="222629"/>
          <w:sz w:val="20"/>
          <w:szCs w:val="20"/>
        </w:rPr>
        <w:t xml:space="preserve">The proposal degrades gracefully, and Product will implement the fallback without further argument.</w:t>
      </w:r>
    </w:p>
    <w:p>
      <w:pPr>
        <w:pStyle w:val="ListParagraph"/>
        <w:numPr>
          <w:ilvl w:val="0"/>
          <w:numId w:val="3"/>
        </w:numPr>
        <w:spacing w:after="80" w:line="276"/>
      </w:pPr>
      <w:r>
        <w:rPr>
          <w:sz w:val="20"/>
          <w:szCs w:val="20"/>
        </w:rPr>
        <w:t xml:space="preserve">Insurer-sharing consent reverts to capture at the point the insurer is known, with its own verification, exactly as the pack specifies today.</w:t>
      </w:r>
    </w:p>
    <w:p>
      <w:pPr>
        <w:pStyle w:val="ListParagraph"/>
        <w:numPr>
          <w:ilvl w:val="0"/>
          <w:numId w:val="3"/>
        </w:numPr>
        <w:spacing w:after="80" w:line="276"/>
      </w:pPr>
      <w:r>
        <w:rPr>
          <w:sz w:val="20"/>
          <w:szCs w:val="20"/>
        </w:rPr>
        <w:t xml:space="preserve">That capture is merged into the second interaction rather than held as a separate step at proposal — the same screen, the same verification event, alongside whichever disclosures apply.</w:t>
      </w:r>
    </w:p>
    <w:p>
      <w:pPr>
        <w:pStyle w:val="ListParagraph"/>
        <w:numPr>
          <w:ilvl w:val="0"/>
          <w:numId w:val="3"/>
        </w:numPr>
        <w:spacing w:after="80" w:line="276"/>
      </w:pPr>
      <w:r>
        <w:rPr>
          <w:sz w:val="20"/>
          <w:szCs w:val="20"/>
        </w:rPr>
        <w:t xml:space="preserve">The first interaction keeps data processing, solicitation and servicing communications as one interaction with three separately-recorded, independently-declinable consents.</w:t>
      </w:r>
    </w:p>
    <w:p>
      <w:pPr>
        <w:spacing w:after="100"/>
      </w:pPr>
      <w:r>
        <w:t xml:space="preserve"/>
      </w:r>
    </w:p>
    <w:p>
      <w:pPr>
        <w:spacing w:after="120" w:before="0" w:line="276"/>
        <w:jc w:val="left"/>
      </w:pPr>
      <w:r>
        <w:rPr>
          <w:b/>
          <w:bCs/>
          <w:i w:val="false"/>
          <w:iCs w:val="false"/>
          <w:color w:val="222629"/>
          <w:sz w:val="20"/>
          <w:szCs w:val="20"/>
        </w:rPr>
        <w:t xml:space="preserve">The fallback yields exactly two interactions in every case, instead of two to four. </w:t>
      </w:r>
      <w:r>
        <w:rPr>
          <w:b w:val="false"/>
          <w:bCs w:val="false"/>
          <w:i w:val="false"/>
          <w:iCs w:val="false"/>
          <w:color w:val="222629"/>
          <w:sz w:val="20"/>
          <w:szCs w:val="20"/>
        </w:rPr>
        <w:t xml:space="preserve">That is still an improvement, and it needs only CNS-R12a and none of the panel-scoping rules. If Compliance is minded to decline OPEN-CNS-06, please still rule on CNS-R12a, because the fallback depends on it.</w:t>
      </w:r>
    </w:p>
    <w:p>
      <w:pPr>
        <w:pStyle w:val="Heading2"/>
        <w:keepNext/>
        <w:keepLines/>
        <w:spacing w:after="120" w:before="300"/>
      </w:pPr>
      <w:r>
        <w:rPr>
          <w:b/>
          <w:bCs/>
          <w:color w:val="11304E"/>
          <w:sz w:val="24"/>
          <w:szCs w:val="24"/>
        </w:rPr>
        <w:t xml:space="preserve">11.7  What this changes in the work ahead</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928"/>
        <w:gridCol w:w="7710"/>
      </w:tblGrid>
      <w:tr>
        <w:trPr>
          <w:cantSplit/>
          <w:tblHeader/>
        </w:trPr>
        <w:tc>
          <w:tcPr>
            <w:tcW w:type="dxa" w:w="1928"/>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Area</w:t>
            </w:r>
          </w:p>
        </w:tc>
        <w:tc>
          <w:tcPr>
            <w:tcW w:type="dxa" w:w="771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Impact if §11 is approved</w:t>
            </w:r>
          </w:p>
        </w:tc>
      </w:tr>
      <w:tr>
        <w:trPr>
          <w:cantSplit/>
        </w:trPr>
        <w:tc>
          <w:tcPr>
            <w:tcW w:type="dxa" w:w="192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Record structure</w:t>
            </w:r>
          </w:p>
        </w:tc>
        <w:tc>
          <w:tcPr>
            <w:tcW w:type="dxa" w:w="771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None. The consent record already carries statement-level identity, and reuse and supersession chains are already specified. The binding record is a new record type, not a redesign.</w:t>
            </w:r>
          </w:p>
        </w:tc>
      </w:tr>
      <w:tr>
        <w:trPr>
          <w:cantSplit/>
        </w:trPr>
        <w:tc>
          <w:tcPr>
            <w:tcW w:type="dxa" w:w="1928"/>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Consent Service</w:t>
            </w:r>
          </w:p>
        </w:tc>
        <w:tc>
          <w:tcPr>
            <w:tcW w:type="dxa" w:w="771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Small. One additional operation to bind a scope, and one additional validation that the bound insurer matches the submission target.</w:t>
            </w:r>
          </w:p>
        </w:tc>
      </w:tr>
      <w:tr>
        <w:trPr>
          <w:cantSplit/>
        </w:trPr>
        <w:tc>
          <w:tcPr>
            <w:tcW w:type="dxa" w:w="192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Journey sequencing</w:t>
            </w:r>
          </w:p>
        </w:tc>
        <w:tc>
          <w:tcPr>
            <w:tcW w:type="dxa" w:w="771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Moderate. The second interaction becomes conditional, so the journey has to determine whether any disclosure applies before deciding whether to present it at all.</w:t>
            </w:r>
          </w:p>
        </w:tc>
      </w:tr>
      <w:tr>
        <w:trPr>
          <w:cantSplit/>
        </w:trPr>
        <w:tc>
          <w:tcPr>
            <w:tcW w:type="dxa" w:w="1928"/>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Screen design</w:t>
            </w:r>
          </w:p>
        </w:tc>
        <w:tc>
          <w:tcPr>
            <w:tcW w:type="dxa" w:w="771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Two screens change shape: the opening consent screen gains the sharing statement, and the proposal step loses its consent step.</w:t>
            </w:r>
          </w:p>
        </w:tc>
      </w:tr>
      <w:tr>
        <w:trPr>
          <w:cantSplit/>
        </w:trPr>
        <w:tc>
          <w:tcPr>
            <w:tcW w:type="dxa" w:w="192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Customer-facing wording</w:t>
            </w:r>
          </w:p>
        </w:tc>
        <w:tc>
          <w:tcPr>
            <w:tcW w:type="dxa" w:w="771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Direct dependency. The panel statement cannot be drafted until OPEN-CNS-06 is answered, because the statement either enumerates the panel or names a single insurer.</w:t>
            </w:r>
          </w:p>
        </w:tc>
      </w:tr>
      <w:tr>
        <w:trPr>
          <w:cantSplit/>
        </w:trPr>
        <w:tc>
          <w:tcPr>
            <w:tcW w:type="dxa" w:w="1928"/>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Schedule</w:t>
            </w:r>
          </w:p>
        </w:tc>
        <w:tc>
          <w:tcPr>
            <w:tcW w:type="dxa" w:w="771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Absorbed within the current design window if the determination arrives by 29 August. After that it becomes rework on design already signed off.</w:t>
            </w:r>
          </w:p>
        </w:tc>
      </w:tr>
    </w:tbl>
    <w:p>
      <w:pPr>
        <w:pStyle w:val="Heading1"/>
        <w:keepNext/>
        <w:keepLines/>
        <w:pageBreakBefore/>
        <w:pBdr>
          <w:bottom w:val="single" w:color="0F6E6E" w:sz="8" w:space="6"/>
        </w:pBdr>
        <w:spacing w:after="160" w:before="0"/>
      </w:pPr>
      <w:r>
        <w:rPr>
          <w:b/>
          <w:bCs/>
          <w:color w:val="11304E"/>
          <w:sz w:val="30"/>
          <w:szCs w:val="30"/>
        </w:rPr>
        <w:t xml:space="preserve">12.  Conditions that carry forward into build and run</w:t>
      </w:r>
    </w:p>
    <w:p>
      <w:pPr>
        <w:spacing w:after="120" w:before="0" w:line="276"/>
        <w:jc w:val="left"/>
      </w:pPr>
      <w:r>
        <w:rPr>
          <w:b w:val="false"/>
          <w:bCs w:val="false"/>
          <w:i w:val="false"/>
          <w:iCs w:val="false"/>
          <w:color w:val="222629"/>
          <w:sz w:val="20"/>
          <w:szCs w:val="20"/>
        </w:rPr>
        <w:t xml:space="preserve">Approval of D1 and D2 does not discharge every obligation in the two packs. Three are conditions on later stages, and they are recorded here so that they are not lost when the two blocking issues close.</w:t>
      </w:r>
    </w:p>
    <w:p>
      <w:pPr>
        <w:spacing w:after="60"/>
      </w:pPr>
      <w:r>
        <w:t xml:space="preserve"/>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4241"/>
        <w:gridCol w:w="1542"/>
        <w:gridCol w:w="1638"/>
        <w:gridCol w:w="2217"/>
      </w:tblGrid>
      <w:tr>
        <w:trPr>
          <w:cantSplit/>
          <w:tblHeader/>
        </w:trPr>
        <w:tc>
          <w:tcPr>
            <w:tcW w:type="dxa" w:w="424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Condition</w:t>
            </w:r>
          </w:p>
        </w:tc>
        <w:tc>
          <w:tcPr>
            <w:tcW w:type="dxa" w:w="154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Rules</w:t>
            </w:r>
          </w:p>
        </w:tc>
        <w:tc>
          <w:tcPr>
            <w:tcW w:type="dxa" w:w="1638"/>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Owner</w:t>
            </w:r>
          </w:p>
        </w:tc>
        <w:tc>
          <w:tcPr>
            <w:tcW w:type="dxa" w:w="2217"/>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When it must be met</w:t>
            </w:r>
          </w:p>
        </w:tc>
      </w:tr>
      <w:tr>
        <w:trPr>
          <w:cantSplit/>
        </w:trPr>
        <w:tc>
          <w:tcPr>
            <w:tcW w:type="dxa" w:w="424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Append-only enforced by database privilege rather than by application code. The application’s database account must hold no update or delete right on either the consent records or the assessment records.</w:t>
            </w:r>
          </w:p>
        </w:tc>
        <w:tc>
          <w:tcPr>
            <w:tcW w:type="dxa" w:w="154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CNS-R16 – R20, SUIT-R23</w:t>
            </w:r>
          </w:p>
        </w:tc>
        <w:tc>
          <w:tcPr>
            <w:tcW w:type="dxa" w:w="163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Aarti (Database)</w:t>
            </w:r>
          </w:p>
        </w:tc>
        <w:tc>
          <w:tcPr>
            <w:tcW w:type="dxa" w:w="2217"/>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Infrastructure stage, before the first customer record exists</w:t>
            </w:r>
          </w:p>
        </w:tc>
      </w:tr>
      <w:tr>
        <w:trPr>
          <w:cantSplit/>
        </w:trPr>
        <w:tc>
          <w:tcPr>
            <w:tcW w:type="dxa" w:w="424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Write-once retention for seven years in an India region, not shortenable by any application configuration change. Data residency is on the agreed non-waivable list.</w:t>
            </w:r>
          </w:p>
        </w:tc>
        <w:tc>
          <w:tcPr>
            <w:tcW w:type="dxa" w:w="154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CNS-R33 – R36, SUIT-R24</w:t>
            </w:r>
          </w:p>
        </w:tc>
        <w:tc>
          <w:tcPr>
            <w:tcW w:type="dxa" w:w="163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Deepali, with Infrastructure</w:t>
            </w:r>
          </w:p>
        </w:tc>
        <w:tc>
          <w:tcPr>
            <w:tcW w:type="dxa" w:w="221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Infrastructure stage — cannot be deferred to the build stage</w:t>
            </w:r>
          </w:p>
        </w:tc>
      </w:tr>
      <w:tr>
        <w:trPr>
          <w:cantSplit/>
        </w:trPr>
        <w:tc>
          <w:tcPr>
            <w:tcW w:type="dxa" w:w="424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Complete branch coverage on the code implementing the suitability gate, with no waiver available to any authority.</w:t>
            </w:r>
          </w:p>
        </w:tc>
        <w:tc>
          <w:tcPr>
            <w:tcW w:type="dxa" w:w="154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SUIT-R27</w:t>
            </w:r>
          </w:p>
        </w:tc>
        <w:tc>
          <w:tcPr>
            <w:tcW w:type="dxa" w:w="163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Swapnali (QA)</w:t>
            </w:r>
          </w:p>
        </w:tc>
        <w:tc>
          <w:tcPr>
            <w:tcW w:type="dxa" w:w="2217"/>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Before the gate code is accepted, and again when the first end-to-end journey is tested</w:t>
            </w:r>
          </w:p>
        </w:tc>
      </w:tr>
    </w:tbl>
    <w:p>
      <w:pPr>
        <w:spacing w:after="140"/>
      </w:pPr>
      <w:r>
        <w:t xml:space="preserve"/>
      </w:r>
    </w:p>
    <w:p>
      <w:pPr>
        <w:pStyle w:val="Heading2"/>
        <w:keepNext/>
        <w:keepLines/>
        <w:spacing w:after="100" w:before="220"/>
      </w:pPr>
      <w:r>
        <w:rPr>
          <w:b/>
          <w:bCs/>
          <w:color w:val="0F6E6E"/>
          <w:sz w:val="21"/>
          <w:szCs w:val="21"/>
        </w:rPr>
        <w:t xml:space="preserve">Other approvals still required</w:t>
      </w:r>
    </w:p>
    <w:p>
      <w:pPr>
        <w:spacing w:after="120" w:before="0" w:line="276"/>
        <w:jc w:val="left"/>
      </w:pPr>
      <w:r>
        <w:rPr>
          <w:b w:val="false"/>
          <w:bCs w:val="false"/>
          <w:i w:val="false"/>
          <w:iCs w:val="false"/>
          <w:color w:val="222629"/>
          <w:sz w:val="20"/>
          <w:szCs w:val="20"/>
        </w:rPr>
        <w:t xml:space="preserve">Compliance approval is necessary but not sufficient. The following are being pursued in parallel and none of them blocks the Compliance signature.</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2313"/>
        <w:gridCol w:w="5590"/>
        <w:gridCol w:w="1735"/>
      </w:tblGrid>
      <w:tr>
        <w:trPr>
          <w:cantSplit/>
          <w:tblHeader/>
        </w:trPr>
        <w:tc>
          <w:tcPr>
            <w:tcW w:type="dxa" w:w="231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Approver</w:t>
            </w:r>
          </w:p>
        </w:tc>
        <w:tc>
          <w:tcPr>
            <w:tcW w:type="dxa" w:w="559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What their conclusion covers</w:t>
            </w:r>
          </w:p>
        </w:tc>
        <w:tc>
          <w:tcPr>
            <w:tcW w:type="dxa" w:w="1735"/>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Status</w:t>
            </w:r>
          </w:p>
        </w:tc>
      </w:tr>
      <w:tr>
        <w:trPr>
          <w:cantSplit/>
        </w:trPr>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Deepali — Information Security</w:t>
            </w:r>
          </w:p>
        </w:tc>
        <w:tc>
          <w:tcPr>
            <w:tcW w:type="dxa" w:w="559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One-time password handling; confidentiality of network address and staff licence identifiers; routing of the security event on a customer-identity mismatch; server-side enforcement and refuse-on-unavailable behaviour for the suitability gate</w:t>
            </w:r>
          </w:p>
        </w:tc>
        <w:tc>
          <w:tcPr>
            <w:tcW w:type="dxa" w:w="173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Pending</w:t>
            </w:r>
          </w:p>
        </w:tc>
      </w:tr>
      <w:tr>
        <w:trPr>
          <w:cantSplit/>
        </w:trPr>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Aarti — Database</w:t>
            </w:r>
          </w:p>
        </w:tc>
        <w:tc>
          <w:tcPr>
            <w:tcW w:type="dxa" w:w="559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Append-only enforced by privilege on both record stores</w:t>
            </w:r>
          </w:p>
        </w:tc>
        <w:tc>
          <w:tcPr>
            <w:tcW w:type="dxa" w:w="173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Pending</w:t>
            </w:r>
          </w:p>
        </w:tc>
      </w:tr>
      <w:tr>
        <w:trPr>
          <w:cantSplit/>
        </w:trPr>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Swapnali — Quality Assurance</w:t>
            </w:r>
          </w:p>
        </w:tc>
        <w:tc>
          <w:tcPr>
            <w:tcW w:type="dxa" w:w="559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That every rule’s conformance test is executable as written, that all nine gate refusal cases can be automated, and that the SUIT-R19b totality enumeration is practical to run in the pipeline</w:t>
            </w:r>
          </w:p>
        </w:tc>
        <w:tc>
          <w:tcPr>
            <w:tcW w:type="dxa" w:w="173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Pending</w:t>
            </w:r>
          </w:p>
        </w:tc>
      </w:tr>
      <w:tr>
        <w:trPr>
          <w:cantSplit/>
        </w:trPr>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Mahesh — Solution Architecture</w:t>
            </w:r>
          </w:p>
        </w:tc>
        <w:tc>
          <w:tcPr>
            <w:tcW w:type="dxa" w:w="559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Placement of the gate at the quote interface, and the availability coupling that refusing-on-unavailable implies</w:t>
            </w:r>
          </w:p>
        </w:tc>
        <w:tc>
          <w:tcPr>
            <w:tcW w:type="dxa" w:w="173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Pending</w:t>
            </w:r>
          </w:p>
        </w:tc>
      </w:tr>
      <w:tr>
        <w:trPr>
          <w:cantSplit/>
        </w:trPr>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Shivanshi — Operations</w:t>
            </w:r>
          </w:p>
        </w:tc>
        <w:tc>
          <w:tcPr>
            <w:tcW w:type="dxa" w:w="559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Whether the operational load these rules create can actually be carried: retrieval service levels, the tasks raised by post-submission withdrawal and by replacement cases, the stopped-submission path, and the handling of in-flight journeys when the assessment service is unavailable</w:t>
            </w:r>
          </w:p>
        </w:tc>
        <w:tc>
          <w:tcPr>
            <w:tcW w:type="dxa" w:w="1735"/>
            <w:tcMar>
              <w:top w:type="dxa" w:w="90"/>
              <w:left w:type="dxa" w:w="130"/>
              <w:bottom w:type="dxa" w:w="90"/>
              <w:right w:type="dxa" w:w="130"/>
            </w:tcMar>
            <w:vAlign w:val="top"/>
          </w:tcPr>
          <w:p>
            <w:pPr>
              <w:spacing w:after="40" w:before="40" w:line="252"/>
              <w:jc w:val="left"/>
            </w:pPr>
            <w:r>
              <w:rPr>
                <w:b/>
                <w:bCs/>
                <w:i w:val="false"/>
                <w:iCs w:val="false"/>
                <w:color w:val="8A5A00"/>
                <w:sz w:val="18"/>
                <w:szCs w:val="18"/>
              </w:rPr>
              <w:t xml:space="preserve">Pending — added at v1.1</w:t>
            </w:r>
            <w:r>
              <w:rPr>
                <w:b w:val="false"/>
                <w:bCs w:val="false"/>
                <w:i w:val="false"/>
                <w:iCs w:val="false"/>
                <w:color w:val="222629"/>
                <w:sz w:val="18"/>
                <w:szCs w:val="18"/>
              </w:rPr>
              <w:t xml:space="preserve">, after review found that fail-closed behaviour, retrieval commitments and operational tasks were all material and no Operations conclusion had been sought</w:t>
            </w:r>
          </w:p>
        </w:tc>
      </w:tr>
    </w:tbl>
    <w:p>
      <w:pPr>
        <w:pStyle w:val="Heading1"/>
        <w:keepNext/>
        <w:keepLines/>
        <w:pBdr>
          <w:bottom w:val="single" w:color="0F6E6E" w:sz="8" w:space="6"/>
        </w:pBdr>
        <w:spacing w:after="160" w:before="400"/>
      </w:pPr>
      <w:r>
        <w:rPr>
          <w:b/>
          <w:bCs/>
          <w:color w:val="11304E"/>
          <w:sz w:val="30"/>
          <w:szCs w:val="30"/>
        </w:rPr>
        <w:t xml:space="preserve">13.  What happens after approval</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867"/>
        <w:gridCol w:w="5108"/>
        <w:gridCol w:w="2120"/>
        <w:gridCol w:w="1543"/>
      </w:tblGrid>
      <w:tr>
        <w:trPr>
          <w:cantSplit/>
          <w:tblHeader/>
        </w:trPr>
        <w:tc>
          <w:tcPr>
            <w:tcW w:type="dxa" w:w="867"/>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Step</w:t>
            </w:r>
          </w:p>
        </w:tc>
        <w:tc>
          <w:tcPr>
            <w:tcW w:type="dxa" w:w="5108"/>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Action</w:t>
            </w:r>
          </w:p>
        </w:tc>
        <w:tc>
          <w:tcPr>
            <w:tcW w:type="dxa" w:w="212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Owner</w:t>
            </w:r>
          </w:p>
        </w:tc>
        <w:tc>
          <w:tcPr>
            <w:tcW w:type="dxa" w:w="154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Timing</w:t>
            </w:r>
          </w:p>
        </w:tc>
      </w:tr>
      <w:tr>
        <w:trPr>
          <w:cantSplit/>
        </w:trPr>
        <w:tc>
          <w:tcPr>
            <w:tcW w:type="dxa" w:w="86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1</w:t>
            </w:r>
          </w:p>
        </w:tc>
        <w:tc>
          <w:tcPr>
            <w:tcW w:type="dxa" w:w="510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Schedules A and B returned with a decision recorded against every row, and the sign-off sheet at §14 completed</w:t>
            </w:r>
          </w:p>
        </w:tc>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Shailja</w:t>
            </w:r>
          </w:p>
        </w:tc>
        <w:tc>
          <w:tcPr>
            <w:tcW w:type="dxa" w:w="154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By 29 August 2026</w:t>
            </w:r>
          </w:p>
        </w:tc>
      </w:tr>
      <w:tr>
        <w:trPr>
          <w:cantSplit/>
        </w:trPr>
        <w:tc>
          <w:tcPr>
            <w:tcW w:type="dxa" w:w="86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2</w:t>
            </w:r>
          </w:p>
        </w:tc>
        <w:tc>
          <w:tcPr>
            <w:tcW w:type="dxa" w:w="510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Any amendments incorporated and the packs reissued at v1.2 with a change log naming the amending authority</w:t>
            </w:r>
          </w:p>
        </w:tc>
        <w:tc>
          <w:tcPr>
            <w:tcW w:type="dxa" w:w="212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Rajal</w:t>
            </w:r>
          </w:p>
        </w:tc>
        <w:tc>
          <w:tcPr>
            <w:tcW w:type="dxa" w:w="154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Within 2 working days of return</w:t>
            </w:r>
          </w:p>
        </w:tc>
      </w:tr>
      <w:tr>
        <w:trPr>
          <w:cantSplit/>
        </w:trPr>
        <w:tc>
          <w:tcPr>
            <w:tcW w:type="dxa" w:w="86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3</w:t>
            </w:r>
          </w:p>
        </w:tc>
        <w:tc>
          <w:tcPr>
            <w:tcW w:type="dxa" w:w="510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two blocking issues recorded as closed in the programme’s issue register</w:t>
            </w:r>
          </w:p>
        </w:tc>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Rajal</w:t>
            </w:r>
          </w:p>
        </w:tc>
        <w:tc>
          <w:tcPr>
            <w:tcW w:type="dxa" w:w="154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Same day as v1.2</w:t>
            </w:r>
          </w:p>
        </w:tc>
      </w:tr>
      <w:tr>
        <w:trPr>
          <w:cantSplit/>
        </w:trPr>
        <w:tc>
          <w:tcPr>
            <w:tcW w:type="dxa" w:w="86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4</w:t>
            </w:r>
          </w:p>
        </w:tc>
        <w:tc>
          <w:tcPr>
            <w:tcW w:type="dxa" w:w="510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Both approval checkpoints recorded as met, citing the signed packs as the evidence</w:t>
            </w:r>
          </w:p>
        </w:tc>
        <w:tc>
          <w:tcPr>
            <w:tcW w:type="dxa" w:w="212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Kalpana (Delivery)</w:t>
            </w:r>
          </w:p>
        </w:tc>
        <w:tc>
          <w:tcPr>
            <w:tcW w:type="dxa" w:w="154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Same week</w:t>
            </w:r>
          </w:p>
        </w:tc>
      </w:tr>
      <w:tr>
        <w:trPr>
          <w:cantSplit/>
        </w:trPr>
        <w:tc>
          <w:tcPr>
            <w:tcW w:type="dxa" w:w="86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5</w:t>
            </w:r>
          </w:p>
        </w:tc>
        <w:tc>
          <w:tcPr>
            <w:tcW w:type="dxa" w:w="510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Consent Service and the Suitability Service released from the build freeze into construction</w:t>
            </w:r>
          </w:p>
        </w:tc>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Mahesh, with Delivery</w:t>
            </w:r>
          </w:p>
        </w:tc>
        <w:tc>
          <w:tcPr>
            <w:tcW w:type="dxa" w:w="154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On the stage transition</w:t>
            </w:r>
          </w:p>
        </w:tc>
      </w:tr>
      <w:tr>
        <w:trPr>
          <w:cantSplit/>
        </w:trPr>
        <w:tc>
          <w:tcPr>
            <w:tcW w:type="dxa" w:w="86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6</w:t>
            </w:r>
          </w:p>
        </w:tc>
        <w:tc>
          <w:tcPr>
            <w:tcW w:type="dxa" w:w="510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 statement and disclosure wording drafted against the approved structure and folded into the customer-facing design</w:t>
            </w:r>
          </w:p>
        </w:tc>
        <w:tc>
          <w:tcPr>
            <w:tcW w:type="dxa" w:w="212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Shailja and Legal, with Product</w:t>
            </w:r>
          </w:p>
        </w:tc>
        <w:tc>
          <w:tcPr>
            <w:tcW w:type="dxa" w:w="154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Experience design stage</w:t>
            </w:r>
          </w:p>
        </w:tc>
      </w:tr>
      <w:tr>
        <w:trPr>
          <w:cantSplit/>
        </w:trPr>
        <w:tc>
          <w:tcPr>
            <w:tcW w:type="dxa" w:w="86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7</w:t>
            </w:r>
          </w:p>
        </w:tc>
        <w:tc>
          <w:tcPr>
            <w:tcW w:type="dxa" w:w="510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Every rule re-proven as executed evidence once the services are built and tested</w:t>
            </w:r>
          </w:p>
        </w:tc>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Swapnali</w:t>
            </w:r>
          </w:p>
        </w:tc>
        <w:tc>
          <w:tcPr>
            <w:tcW w:type="dxa" w:w="154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When the first end-to-end journey runs</w:t>
            </w:r>
          </w:p>
        </w:tc>
      </w:tr>
    </w:tbl>
    <w:p>
      <w:pPr>
        <w:spacing w:after="120"/>
      </w:pPr>
      <w:r>
        <w:t xml:space="preserve"/>
      </w:r>
    </w:p>
    <w:p>
      <w:pPr>
        <w:keepNext/>
        <w:keepLines/>
        <w:pBdr>
          <w:top w:val="single" w:color="F1F5F8" w:sz="2" w:space="8"/>
          <w:left w:val="single" w:color="0F6E6E" w:sz="18" w:space="10"/>
          <w:right w:val="single" w:color="F1F5F8" w:sz="2" w:space="10"/>
        </w:pBdr>
        <w:shd w:fill="F1F5F8" w:color="auto" w:val="clear"/>
        <w:spacing w:after="100" w:before="140" w:line="276"/>
        <w:ind w:left="200" w:right="200"/>
      </w:pPr>
      <w:r>
        <w:rPr>
          <w:b/>
          <w:bCs/>
          <w:i w:val="false"/>
          <w:iCs w:val="false"/>
          <w:color w:val="0F6E6E"/>
          <w:sz w:val="20"/>
          <w:szCs w:val="20"/>
        </w:rPr>
        <w:t xml:space="preserve">One procedural point</w:t>
      </w:r>
    </w:p>
    <w:p>
      <w:pPr>
        <w:keepNext w:val="false"/>
        <w:keepLines/>
        <w:pBdr>
          <w:bottom w:val="single" w:color="F1F5F8" w:sz="2" w:space="8"/>
          <w:left w:val="single" w:color="0F6E6E" w:sz="18" w:space="10"/>
          <w:right w:val="single" w:color="F1F5F8" w:sz="2" w:space="10"/>
        </w:pBdr>
        <w:shd w:fill="F1F5F8" w:color="auto" w:val="clear"/>
        <w:spacing w:after="140" w:before="0" w:line="276"/>
        <w:ind w:left="200" w:right="200"/>
      </w:pPr>
      <w:r>
        <w:rPr>
          <w:b w:val="false"/>
          <w:bCs w:val="false"/>
          <w:i w:val="false"/>
          <w:iCs w:val="false"/>
          <w:color w:val="222629"/>
          <w:sz w:val="20"/>
          <w:szCs w:val="20"/>
        </w:rPr>
        <w:t xml:space="preserve">Under the governance model, a stage may be marked ready for decision by the delivery lead, but only the Architect and the Product Owner jointly, as named humans, may mark it passed. Steps 4 and 5 above are subject to that. This approval does not shortcut it.</w:t>
      </w:r>
    </w:p>
    <w:p>
      <w:pPr>
        <w:pStyle w:val="Heading1"/>
        <w:keepNext/>
        <w:keepLines/>
        <w:pageBreakBefore/>
        <w:pBdr>
          <w:bottom w:val="single" w:color="0F6E6E" w:sz="8" w:space="6"/>
        </w:pBdr>
        <w:spacing w:after="160" w:before="0"/>
      </w:pPr>
      <w:r>
        <w:rPr>
          <w:b/>
          <w:bCs/>
          <w:color w:val="11304E"/>
          <w:sz w:val="30"/>
          <w:szCs w:val="30"/>
        </w:rPr>
        <w:t xml:space="preserve">14.  Sign-off sheet</w:t>
      </w:r>
    </w:p>
    <w:p>
      <w:pPr>
        <w:spacing w:after="120" w:before="0" w:line="276"/>
        <w:jc w:val="left"/>
      </w:pPr>
      <w:r>
        <w:rPr>
          <w:b w:val="false"/>
          <w:bCs w:val="false"/>
          <w:i w:val="false"/>
          <w:iCs w:val="false"/>
          <w:color w:val="222629"/>
          <w:sz w:val="20"/>
          <w:szCs w:val="20"/>
        </w:rPr>
        <w:t xml:space="preserve">A signature here records a conclusion on the pack as a whole. Section-level conclusions belong in Schedules A and B, which form part of this signature.</w:t>
      </w:r>
    </w:p>
    <w:p>
      <w:pPr>
        <w:spacing w:after="100"/>
      </w:pPr>
      <w:r>
        <w:t xml:space="preserve"/>
      </w:r>
    </w:p>
    <w:p>
      <w:pPr>
        <w:pStyle w:val="Heading2"/>
        <w:keepNext/>
        <w:keepLines/>
        <w:spacing w:after="100" w:before="220"/>
      </w:pPr>
      <w:r>
        <w:rPr>
          <w:b/>
          <w:bCs/>
          <w:color w:val="0F6E6E"/>
          <w:sz w:val="21"/>
          <w:szCs w:val="21"/>
        </w:rPr>
        <w:t xml:space="preserve">Primary approval — human signature mandatory</w:t>
      </w:r>
    </w:p>
    <w:tbl>
      <w:tblPr>
        <w:tblW w:type="dxa" w:w="9638"/>
        <w:tblBorders>
          <w:top w:val="single" w:color="C7D2DC" w:sz="4"/>
          <w:left w:val="single" w:color="C7D2DC" w:sz="4"/>
          <w:bottom w:val="single" w:color="C7D2DC" w:sz="4"/>
          <w:right w:val="single" w:color="C7D2DC" w:sz="4"/>
          <w:insideH w:val="single" w:color="C7D2DC" w:sz="4"/>
          <w:insideV w:val="single" w:color="C7D2DC" w:sz="4"/>
        </w:tblBorders>
      </w:tblPr>
      <w:tblGrid>
        <w:gridCol w:w="2506"/>
        <w:gridCol w:w="7132"/>
      </w:tblGrid>
      <w:tr>
        <w:trPr>
          <w:cantSplit/>
          <w:tblHeader/>
        </w:trPr>
        <w:tc>
          <w:tcPr>
            <w:tcW w:type="dxa" w:w="2506"/>
            <w:shd w:fill="11304E" w:color="auto" w:val="clear"/>
            <w:tcMar>
              <w:top w:type="dxa" w:w="100"/>
              <w:left w:type="dxa" w:w="140"/>
              <w:bottom w:type="dxa" w:w="100"/>
              <w:right w:type="dxa" w:w="140"/>
            </w:tcMar>
            <w:vAlign w:val="center"/>
          </w:tcPr>
          <w:p>
            <w:pPr>
              <w:spacing w:after="40" w:before="40" w:line="252"/>
              <w:jc w:val="left"/>
            </w:pPr>
            <w:r>
              <w:rPr>
                <w:b/>
                <w:bCs/>
                <w:i w:val="false"/>
                <w:iCs w:val="false"/>
                <w:color w:val="FFFFFF"/>
                <w:sz w:val="19"/>
                <w:szCs w:val="19"/>
              </w:rPr>
              <w:t xml:space="preserve">Compliance &amp; Risk</w:t>
            </w:r>
          </w:p>
        </w:tc>
        <w:tc>
          <w:tcPr>
            <w:tcW w:type="dxa" w:w="7132"/>
            <w:shd w:fill="11304E" w:color="auto" w:val="clear"/>
            <w:tcMar>
              <w:top w:type="dxa" w:w="100"/>
              <w:left w:type="dxa" w:w="140"/>
              <w:bottom w:type="dxa" w:w="100"/>
              <w:right w:type="dxa" w:w="140"/>
            </w:tcMar>
            <w:vAlign w:val="center"/>
          </w:tcPr>
          <w:p>
            <w:pPr>
              <w:spacing w:after="40" w:before="40" w:line="252"/>
              <w:jc w:val="left"/>
            </w:pPr>
            <w:r>
              <w:rPr>
                <w:b/>
                <w:bCs/>
                <w:i w:val="false"/>
                <w:iCs w:val="false"/>
                <w:color w:val="FFFFFF"/>
                <w:sz w:val="19"/>
                <w:szCs w:val="19"/>
              </w:rPr>
              <w:t xml:space="preserve">Shailja S — Compliance &amp; Risk Head</w:t>
            </w:r>
          </w:p>
        </w:tc>
      </w:tr>
      <w:tr>
        <w:trPr>
          <w:cantSpli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Scope of conclusion</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Regulatory permissibility of both rule packs; the basis for statement and disclosure wording; the sequencing of consent within the journey; the retention basis; the ten open determinations in §10; and the consent-consolidation proposal in §11, including OPEN-CNS-06 and OPEN-CNS-07.</w:t>
            </w:r>
          </w:p>
        </w:tc>
      </w:tr>
      <w:tr>
        <w:trPr>
          <w:cantSpli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Conclusion</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Ratified as drafted</w:t>
            </w:r>
            <w:r>
              <w:rPr>
                <w:b w:val="false"/>
                <w:bCs w:val="false"/>
                <w:i w:val="false"/>
                <w:iCs w:val="false"/>
                <w:color w:val="222629"/>
                <w:sz w:val="18"/>
                <w:szCs w:val="18"/>
              </w:rPr>
              <w:t xml:space="preserve"/>
            </w:r>
            <w:r>
              <w:rPr>
                <w:b w:val="false"/>
                <w:bCs w:val="false"/>
                <w:i w:val="false"/>
                <w:iCs w:val="false"/>
                <w:color w:val="222629"/>
                <w:sz w:val="18"/>
                <w:szCs w:val="18"/>
              </w:rPr>
              <w:br/>
              <w:t xml:space="preserve"/>
            </w:r>
            <w:r>
              <w:rPr>
                <w:b w:val="false"/>
                <w:bCs w:val="false"/>
                <w:i w:val="false"/>
                <w:iCs w:val="false"/>
                <w:color w:val="222629"/>
                <w:sz w:val="18"/>
                <w:szCs w:val="18"/>
              </w:rPr>
              <w:t xml:space="preserve">☐ Ratified with the amendments recorded in Schedules A and B</w:t>
            </w:r>
            <w:r>
              <w:rPr>
                <w:b w:val="false"/>
                <w:bCs w:val="false"/>
                <w:i w:val="false"/>
                <w:iCs w:val="false"/>
                <w:color w:val="222629"/>
                <w:sz w:val="18"/>
                <w:szCs w:val="18"/>
              </w:rPr>
              <w:t xml:space="preserve"/>
            </w:r>
            <w:r>
              <w:rPr>
                <w:b w:val="false"/>
                <w:bCs w:val="false"/>
                <w:i w:val="false"/>
                <w:iCs w:val="false"/>
                <w:color w:val="222629"/>
                <w:sz w:val="18"/>
                <w:szCs w:val="18"/>
              </w:rPr>
              <w:br/>
              <w:t xml:space="preserve"/>
            </w:r>
            <w:r>
              <w:rPr>
                <w:b w:val="false"/>
                <w:bCs w:val="false"/>
                <w:i w:val="false"/>
                <w:iCs w:val="false"/>
                <w:color w:val="222629"/>
                <w:sz w:val="18"/>
                <w:szCs w:val="18"/>
              </w:rPr>
              <w:t xml:space="preserve">☐ Not ratified — reasons recorded below</w:t>
            </w:r>
          </w:p>
        </w:tc>
      </w:tr>
      <w:tr>
        <w:trPr>
          <w:cantSplit/>
          <w:trHeight w:val="1300" w:hRule="atLeas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Amendments and conditions</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w:r>
          </w:p>
        </w:tc>
      </w:tr>
      <w:tr>
        <w:trPr>
          <w:cantSplit/>
          <w:trHeight w:val="900" w:hRule="atLeas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Signature</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w:r>
          </w:p>
        </w:tc>
      </w:tr>
      <w:tr>
        <w:trPr>
          <w:cantSplit/>
          <w:trHeight w:val="500" w:hRule="atLeas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Date</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w:r>
          </w:p>
        </w:tc>
      </w:tr>
    </w:tbl>
    <w:p>
      <w:r>
        <w:br w:type="page"/>
      </w:r>
    </w:p>
    <w:p>
      <w:pPr>
        <w:pStyle w:val="Heading2"/>
        <w:keepNext/>
        <w:keepLines/>
        <w:spacing w:after="100" w:before="220"/>
      </w:pPr>
      <w:r>
        <w:rPr>
          <w:b/>
          <w:bCs/>
          <w:color w:val="0F6E6E"/>
          <w:sz w:val="21"/>
          <w:szCs w:val="21"/>
        </w:rPr>
        <w:t xml:space="preserve">Product decision — required, and not satisfied by the drafting of this pack</w:t>
      </w:r>
    </w:p>
    <w:p>
      <w:pPr>
        <w:spacing w:after="120" w:before="0" w:line="276"/>
        <w:jc w:val="left"/>
      </w:pPr>
      <w:r>
        <w:rPr>
          <w:b w:val="false"/>
          <w:bCs w:val="false"/>
          <w:i w:val="false"/>
          <w:iCs w:val="false"/>
          <w:color w:val="222629"/>
          <w:sz w:val="20"/>
          <w:szCs w:val="20"/>
        </w:rPr>
        <w:t xml:space="preserve">This pack was drafted on Product’s behalf by an AI agent. The Product decision is therefore a separate act, recorded here, and until it is signed nothing in this document evidences a Product position.</w:t>
      </w:r>
    </w:p>
    <w:tbl>
      <w:tblPr>
        <w:tblW w:type="dxa" w:w="9638"/>
        <w:tblBorders>
          <w:top w:val="single" w:color="C7D2DC" w:sz="4"/>
          <w:left w:val="single" w:color="C7D2DC" w:sz="4"/>
          <w:bottom w:val="single" w:color="C7D2DC" w:sz="4"/>
          <w:right w:val="single" w:color="C7D2DC" w:sz="4"/>
          <w:insideH w:val="single" w:color="C7D2DC" w:sz="4"/>
          <w:insideV w:val="single" w:color="C7D2DC" w:sz="4"/>
        </w:tblBorders>
      </w:tblPr>
      <w:tblGrid>
        <w:gridCol w:w="2506"/>
        <w:gridCol w:w="7132"/>
      </w:tblGrid>
      <w:tr>
        <w:trPr>
          <w:cantSplit/>
          <w:tblHeader/>
        </w:trPr>
        <w:tc>
          <w:tcPr>
            <w:tcW w:type="dxa" w:w="2506"/>
            <w:shd w:fill="11304E" w:color="auto" w:val="clear"/>
            <w:tcMar>
              <w:top w:type="dxa" w:w="100"/>
              <w:left w:type="dxa" w:w="140"/>
              <w:bottom w:type="dxa" w:w="100"/>
              <w:right w:type="dxa" w:w="140"/>
            </w:tcMar>
            <w:vAlign w:val="center"/>
          </w:tcPr>
          <w:p>
            <w:pPr>
              <w:spacing w:after="40" w:before="40" w:line="252"/>
              <w:jc w:val="left"/>
            </w:pPr>
            <w:r>
              <w:rPr>
                <w:b/>
                <w:bCs/>
                <w:i w:val="false"/>
                <w:iCs w:val="false"/>
                <w:color w:val="FFFFFF"/>
                <w:sz w:val="19"/>
                <w:szCs w:val="19"/>
              </w:rPr>
              <w:t xml:space="preserve">Product</w:t>
            </w:r>
          </w:p>
        </w:tc>
        <w:tc>
          <w:tcPr>
            <w:tcW w:type="dxa" w:w="7132"/>
            <w:shd w:fill="11304E" w:color="auto" w:val="clear"/>
            <w:tcMar>
              <w:top w:type="dxa" w:w="100"/>
              <w:left w:type="dxa" w:w="140"/>
              <w:bottom w:type="dxa" w:w="100"/>
              <w:right w:type="dxa" w:w="140"/>
            </w:tcMar>
            <w:vAlign w:val="center"/>
          </w:tcPr>
          <w:p>
            <w:pPr>
              <w:spacing w:after="40" w:before="40" w:line="252"/>
              <w:jc w:val="left"/>
            </w:pPr>
            <w:r>
              <w:rPr>
                <w:b/>
                <w:bCs/>
                <w:i w:val="false"/>
                <w:iCs w:val="false"/>
                <w:color w:val="FFFFFF"/>
                <w:sz w:val="19"/>
                <w:szCs w:val="19"/>
              </w:rPr>
              <w:t xml:space="preserve">Rajal — Principal Insurance Platform Product Owner</w:t>
            </w:r>
          </w:p>
        </w:tc>
      </w:tr>
      <w:tr>
        <w:trPr>
          <w:cantSpli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Scope of conclusion</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Business behaviour of both control sets: the consent events and their blocking points, the failure experience, the reuse policy, the question set, the outcome semantics, the handling of customer deviation and policy replacement, and the consent-consolidation proposal in §11. Also the scope position in §3.1 and the answer to OPEN-SCOPE-01.</w:t>
            </w:r>
          </w:p>
        </w:tc>
      </w:tr>
      <w:tr>
        <w:trPr>
          <w:cantSpli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Conclusion</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Ratified as drafted</w:t>
            </w:r>
            <w:r>
              <w:rPr>
                <w:b w:val="false"/>
                <w:bCs w:val="false"/>
                <w:i w:val="false"/>
                <w:iCs w:val="false"/>
                <w:color w:val="222629"/>
                <w:sz w:val="18"/>
                <w:szCs w:val="18"/>
              </w:rPr>
              <w:t xml:space="preserve"/>
            </w:r>
            <w:r>
              <w:rPr>
                <w:b w:val="false"/>
                <w:bCs w:val="false"/>
                <w:i w:val="false"/>
                <w:iCs w:val="false"/>
                <w:color w:val="222629"/>
                <w:sz w:val="18"/>
                <w:szCs w:val="18"/>
              </w:rPr>
              <w:br/>
              <w:t xml:space="preserve"/>
            </w:r>
            <w:r>
              <w:rPr>
                <w:b w:val="false"/>
                <w:bCs w:val="false"/>
                <w:i w:val="false"/>
                <w:iCs w:val="false"/>
                <w:color w:val="222629"/>
                <w:sz w:val="18"/>
                <w:szCs w:val="18"/>
              </w:rPr>
              <w:t xml:space="preserve">☐ Ratified with the amendments recorded in Schedules A and B</w:t>
            </w:r>
            <w:r>
              <w:rPr>
                <w:b w:val="false"/>
                <w:bCs w:val="false"/>
                <w:i w:val="false"/>
                <w:iCs w:val="false"/>
                <w:color w:val="222629"/>
                <w:sz w:val="18"/>
                <w:szCs w:val="18"/>
              </w:rPr>
              <w:t xml:space="preserve"/>
            </w:r>
            <w:r>
              <w:rPr>
                <w:b w:val="false"/>
                <w:bCs w:val="false"/>
                <w:i w:val="false"/>
                <w:iCs w:val="false"/>
                <w:color w:val="222629"/>
                <w:sz w:val="18"/>
                <w:szCs w:val="18"/>
              </w:rPr>
              <w:br/>
              <w:t xml:space="preserve"/>
            </w:r>
            <w:r>
              <w:rPr>
                <w:b w:val="false"/>
                <w:bCs w:val="false"/>
                <w:i w:val="false"/>
                <w:iCs w:val="false"/>
                <w:color w:val="222629"/>
                <w:sz w:val="18"/>
                <w:szCs w:val="18"/>
              </w:rPr>
              <w:t xml:space="preserve">☐ Not ratified — reasons recorded below</w:t>
            </w:r>
          </w:p>
        </w:tc>
      </w:tr>
      <w:tr>
        <w:trPr>
          <w:cantSplit/>
          <w:trHeight w:val="1300" w:hRule="atLeas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Amendments and conditions</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w:r>
          </w:p>
        </w:tc>
      </w:tr>
      <w:tr>
        <w:trPr>
          <w:cantSplit/>
          <w:trHeight w:val="900" w:hRule="atLeas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Signature</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w:r>
          </w:p>
        </w:tc>
      </w:tr>
      <w:tr>
        <w:trPr>
          <w:cantSplit/>
          <w:trHeight w:val="500" w:hRule="atLeas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Date</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w:r>
          </w:p>
        </w:tc>
      </w:tr>
    </w:tbl>
    <w:p>
      <w:r>
        <w:br w:type="page"/>
      </w:r>
    </w:p>
    <w:p>
      <w:pPr>
        <w:pStyle w:val="Heading2"/>
        <w:keepNext/>
        <w:keepLines/>
        <w:spacing w:after="100" w:before="220"/>
      </w:pPr>
      <w:r>
        <w:rPr>
          <w:b/>
          <w:bCs/>
          <w:color w:val="0F6E6E"/>
          <w:sz w:val="21"/>
          <w:szCs w:val="21"/>
        </w:rPr>
        <w:t xml:space="preserve">Supporting conclusions</w:t>
      </w:r>
    </w:p>
    <w:tbl>
      <w:tblPr>
        <w:tblW w:type="dxa" w:w="9638"/>
        <w:tblBorders>
          <w:top w:val="single" w:color="C7D2DC" w:sz="4"/>
          <w:left w:val="single" w:color="C7D2DC" w:sz="4"/>
          <w:bottom w:val="single" w:color="C7D2DC" w:sz="4"/>
          <w:right w:val="single" w:color="C7D2DC" w:sz="4"/>
          <w:insideH w:val="single" w:color="C7D2DC" w:sz="4"/>
          <w:insideV w:val="single" w:color="C7D2DC" w:sz="4"/>
        </w:tblBorders>
      </w:tblPr>
      <w:tblGrid>
        <w:gridCol w:w="2506"/>
        <w:gridCol w:w="7132"/>
      </w:tblGrid>
      <w:tr>
        <w:trPr>
          <w:cantSplit/>
          <w:tblHeader/>
        </w:trPr>
        <w:tc>
          <w:tcPr>
            <w:tcW w:type="dxa" w:w="2506"/>
            <w:shd w:fill="11304E" w:color="auto" w:val="clear"/>
            <w:tcMar>
              <w:top w:type="dxa" w:w="100"/>
              <w:left w:type="dxa" w:w="140"/>
              <w:bottom w:type="dxa" w:w="100"/>
              <w:right w:type="dxa" w:w="140"/>
            </w:tcMar>
            <w:vAlign w:val="center"/>
          </w:tcPr>
          <w:p>
            <w:pPr>
              <w:spacing w:after="40" w:before="40" w:line="252"/>
              <w:jc w:val="left"/>
            </w:pPr>
            <w:r>
              <w:rPr>
                <w:b/>
                <w:bCs/>
                <w:i w:val="false"/>
                <w:iCs w:val="false"/>
                <w:color w:val="FFFFFF"/>
                <w:sz w:val="19"/>
                <w:szCs w:val="19"/>
              </w:rPr>
              <w:t xml:space="preserve">Information Security</w:t>
            </w:r>
          </w:p>
        </w:tc>
        <w:tc>
          <w:tcPr>
            <w:tcW w:type="dxa" w:w="7132"/>
            <w:shd w:fill="11304E" w:color="auto" w:val="clear"/>
            <w:tcMar>
              <w:top w:type="dxa" w:w="100"/>
              <w:left w:type="dxa" w:w="140"/>
              <w:bottom w:type="dxa" w:w="100"/>
              <w:right w:type="dxa" w:w="140"/>
            </w:tcMar>
            <w:vAlign w:val="center"/>
          </w:tcPr>
          <w:p>
            <w:pPr>
              <w:spacing w:after="40" w:before="40" w:line="252"/>
              <w:jc w:val="left"/>
            </w:pPr>
            <w:r>
              <w:rPr>
                <w:b/>
                <w:bCs/>
                <w:i w:val="false"/>
                <w:iCs w:val="false"/>
                <w:color w:val="FFFFFF"/>
                <w:sz w:val="19"/>
                <w:szCs w:val="19"/>
              </w:rPr>
              <w:t xml:space="preserve">Deepali</w:t>
            </w:r>
          </w:p>
        </w:tc>
      </w:tr>
      <w:tr>
        <w:trPr>
          <w:cantSpli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Scope of conclusion</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Consent capture and one-time password handling (CNS-R10 – R15); confidentiality of restricted fields in logs (CNS-R20); security-event routing on identity mismatch (CNS-R38); server-side enforcement, refuse-on-unavailable and no-disable-route for the suitability gate (SUIT-R25, R26, R40).</w:t>
            </w:r>
          </w:p>
        </w:tc>
      </w:tr>
      <w:tr>
        <w:trPr>
          <w:cantSpli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Conclusion</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Ratified as drafted</w:t>
            </w:r>
            <w:r>
              <w:rPr>
                <w:b w:val="false"/>
                <w:bCs w:val="false"/>
                <w:i w:val="false"/>
                <w:iCs w:val="false"/>
                <w:color w:val="222629"/>
                <w:sz w:val="18"/>
                <w:szCs w:val="18"/>
              </w:rPr>
              <w:t xml:space="preserve"/>
            </w:r>
            <w:r>
              <w:rPr>
                <w:b w:val="false"/>
                <w:bCs w:val="false"/>
                <w:i w:val="false"/>
                <w:iCs w:val="false"/>
                <w:color w:val="222629"/>
                <w:sz w:val="18"/>
                <w:szCs w:val="18"/>
              </w:rPr>
              <w:br/>
              <w:t xml:space="preserve"/>
            </w:r>
            <w:r>
              <w:rPr>
                <w:b w:val="false"/>
                <w:bCs w:val="false"/>
                <w:i w:val="false"/>
                <w:iCs w:val="false"/>
                <w:color w:val="222629"/>
                <w:sz w:val="18"/>
                <w:szCs w:val="18"/>
              </w:rPr>
              <w:t xml:space="preserve">☐ Ratified with the amendments recorded in Schedules A and B</w:t>
            </w:r>
            <w:r>
              <w:rPr>
                <w:b w:val="false"/>
                <w:bCs w:val="false"/>
                <w:i w:val="false"/>
                <w:iCs w:val="false"/>
                <w:color w:val="222629"/>
                <w:sz w:val="18"/>
                <w:szCs w:val="18"/>
              </w:rPr>
              <w:t xml:space="preserve"/>
            </w:r>
            <w:r>
              <w:rPr>
                <w:b w:val="false"/>
                <w:bCs w:val="false"/>
                <w:i w:val="false"/>
                <w:iCs w:val="false"/>
                <w:color w:val="222629"/>
                <w:sz w:val="18"/>
                <w:szCs w:val="18"/>
              </w:rPr>
              <w:br/>
              <w:t xml:space="preserve"/>
            </w:r>
            <w:r>
              <w:rPr>
                <w:b w:val="false"/>
                <w:bCs w:val="false"/>
                <w:i w:val="false"/>
                <w:iCs w:val="false"/>
                <w:color w:val="222629"/>
                <w:sz w:val="18"/>
                <w:szCs w:val="18"/>
              </w:rPr>
              <w:t xml:space="preserve">☐ Not ratified — reasons recorded below</w:t>
            </w:r>
          </w:p>
        </w:tc>
      </w:tr>
      <w:tr>
        <w:trPr>
          <w:cantSplit/>
          <w:trHeight w:val="1300" w:hRule="atLeas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Amendments and conditions</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w:r>
          </w:p>
        </w:tc>
      </w:tr>
      <w:tr>
        <w:trPr>
          <w:cantSplit/>
          <w:trHeight w:val="900" w:hRule="atLeas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Signature</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w:r>
          </w:p>
        </w:tc>
      </w:tr>
      <w:tr>
        <w:trPr>
          <w:cantSplit/>
          <w:trHeight w:val="500" w:hRule="atLeas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Date</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w:r>
          </w:p>
        </w:tc>
      </w:tr>
    </w:tbl>
    <w:p>
      <w:pPr>
        <w:spacing w:after="140"/>
      </w:pPr>
      <w:r>
        <w:t xml:space="preserve"/>
      </w:r>
    </w:p>
    <w:tbl>
      <w:tblPr>
        <w:tblW w:type="dxa" w:w="9638"/>
        <w:tblBorders>
          <w:top w:val="single" w:color="C7D2DC" w:sz="4"/>
          <w:left w:val="single" w:color="C7D2DC" w:sz="4"/>
          <w:bottom w:val="single" w:color="C7D2DC" w:sz="4"/>
          <w:right w:val="single" w:color="C7D2DC" w:sz="4"/>
          <w:insideH w:val="single" w:color="C7D2DC" w:sz="4"/>
          <w:insideV w:val="single" w:color="C7D2DC" w:sz="4"/>
        </w:tblBorders>
      </w:tblPr>
      <w:tblGrid>
        <w:gridCol w:w="2506"/>
        <w:gridCol w:w="7132"/>
      </w:tblGrid>
      <w:tr>
        <w:trPr>
          <w:cantSplit/>
          <w:tblHeader/>
        </w:trPr>
        <w:tc>
          <w:tcPr>
            <w:tcW w:type="dxa" w:w="2506"/>
            <w:shd w:fill="11304E" w:color="auto" w:val="clear"/>
            <w:tcMar>
              <w:top w:type="dxa" w:w="100"/>
              <w:left w:type="dxa" w:w="140"/>
              <w:bottom w:type="dxa" w:w="100"/>
              <w:right w:type="dxa" w:w="140"/>
            </w:tcMar>
            <w:vAlign w:val="center"/>
          </w:tcPr>
          <w:p>
            <w:pPr>
              <w:spacing w:after="40" w:before="40" w:line="252"/>
              <w:jc w:val="left"/>
            </w:pPr>
            <w:r>
              <w:rPr>
                <w:b/>
                <w:bCs/>
                <w:i w:val="false"/>
                <w:iCs w:val="false"/>
                <w:color w:val="FFFFFF"/>
                <w:sz w:val="19"/>
                <w:szCs w:val="19"/>
              </w:rPr>
              <w:t xml:space="preserve">Data and Database</w:t>
            </w:r>
          </w:p>
        </w:tc>
        <w:tc>
          <w:tcPr>
            <w:tcW w:type="dxa" w:w="7132"/>
            <w:shd w:fill="11304E" w:color="auto" w:val="clear"/>
            <w:tcMar>
              <w:top w:type="dxa" w:w="100"/>
              <w:left w:type="dxa" w:w="140"/>
              <w:bottom w:type="dxa" w:w="100"/>
              <w:right w:type="dxa" w:w="140"/>
            </w:tcMar>
            <w:vAlign w:val="center"/>
          </w:tcPr>
          <w:p>
            <w:pPr>
              <w:spacing w:after="40" w:before="40" w:line="252"/>
              <w:jc w:val="left"/>
            </w:pPr>
            <w:r>
              <w:rPr>
                <w:b/>
                <w:bCs/>
                <w:i w:val="false"/>
                <w:iCs w:val="false"/>
                <w:color w:val="FFFFFF"/>
                <w:sz w:val="19"/>
                <w:szCs w:val="19"/>
              </w:rPr>
              <w:t xml:space="preserve">Aarti</w:t>
            </w:r>
          </w:p>
        </w:tc>
      </w:tr>
      <w:tr>
        <w:trPr>
          <w:cantSpli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Scope of conclusion</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Append-only enforced by database privilege on the consent and assessment record stores (CNS-R16 – R18, SUIT-R23), and the retrieval paths required by CNS-R19.</w:t>
            </w:r>
          </w:p>
        </w:tc>
      </w:tr>
      <w:tr>
        <w:trPr>
          <w:cantSpli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Conclusion</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Ratified as drafted</w:t>
            </w:r>
            <w:r>
              <w:rPr>
                <w:b w:val="false"/>
                <w:bCs w:val="false"/>
                <w:i w:val="false"/>
                <w:iCs w:val="false"/>
                <w:color w:val="222629"/>
                <w:sz w:val="18"/>
                <w:szCs w:val="18"/>
              </w:rPr>
              <w:t xml:space="preserve"/>
            </w:r>
            <w:r>
              <w:rPr>
                <w:b w:val="false"/>
                <w:bCs w:val="false"/>
                <w:i w:val="false"/>
                <w:iCs w:val="false"/>
                <w:color w:val="222629"/>
                <w:sz w:val="18"/>
                <w:szCs w:val="18"/>
              </w:rPr>
              <w:br/>
              <w:t xml:space="preserve"/>
            </w:r>
            <w:r>
              <w:rPr>
                <w:b w:val="false"/>
                <w:bCs w:val="false"/>
                <w:i w:val="false"/>
                <w:iCs w:val="false"/>
                <w:color w:val="222629"/>
                <w:sz w:val="18"/>
                <w:szCs w:val="18"/>
              </w:rPr>
              <w:t xml:space="preserve">☐ Ratified with the amendments recorded in Schedules A and B</w:t>
            </w:r>
            <w:r>
              <w:rPr>
                <w:b w:val="false"/>
                <w:bCs w:val="false"/>
                <w:i w:val="false"/>
                <w:iCs w:val="false"/>
                <w:color w:val="222629"/>
                <w:sz w:val="18"/>
                <w:szCs w:val="18"/>
              </w:rPr>
              <w:t xml:space="preserve"/>
            </w:r>
            <w:r>
              <w:rPr>
                <w:b w:val="false"/>
                <w:bCs w:val="false"/>
                <w:i w:val="false"/>
                <w:iCs w:val="false"/>
                <w:color w:val="222629"/>
                <w:sz w:val="18"/>
                <w:szCs w:val="18"/>
              </w:rPr>
              <w:br/>
              <w:t xml:space="preserve"/>
            </w:r>
            <w:r>
              <w:rPr>
                <w:b w:val="false"/>
                <w:bCs w:val="false"/>
                <w:i w:val="false"/>
                <w:iCs w:val="false"/>
                <w:color w:val="222629"/>
                <w:sz w:val="18"/>
                <w:szCs w:val="18"/>
              </w:rPr>
              <w:t xml:space="preserve">☐ Not ratified — reasons recorded below</w:t>
            </w:r>
          </w:p>
        </w:tc>
      </w:tr>
      <w:tr>
        <w:trPr>
          <w:cantSplit/>
          <w:trHeight w:val="1300" w:hRule="atLeas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Amendments and conditions</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w:r>
          </w:p>
        </w:tc>
      </w:tr>
      <w:tr>
        <w:trPr>
          <w:cantSplit/>
          <w:trHeight w:val="900" w:hRule="atLeas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Signature</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w:r>
          </w:p>
        </w:tc>
      </w:tr>
      <w:tr>
        <w:trPr>
          <w:cantSplit/>
          <w:trHeight w:val="500" w:hRule="atLeas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Date</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w:r>
          </w:p>
        </w:tc>
      </w:tr>
    </w:tbl>
    <w:p>
      <w:pPr>
        <w:spacing w:after="140"/>
      </w:pPr>
      <w:r>
        <w:t xml:space="preserve"/>
      </w:r>
    </w:p>
    <w:tbl>
      <w:tblPr>
        <w:tblW w:type="dxa" w:w="9638"/>
        <w:tblBorders>
          <w:top w:val="single" w:color="C7D2DC" w:sz="4"/>
          <w:left w:val="single" w:color="C7D2DC" w:sz="4"/>
          <w:bottom w:val="single" w:color="C7D2DC" w:sz="4"/>
          <w:right w:val="single" w:color="C7D2DC" w:sz="4"/>
          <w:insideH w:val="single" w:color="C7D2DC" w:sz="4"/>
          <w:insideV w:val="single" w:color="C7D2DC" w:sz="4"/>
        </w:tblBorders>
      </w:tblPr>
      <w:tblGrid>
        <w:gridCol w:w="2506"/>
        <w:gridCol w:w="7132"/>
      </w:tblGrid>
      <w:tr>
        <w:trPr>
          <w:cantSplit/>
          <w:tblHeader/>
        </w:trPr>
        <w:tc>
          <w:tcPr>
            <w:tcW w:type="dxa" w:w="2506"/>
            <w:shd w:fill="11304E" w:color="auto" w:val="clear"/>
            <w:tcMar>
              <w:top w:type="dxa" w:w="100"/>
              <w:left w:type="dxa" w:w="140"/>
              <w:bottom w:type="dxa" w:w="100"/>
              <w:right w:type="dxa" w:w="140"/>
            </w:tcMar>
            <w:vAlign w:val="center"/>
          </w:tcPr>
          <w:p>
            <w:pPr>
              <w:spacing w:after="40" w:before="40" w:line="252"/>
              <w:jc w:val="left"/>
            </w:pPr>
            <w:r>
              <w:rPr>
                <w:b/>
                <w:bCs/>
                <w:i w:val="false"/>
                <w:iCs w:val="false"/>
                <w:color w:val="FFFFFF"/>
                <w:sz w:val="19"/>
                <w:szCs w:val="19"/>
              </w:rPr>
              <w:t xml:space="preserve">Quality Assurance</w:t>
            </w:r>
          </w:p>
        </w:tc>
        <w:tc>
          <w:tcPr>
            <w:tcW w:type="dxa" w:w="7132"/>
            <w:shd w:fill="11304E" w:color="auto" w:val="clear"/>
            <w:tcMar>
              <w:top w:type="dxa" w:w="100"/>
              <w:left w:type="dxa" w:w="140"/>
              <w:bottom w:type="dxa" w:w="100"/>
              <w:right w:type="dxa" w:w="140"/>
            </w:tcMar>
            <w:vAlign w:val="center"/>
          </w:tcPr>
          <w:p>
            <w:pPr>
              <w:spacing w:after="40" w:before="40" w:line="252"/>
              <w:jc w:val="left"/>
            </w:pPr>
            <w:r>
              <w:rPr>
                <w:b/>
                <w:bCs/>
                <w:i w:val="false"/>
                <w:iCs w:val="false"/>
                <w:color w:val="FFFFFF"/>
                <w:sz w:val="19"/>
                <w:szCs w:val="19"/>
              </w:rPr>
              <w:t xml:space="preserve">Swapnali</w:t>
            </w:r>
          </w:p>
        </w:tc>
      </w:tr>
      <w:tr>
        <w:trPr>
          <w:cantSpli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Scope of conclusion</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That every rule in both packs states a conformance test that is executable as written; complete branch coverage on the gate (SUIT-R27); that all nine gate refusal cases can be automated; and that the totality test required by SUIT-R19b — enumerating every combination of the five enumerated inputs across all three product classes — is practical to run in the pipeline.</w:t>
            </w:r>
          </w:p>
        </w:tc>
      </w:tr>
      <w:tr>
        <w:trPr>
          <w:cantSpli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Conclusion</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Ratified as drafted</w:t>
            </w:r>
            <w:r>
              <w:rPr>
                <w:b w:val="false"/>
                <w:bCs w:val="false"/>
                <w:i w:val="false"/>
                <w:iCs w:val="false"/>
                <w:color w:val="222629"/>
                <w:sz w:val="18"/>
                <w:szCs w:val="18"/>
              </w:rPr>
              <w:t xml:space="preserve"/>
            </w:r>
            <w:r>
              <w:rPr>
                <w:b w:val="false"/>
                <w:bCs w:val="false"/>
                <w:i w:val="false"/>
                <w:iCs w:val="false"/>
                <w:color w:val="222629"/>
                <w:sz w:val="18"/>
                <w:szCs w:val="18"/>
              </w:rPr>
              <w:br/>
              <w:t xml:space="preserve"/>
            </w:r>
            <w:r>
              <w:rPr>
                <w:b w:val="false"/>
                <w:bCs w:val="false"/>
                <w:i w:val="false"/>
                <w:iCs w:val="false"/>
                <w:color w:val="222629"/>
                <w:sz w:val="18"/>
                <w:szCs w:val="18"/>
              </w:rPr>
              <w:t xml:space="preserve">☐ Ratified with the amendments recorded in Schedules A and B</w:t>
            </w:r>
            <w:r>
              <w:rPr>
                <w:b w:val="false"/>
                <w:bCs w:val="false"/>
                <w:i w:val="false"/>
                <w:iCs w:val="false"/>
                <w:color w:val="222629"/>
                <w:sz w:val="18"/>
                <w:szCs w:val="18"/>
              </w:rPr>
              <w:t xml:space="preserve"/>
            </w:r>
            <w:r>
              <w:rPr>
                <w:b w:val="false"/>
                <w:bCs w:val="false"/>
                <w:i w:val="false"/>
                <w:iCs w:val="false"/>
                <w:color w:val="222629"/>
                <w:sz w:val="18"/>
                <w:szCs w:val="18"/>
              </w:rPr>
              <w:br/>
              <w:t xml:space="preserve"/>
            </w:r>
            <w:r>
              <w:rPr>
                <w:b w:val="false"/>
                <w:bCs w:val="false"/>
                <w:i w:val="false"/>
                <w:iCs w:val="false"/>
                <w:color w:val="222629"/>
                <w:sz w:val="18"/>
                <w:szCs w:val="18"/>
              </w:rPr>
              <w:t xml:space="preserve">☐ Not ratified — reasons recorded below</w:t>
            </w:r>
          </w:p>
        </w:tc>
      </w:tr>
      <w:tr>
        <w:trPr>
          <w:cantSplit/>
          <w:trHeight w:val="1300" w:hRule="atLeas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Amendments and conditions</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w:r>
          </w:p>
        </w:tc>
      </w:tr>
      <w:tr>
        <w:trPr>
          <w:cantSplit/>
          <w:trHeight w:val="900" w:hRule="atLeas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Signature</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w:r>
          </w:p>
        </w:tc>
      </w:tr>
      <w:tr>
        <w:trPr>
          <w:cantSplit/>
          <w:trHeight w:val="500" w:hRule="atLeas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Date</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w:r>
          </w:p>
        </w:tc>
      </w:tr>
    </w:tbl>
    <w:p>
      <w:pPr>
        <w:spacing w:after="140"/>
      </w:pPr>
      <w:r>
        <w:t xml:space="preserve"/>
      </w:r>
    </w:p>
    <w:tbl>
      <w:tblPr>
        <w:tblW w:type="dxa" w:w="9638"/>
        <w:tblBorders>
          <w:top w:val="single" w:color="C7D2DC" w:sz="4"/>
          <w:left w:val="single" w:color="C7D2DC" w:sz="4"/>
          <w:bottom w:val="single" w:color="C7D2DC" w:sz="4"/>
          <w:right w:val="single" w:color="C7D2DC" w:sz="4"/>
          <w:insideH w:val="single" w:color="C7D2DC" w:sz="4"/>
          <w:insideV w:val="single" w:color="C7D2DC" w:sz="4"/>
        </w:tblBorders>
      </w:tblPr>
      <w:tblGrid>
        <w:gridCol w:w="2506"/>
        <w:gridCol w:w="7132"/>
      </w:tblGrid>
      <w:tr>
        <w:trPr>
          <w:cantSplit/>
          <w:tblHeader/>
        </w:trPr>
        <w:tc>
          <w:tcPr>
            <w:tcW w:type="dxa" w:w="2506"/>
            <w:shd w:fill="11304E" w:color="auto" w:val="clear"/>
            <w:tcMar>
              <w:top w:type="dxa" w:w="100"/>
              <w:left w:type="dxa" w:w="140"/>
              <w:bottom w:type="dxa" w:w="100"/>
              <w:right w:type="dxa" w:w="140"/>
            </w:tcMar>
            <w:vAlign w:val="center"/>
          </w:tcPr>
          <w:p>
            <w:pPr>
              <w:spacing w:after="40" w:before="40" w:line="252"/>
              <w:jc w:val="left"/>
            </w:pPr>
            <w:r>
              <w:rPr>
                <w:b/>
                <w:bCs/>
                <w:i w:val="false"/>
                <w:iCs w:val="false"/>
                <w:color w:val="FFFFFF"/>
                <w:sz w:val="19"/>
                <w:szCs w:val="19"/>
              </w:rPr>
              <w:t xml:space="preserve">Solution Architecture</w:t>
            </w:r>
          </w:p>
        </w:tc>
        <w:tc>
          <w:tcPr>
            <w:tcW w:type="dxa" w:w="7132"/>
            <w:shd w:fill="11304E" w:color="auto" w:val="clear"/>
            <w:tcMar>
              <w:top w:type="dxa" w:w="100"/>
              <w:left w:type="dxa" w:w="140"/>
              <w:bottom w:type="dxa" w:w="100"/>
              <w:right w:type="dxa" w:w="140"/>
            </w:tcMar>
            <w:vAlign w:val="center"/>
          </w:tcPr>
          <w:p>
            <w:pPr>
              <w:spacing w:after="40" w:before="40" w:line="252"/>
              <w:jc w:val="left"/>
            </w:pPr>
            <w:r>
              <w:rPr>
                <w:b/>
                <w:bCs/>
                <w:i w:val="false"/>
                <w:iCs w:val="false"/>
                <w:color w:val="FFFFFF"/>
                <w:sz w:val="19"/>
                <w:szCs w:val="19"/>
              </w:rPr>
              <w:t xml:space="preserve">Mahesh</w:t>
            </w:r>
          </w:p>
        </w:tc>
      </w:tr>
      <w:tr>
        <w:trPr>
          <w:cantSpli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Scope of conclusion</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Placement of the suitability gate at the server-side quote interface, and the service-availability coupling implied by refusing quotes when the assessment service is unavailable (SUIT-R26).</w:t>
            </w:r>
          </w:p>
        </w:tc>
      </w:tr>
      <w:tr>
        <w:trPr>
          <w:cantSpli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Conclusion</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Ratified as drafted</w:t>
            </w:r>
            <w:r>
              <w:rPr>
                <w:b w:val="false"/>
                <w:bCs w:val="false"/>
                <w:i w:val="false"/>
                <w:iCs w:val="false"/>
                <w:color w:val="222629"/>
                <w:sz w:val="18"/>
                <w:szCs w:val="18"/>
              </w:rPr>
              <w:t xml:space="preserve"/>
            </w:r>
            <w:r>
              <w:rPr>
                <w:b w:val="false"/>
                <w:bCs w:val="false"/>
                <w:i w:val="false"/>
                <w:iCs w:val="false"/>
                <w:color w:val="222629"/>
                <w:sz w:val="18"/>
                <w:szCs w:val="18"/>
              </w:rPr>
              <w:br/>
              <w:t xml:space="preserve"/>
            </w:r>
            <w:r>
              <w:rPr>
                <w:b w:val="false"/>
                <w:bCs w:val="false"/>
                <w:i w:val="false"/>
                <w:iCs w:val="false"/>
                <w:color w:val="222629"/>
                <w:sz w:val="18"/>
                <w:szCs w:val="18"/>
              </w:rPr>
              <w:t xml:space="preserve">☐ Ratified with the amendments recorded in Schedules A and B</w:t>
            </w:r>
            <w:r>
              <w:rPr>
                <w:b w:val="false"/>
                <w:bCs w:val="false"/>
                <w:i w:val="false"/>
                <w:iCs w:val="false"/>
                <w:color w:val="222629"/>
                <w:sz w:val="18"/>
                <w:szCs w:val="18"/>
              </w:rPr>
              <w:t xml:space="preserve"/>
            </w:r>
            <w:r>
              <w:rPr>
                <w:b w:val="false"/>
                <w:bCs w:val="false"/>
                <w:i w:val="false"/>
                <w:iCs w:val="false"/>
                <w:color w:val="222629"/>
                <w:sz w:val="18"/>
                <w:szCs w:val="18"/>
              </w:rPr>
              <w:br/>
              <w:t xml:space="preserve"/>
            </w:r>
            <w:r>
              <w:rPr>
                <w:b w:val="false"/>
                <w:bCs w:val="false"/>
                <w:i w:val="false"/>
                <w:iCs w:val="false"/>
                <w:color w:val="222629"/>
                <w:sz w:val="18"/>
                <w:szCs w:val="18"/>
              </w:rPr>
              <w:t xml:space="preserve">☐ Not ratified — reasons recorded below</w:t>
            </w:r>
          </w:p>
        </w:tc>
      </w:tr>
      <w:tr>
        <w:trPr>
          <w:cantSplit/>
          <w:trHeight w:val="1300" w:hRule="atLeas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Amendments and conditions</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w:r>
          </w:p>
        </w:tc>
      </w:tr>
      <w:tr>
        <w:trPr>
          <w:cantSplit/>
          <w:trHeight w:val="900" w:hRule="atLeas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Signature</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w:r>
          </w:p>
        </w:tc>
      </w:tr>
      <w:tr>
        <w:trPr>
          <w:cantSplit/>
          <w:trHeight w:val="500" w:hRule="atLeas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Date</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w:r>
          </w:p>
        </w:tc>
      </w:tr>
    </w:tbl>
    <w:p>
      <w:pPr>
        <w:spacing w:after="140"/>
      </w:pPr>
      <w:r>
        <w:t xml:space="preserve"/>
      </w:r>
    </w:p>
    <w:tbl>
      <w:tblPr>
        <w:tblW w:type="dxa" w:w="9638"/>
        <w:tblBorders>
          <w:top w:val="single" w:color="C7D2DC" w:sz="4"/>
          <w:left w:val="single" w:color="C7D2DC" w:sz="4"/>
          <w:bottom w:val="single" w:color="C7D2DC" w:sz="4"/>
          <w:right w:val="single" w:color="C7D2DC" w:sz="4"/>
          <w:insideH w:val="single" w:color="C7D2DC" w:sz="4"/>
          <w:insideV w:val="single" w:color="C7D2DC" w:sz="4"/>
        </w:tblBorders>
      </w:tblPr>
      <w:tblGrid>
        <w:gridCol w:w="2506"/>
        <w:gridCol w:w="7132"/>
      </w:tblGrid>
      <w:tr>
        <w:trPr>
          <w:cantSplit/>
          <w:tblHeader/>
        </w:trPr>
        <w:tc>
          <w:tcPr>
            <w:tcW w:type="dxa" w:w="2506"/>
            <w:shd w:fill="11304E" w:color="auto" w:val="clear"/>
            <w:tcMar>
              <w:top w:type="dxa" w:w="100"/>
              <w:left w:type="dxa" w:w="140"/>
              <w:bottom w:type="dxa" w:w="100"/>
              <w:right w:type="dxa" w:w="140"/>
            </w:tcMar>
            <w:vAlign w:val="center"/>
          </w:tcPr>
          <w:p>
            <w:pPr>
              <w:spacing w:after="40" w:before="40" w:line="252"/>
              <w:jc w:val="left"/>
            </w:pPr>
            <w:r>
              <w:rPr>
                <w:b/>
                <w:bCs/>
                <w:i w:val="false"/>
                <w:iCs w:val="false"/>
                <w:color w:val="FFFFFF"/>
                <w:sz w:val="19"/>
                <w:szCs w:val="19"/>
              </w:rPr>
              <w:t xml:space="preserve">Operations</w:t>
            </w:r>
          </w:p>
        </w:tc>
        <w:tc>
          <w:tcPr>
            <w:tcW w:type="dxa" w:w="7132"/>
            <w:shd w:fill="11304E" w:color="auto" w:val="clear"/>
            <w:tcMar>
              <w:top w:type="dxa" w:w="100"/>
              <w:left w:type="dxa" w:w="140"/>
              <w:bottom w:type="dxa" w:w="100"/>
              <w:right w:type="dxa" w:w="140"/>
            </w:tcMar>
            <w:vAlign w:val="center"/>
          </w:tcPr>
          <w:p>
            <w:pPr>
              <w:spacing w:after="40" w:before="40" w:line="252"/>
              <w:jc w:val="left"/>
            </w:pPr>
            <w:r>
              <w:rPr>
                <w:b/>
                <w:bCs/>
                <w:i w:val="false"/>
                <w:iCs w:val="false"/>
                <w:color w:val="FFFFFF"/>
                <w:sz w:val="19"/>
                <w:szCs w:val="19"/>
              </w:rPr>
              <w:t xml:space="preserve">Shivanshi — Operations</w:t>
            </w:r>
          </w:p>
        </w:tc>
      </w:tr>
      <w:tr>
        <w:trPr>
          <w:cantSpli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Scope of conclusion</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The operational load these rules create and whether it can be carried: the retrieval service levels in Volume 2, §10 (one record in 4 business hours, a full bundle in 1 business day); the operations tasks raised by withdrawal after submission (CNS-R30) and by policy replacement (SUIT-R47); the customer and insurer contact required when a submission is stopped inside the notice interval (CNS-R22d); and what happens to in-flight journeys when the suitability service is unavailable and quotes are refused (SUIT-R26).</w:t>
            </w:r>
          </w:p>
        </w:tc>
      </w:tr>
      <w:tr>
        <w:trPr>
          <w:cantSpli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Conclusion</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Ratified as drafted</w:t>
            </w:r>
            <w:r>
              <w:rPr>
                <w:b w:val="false"/>
                <w:bCs w:val="false"/>
                <w:i w:val="false"/>
                <w:iCs w:val="false"/>
                <w:color w:val="222629"/>
                <w:sz w:val="18"/>
                <w:szCs w:val="18"/>
              </w:rPr>
              <w:t xml:space="preserve"/>
            </w:r>
            <w:r>
              <w:rPr>
                <w:b w:val="false"/>
                <w:bCs w:val="false"/>
                <w:i w:val="false"/>
                <w:iCs w:val="false"/>
                <w:color w:val="222629"/>
                <w:sz w:val="18"/>
                <w:szCs w:val="18"/>
              </w:rPr>
              <w:br/>
              <w:t xml:space="preserve"/>
            </w:r>
            <w:r>
              <w:rPr>
                <w:b w:val="false"/>
                <w:bCs w:val="false"/>
                <w:i w:val="false"/>
                <w:iCs w:val="false"/>
                <w:color w:val="222629"/>
                <w:sz w:val="18"/>
                <w:szCs w:val="18"/>
              </w:rPr>
              <w:t xml:space="preserve">☐ Ratified with the amendments recorded in Schedules A and B</w:t>
            </w:r>
            <w:r>
              <w:rPr>
                <w:b w:val="false"/>
                <w:bCs w:val="false"/>
                <w:i w:val="false"/>
                <w:iCs w:val="false"/>
                <w:color w:val="222629"/>
                <w:sz w:val="18"/>
                <w:szCs w:val="18"/>
              </w:rPr>
              <w:t xml:space="preserve"/>
            </w:r>
            <w:r>
              <w:rPr>
                <w:b w:val="false"/>
                <w:bCs w:val="false"/>
                <w:i w:val="false"/>
                <w:iCs w:val="false"/>
                <w:color w:val="222629"/>
                <w:sz w:val="18"/>
                <w:szCs w:val="18"/>
              </w:rPr>
              <w:br/>
              <w:t xml:space="preserve"/>
            </w:r>
            <w:r>
              <w:rPr>
                <w:b w:val="false"/>
                <w:bCs w:val="false"/>
                <w:i w:val="false"/>
                <w:iCs w:val="false"/>
                <w:color w:val="222629"/>
                <w:sz w:val="18"/>
                <w:szCs w:val="18"/>
              </w:rPr>
              <w:t xml:space="preserve">☐ Not ratified — reasons recorded below</w:t>
            </w:r>
          </w:p>
        </w:tc>
      </w:tr>
      <w:tr>
        <w:trPr>
          <w:cantSplit/>
          <w:trHeight w:val="1300" w:hRule="atLeas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Amendments and conditions</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w:r>
          </w:p>
        </w:tc>
      </w:tr>
      <w:tr>
        <w:trPr>
          <w:cantSplit/>
          <w:trHeight w:val="900" w:hRule="atLeas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Signature</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w:r>
          </w:p>
        </w:tc>
      </w:tr>
      <w:tr>
        <w:trPr>
          <w:cantSplit/>
          <w:trHeight w:val="500" w:hRule="atLeas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Date</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w:r>
          </w:p>
        </w:tc>
      </w:tr>
    </w:tbl>
    <w:p>
      <w:pPr>
        <w:spacing w:after="200"/>
      </w:pPr>
      <w:r>
        <w:t xml:space="preserve"/>
      </w:r>
    </w:p>
    <w:p>
      <w:pPr>
        <w:keepNext/>
        <w:keepLines/>
        <w:pBdr>
          <w:top w:val="single" w:color="F1F5F8" w:sz="2" w:space="8"/>
          <w:left w:val="single" w:color="9B2226" w:sz="18" w:space="10"/>
          <w:right w:val="single" w:color="F1F5F8" w:sz="2" w:space="10"/>
        </w:pBdr>
        <w:shd w:fill="F1F5F8" w:color="auto" w:val="clear"/>
        <w:spacing w:after="100" w:before="140" w:line="276"/>
        <w:ind w:left="200" w:right="200"/>
      </w:pPr>
      <w:r>
        <w:rPr>
          <w:b/>
          <w:bCs/>
          <w:i w:val="false"/>
          <w:iCs w:val="false"/>
          <w:color w:val="9B2226"/>
          <w:sz w:val="20"/>
          <w:szCs w:val="20"/>
        </w:rPr>
        <w:t xml:space="preserve">Provenance — read before signing anything above</w:t>
      </w:r>
    </w:p>
    <w:p>
      <w:pPr>
        <w:keepNext/>
        <w:keepLines/>
        <w:pBdr>
          <w:left w:val="single" w:color="9B2226" w:sz="18" w:space="10"/>
          <w:right w:val="single" w:color="F1F5F8" w:sz="2" w:space="10"/>
        </w:pBdr>
        <w:shd w:fill="F1F5F8" w:color="auto" w:val="clear"/>
        <w:spacing w:after="100" w:before="0" w:line="276"/>
        <w:ind w:left="200" w:right="200"/>
      </w:pPr>
      <w:r>
        <w:rPr>
          <w:b w:val="false"/>
          <w:bCs w:val="false"/>
          <w:i w:val="false"/>
          <w:iCs w:val="false"/>
          <w:color w:val="222629"/>
          <w:sz w:val="20"/>
          <w:szCs w:val="20"/>
        </w:rPr>
        <w:t xml:space="preserve">This pack was drafted by an AI agent working from the Product Owner’s reasoning package and the programme’s own documents. It is a draft placed in front of the accountable humans, not a decision any of them has taken.</w:t>
      </w:r>
    </w:p>
    <w:p>
      <w:pPr>
        <w:keepNext/>
        <w:keepLines/>
        <w:pBdr>
          <w:left w:val="single" w:color="9B2226" w:sz="18" w:space="10"/>
          <w:right w:val="single" w:color="F1F5F8" w:sz="2" w:space="10"/>
        </w:pBdr>
        <w:shd w:fill="F1F5F8" w:color="auto" w:val="clear"/>
        <w:spacing w:after="100" w:before="0" w:line="276"/>
        <w:ind w:left="200" w:right="200"/>
      </w:pPr>
      <w:r>
        <w:rPr>
          <w:b w:val="false"/>
          <w:bCs w:val="false"/>
          <w:i w:val="false"/>
          <w:iCs w:val="false"/>
          <w:color w:val="222629"/>
          <w:sz w:val="20"/>
          <w:szCs w:val="20"/>
        </w:rPr>
        <w:t xml:space="preserve">In particular: there is no Product decision on these packs. Earlier drafting said Product had approved them, which implied a review that had not happened. Product’s decision is now a signature block like every other, immediately above, and it is unsigned. Until Rajal signs it, statements in this document beginning "Product’s position is…" describe a drafted recommendation and nothing more.</w:t>
      </w:r>
    </w:p>
    <w:p>
      <w:pPr>
        <w:keepNext w:val="false"/>
        <w:keepLines/>
        <w:pBdr>
          <w:bottom w:val="single" w:color="F1F5F8" w:sz="2" w:space="8"/>
          <w:left w:val="single" w:color="9B2226" w:sz="18" w:space="10"/>
          <w:right w:val="single" w:color="F1F5F8" w:sz="2" w:space="10"/>
        </w:pBdr>
        <w:shd w:fill="F1F5F8" w:color="auto" w:val="clear"/>
        <w:spacing w:after="140" w:before="0" w:line="276"/>
        <w:ind w:left="200" w:right="200"/>
      </w:pPr>
      <w:r>
        <w:rPr>
          <w:b w:val="false"/>
          <w:bCs w:val="false"/>
          <w:i w:val="false"/>
          <w:iCs w:val="false"/>
          <w:color w:val="222629"/>
          <w:sz w:val="20"/>
          <w:szCs w:val="20"/>
        </w:rPr>
        <w:t xml:space="preserve">Silence approves nothing here — not from Compliance, not from Product, and not from any of the supporting roles.</w:t>
      </w:r>
    </w:p>
    <w:p>
      <w:pPr>
        <w:pStyle w:val="Heading1"/>
        <w:keepNext/>
        <w:keepLines/>
        <w:pageBreakBefore/>
        <w:pBdr>
          <w:bottom w:val="single" w:color="0F6E6E" w:sz="8" w:space="6"/>
        </w:pBdr>
        <w:spacing w:after="160" w:before="0"/>
      </w:pPr>
      <w:r>
        <w:rPr>
          <w:b/>
          <w:bCs/>
          <w:color w:val="11304E"/>
          <w:sz w:val="30"/>
          <w:szCs w:val="30"/>
        </w:rPr>
        <w:t xml:space="preserve">Appendix — Terms and internal references</w:t>
      </w:r>
    </w:p>
    <w:p>
      <w:pPr>
        <w:spacing w:after="120" w:before="0" w:line="276"/>
        <w:jc w:val="left"/>
      </w:pPr>
      <w:r>
        <w:rPr>
          <w:b w:val="false"/>
          <w:bCs w:val="false"/>
          <w:i w:val="false"/>
          <w:iCs w:val="false"/>
          <w:color w:val="222629"/>
          <w:sz w:val="20"/>
          <w:szCs w:val="20"/>
        </w:rPr>
        <w:t xml:space="preserve">Part 1 defines the terms used in the rules themselves. Part 2 explains the programme codes that appear anywhere in this set of documents — they are the labels the delivery organisation uses internally, and they are recorded here so that nothing in this approval depends on knowing them. This appendix is identical in all three volumes.</w:t>
      </w:r>
    </w:p>
    <w:p>
      <w:pPr>
        <w:pStyle w:val="Heading2"/>
        <w:keepNext/>
        <w:keepLines/>
        <w:spacing w:after="120" w:before="300"/>
      </w:pPr>
      <w:r>
        <w:rPr>
          <w:b/>
          <w:bCs/>
          <w:color w:val="11304E"/>
          <w:sz w:val="24"/>
          <w:szCs w:val="24"/>
        </w:rPr>
        <w:t xml:space="preserve">Part 1 — Terms used in the rules</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2120"/>
        <w:gridCol w:w="7518"/>
      </w:tblGrid>
      <w:tr>
        <w:trPr>
          <w:cantSplit/>
          <w:tblHeader/>
        </w:trPr>
        <w:tc>
          <w:tcPr>
            <w:tcW w:type="dxa" w:w="212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Term</w:t>
            </w:r>
          </w:p>
        </w:tc>
        <w:tc>
          <w:tcPr>
            <w:tcW w:type="dxa" w:w="7518"/>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Meaning</w:t>
            </w:r>
          </w:p>
        </w:tc>
      </w:tr>
      <w:tr>
        <w:trPr>
          <w:cantSplit/>
        </w:trPr>
        <w:tc>
          <w:tcPr>
            <w:tcW w:type="dxa" w:w="212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Assessment</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completed suitability evaluation for one customer, carrying an outcome for each product class. The rule identifiers call this an evaluation; the two words mean the same thing here.</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Consent event</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One of the four occasions on which consent is required in the first release: data processing, solicitation, insurer sharing, and servicing communications.</w:t>
            </w:r>
          </w:p>
        </w:tc>
      </w:tr>
      <w:tr>
        <w:trPr>
          <w:cantSplit/>
        </w:trPr>
        <w:tc>
          <w:tcPr>
            <w:tcW w:type="dxa" w:w="212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Existing bank customer</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customer who already holds a relationship with the bank, and therefore an existing customer record. The first release serves these customers only, and no one else.</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Fail closed</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When a control cannot complete, the business action is refused rather than allowed through. The opposite, fail open, permits the action and records the problem for later.</w:t>
            </w:r>
          </w:p>
        </w:tc>
      </w:tr>
      <w:tr>
        <w:trPr>
          <w:cantSplit/>
        </w:trPr>
        <w:tc>
          <w:tcPr>
            <w:tcW w:type="dxa" w:w="212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Hard block, hard gate</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control that refuses the business action rather than warning about it. The suitability check before quote is a hard gate: it does not caution, it refuses.</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Interaction, ceremony</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single customer-facing exchange in which one or more statements are presented and acknowledged, verified by one one-time password sent to the customer’s phone.</w:t>
            </w:r>
          </w:p>
        </w:tc>
      </w:tr>
      <w:tr>
        <w:trPr>
          <w:cantSplit/>
        </w:trPr>
        <w:tc>
          <w:tcPr>
            <w:tcW w:type="dxa" w:w="212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Non-waivable</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control that no authority within the programme may set aside, however senior. Consent capture where it is legally required, and holding data within India, are both on that list.</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One-time password</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numeric code sent to the customer’s registered mobile number, which the customer enters on their own device to confirm an acknowledgement.</w:t>
            </w:r>
          </w:p>
        </w:tc>
      </w:tr>
      <w:tr>
        <w:trPr>
          <w:cantSplit/>
        </w:trPr>
        <w:tc>
          <w:tcPr>
            <w:tcW w:type="dxa" w:w="212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Panel, approved panel</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set of insurers the bank distributes for in the first release, integrated directly. Insurers outside the panel are handled by a controlled redirect and are out of scope.</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Panel-scoped consent</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sharing consent that names every insurer on the panel at the point of capture, later narrowed to one by the customer’s product selection. Proposed in §9; not part of the packs as drafted.</w:t>
            </w:r>
          </w:p>
        </w:tc>
      </w:tr>
      <w:tr>
        <w:trPr>
          <w:cantSplit/>
        </w:trPr>
        <w:tc>
          <w:tcPr>
            <w:tcW w:type="dxa" w:w="212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Protection gap</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Recommended cover less existing cover, floored at zero. The central output of the suitability computation.</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Scope binding</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act of narrowing a panel-scoped sharing consent to one named insurer, evidenced by the customer’s own product selection.</w:t>
            </w:r>
          </w:p>
        </w:tc>
      </w:tr>
      <w:tr>
        <w:trPr>
          <w:cantSplit/>
        </w:trPr>
        <w:tc>
          <w:tcPr>
            <w:tcW w:type="dxa" w:w="212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Statement identifier</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permanent identifier of a consent statement, combining the consent code, the language and the version. Its meaning never changes, which is what allows a record to be interpreted years later.</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Statement version</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published wording of a consent statement. A material change of meaning creates a new major version; a typographical or formatting correction creates a minor one.</w:t>
            </w:r>
          </w:p>
        </w:tc>
      </w:tr>
    </w:tbl>
    <w:p>
      <w:pPr>
        <w:pStyle w:val="Heading2"/>
        <w:keepNext/>
        <w:keepLines/>
        <w:pageBreakBefore/>
        <w:spacing w:after="120" w:before="0"/>
      </w:pPr>
      <w:r>
        <w:rPr>
          <w:b/>
          <w:bCs/>
          <w:color w:val="11304E"/>
          <w:sz w:val="24"/>
          <w:szCs w:val="24"/>
        </w:rPr>
        <w:t xml:space="preserve">Part 2 — Internal programme references</w:t>
      </w:r>
    </w:p>
    <w:p>
      <w:pPr>
        <w:spacing w:after="120" w:before="0" w:line="276"/>
        <w:jc w:val="left"/>
      </w:pPr>
      <w:r>
        <w:rPr>
          <w:b w:val="false"/>
          <w:bCs w:val="false"/>
          <w:i w:val="false"/>
          <w:iCs w:val="false"/>
          <w:color w:val="222629"/>
          <w:sz w:val="20"/>
          <w:szCs w:val="20"/>
        </w:rPr>
        <w:t xml:space="preserve">These codes belong to the delivery organisation, not to Compliance. Nothing in this approval requires them to be used or understood — they are set out here only so that a reference encountered in a meeting or a status report can be placed.</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638"/>
        <w:gridCol w:w="4915"/>
        <w:gridCol w:w="3085"/>
      </w:tblGrid>
      <w:tr>
        <w:trPr>
          <w:cantSplit/>
          <w:tblHeader/>
        </w:trPr>
        <w:tc>
          <w:tcPr>
            <w:tcW w:type="dxa" w:w="1638"/>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Reference</w:t>
            </w:r>
          </w:p>
        </w:tc>
        <w:tc>
          <w:tcPr>
            <w:tcW w:type="dxa" w:w="4915"/>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What it is</w:t>
            </w:r>
          </w:p>
        </w:tc>
        <w:tc>
          <w:tcPr>
            <w:tcW w:type="dxa" w:w="3085"/>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How it is written in this document</w:t>
            </w:r>
          </w:p>
        </w:tc>
      </w:tr>
      <w:tr>
        <w:trPr>
          <w:cantSplit/>
        </w:trPr>
        <w:tc>
          <w:tcPr>
            <w:tcW w:type="dxa" w:w="163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R0</w:t>
            </w:r>
          </w:p>
        </w:tc>
        <w:tc>
          <w:tcPr>
            <w:tcW w:type="dxa" w:w="491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internal label for the first release of the platform — Life products, existing bank customers, relationship-manager assisted.</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first release" throughout.</w:t>
            </w:r>
          </w:p>
        </w:tc>
      </w:tr>
      <w:tr>
        <w:trPr>
          <w:cantSplit/>
        </w:trPr>
        <w:tc>
          <w:tcPr>
            <w:tcW w:type="dxa" w:w="1638"/>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GAP-006</w:t>
            </w:r>
          </w:p>
        </w:tc>
        <w:tc>
          <w:tcPr>
            <w:tcW w:type="dxa" w:w="491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entry in the programme’s issue register recording that the consent rules were not executable.</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Described in words as one of the two blocking issues.</w:t>
            </w:r>
          </w:p>
        </w:tc>
      </w:tr>
      <w:tr>
        <w:trPr>
          <w:cantSplit/>
        </w:trPr>
        <w:tc>
          <w:tcPr>
            <w:tcW w:type="dxa" w:w="163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GAP-007</w:t>
            </w:r>
          </w:p>
        </w:tc>
        <w:tc>
          <w:tcPr>
            <w:tcW w:type="dxa" w:w="491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entry recording that the suitability content and override policy were unknown.</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Described in words as the second blocking issue.</w:t>
            </w:r>
          </w:p>
        </w:tc>
      </w:tr>
      <w:tr>
        <w:trPr>
          <w:cantSplit/>
        </w:trPr>
        <w:tc>
          <w:tcPr>
            <w:tcW w:type="dxa" w:w="1638"/>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P0</w:t>
            </w:r>
          </w:p>
        </w:tc>
        <w:tc>
          <w:tcPr>
            <w:tcW w:type="dxa" w:w="491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programme’s highest issue severity. An open item at this severity freezes development.</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"Highest severity; development cannot start while it is open."</w:t>
            </w:r>
          </w:p>
        </w:tc>
      </w:tr>
      <w:tr>
        <w:trPr>
          <w:cantSplit/>
        </w:trPr>
        <w:tc>
          <w:tcPr>
            <w:tcW w:type="dxa" w:w="163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S02-G3</w:t>
            </w:r>
          </w:p>
        </w:tc>
        <w:tc>
          <w:tcPr>
            <w:tcW w:type="dxa" w:w="491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approval checkpoint that requires a consent rule pack reviewed and signed by Compliance before the stage can close.</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consent approval checkpoint."</w:t>
            </w:r>
          </w:p>
        </w:tc>
      </w:tr>
      <w:tr>
        <w:trPr>
          <w:cantSplit/>
        </w:trPr>
        <w:tc>
          <w:tcPr>
            <w:tcW w:type="dxa" w:w="1638"/>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S02-G4</w:t>
            </w:r>
          </w:p>
        </w:tc>
        <w:tc>
          <w:tcPr>
            <w:tcW w:type="dxa" w:w="491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equivalent checkpoint for the suitability rule pack.</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suitability approval checkpoint."</w:t>
            </w:r>
          </w:p>
        </w:tc>
      </w:tr>
      <w:tr>
        <w:trPr>
          <w:cantSplit/>
        </w:trPr>
        <w:tc>
          <w:tcPr>
            <w:tcW w:type="dxa" w:w="163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E1, E2, E3, E4</w:t>
            </w:r>
          </w:p>
        </w:tc>
        <w:tc>
          <w:tcPr>
            <w:tcW w:type="dxa" w:w="491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programme’s four grades of evidence: the document exists; reviewed and signed; run and observed; run, observed and repeatable. This approval produces the second grade.</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Described in plain words in Volume 1, §5, without the codes.</w:t>
            </w:r>
          </w:p>
        </w:tc>
      </w:tr>
      <w:tr>
        <w:trPr>
          <w:cantSplit/>
        </w:trPr>
        <w:tc>
          <w:tcPr>
            <w:tcW w:type="dxa" w:w="1638"/>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CNS-Rnn, SUIT-Rnn</w:t>
            </w:r>
          </w:p>
        </w:tc>
        <w:tc>
          <w:tcPr>
            <w:tcW w:type="dxa" w:w="491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permanent identifiers of individual rules in the two packs. These do appear throughout, because they are how a specific rule is amended or cited.</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Used as written; conventions explained in Volume 1, §7.</w:t>
            </w:r>
          </w:p>
        </w:tc>
      </w:tr>
      <w:tr>
        <w:trPr>
          <w:cantSplit/>
        </w:trPr>
        <w:tc>
          <w:tcPr>
            <w:tcW w:type="dxa" w:w="163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OPEN-CNS-nn, OPEN-SUIT-nn</w:t>
            </w:r>
          </w:p>
        </w:tc>
        <w:tc>
          <w:tcPr>
            <w:tcW w:type="dxa" w:w="491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identifiers of open questions carried out of each pack for Compliance to determine.</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Used as written; all are listed in Volume 1, §10.</w:t>
            </w:r>
          </w:p>
        </w:tc>
      </w:tr>
      <w:tr>
        <w:trPr>
          <w:cantSplit/>
        </w:trPr>
        <w:tc>
          <w:tcPr>
            <w:tcW w:type="dxa" w:w="1638"/>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SUIT-ALGO-LIFE-v1.1</w:t>
            </w:r>
          </w:p>
        </w:tc>
        <w:tc>
          <w:tcPr>
            <w:tcW w:type="dxa" w:w="491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version identifier of the suitability algorithm being submitted. It is recorded on every assessment so that any past assessment can be reproduced.</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Used as written.</w:t>
            </w:r>
          </w:p>
        </w:tc>
      </w:tr>
    </w:tbl>
    <w:p>
      <w:pPr>
        <w:spacing w:after="200"/>
      </w:pPr>
      <w:r>
        <w:t xml:space="preserve"/>
      </w:r>
    </w:p>
    <w:p>
      <w:pPr>
        <w:pBdr>
          <w:top w:val="single" w:color="C7D2DC" w:sz="6" w:space="8"/>
        </w:pBdr>
        <w:spacing w:before="200"/>
      </w:pPr>
      <w:r>
        <w:rPr>
          <w:b w:val="false"/>
          <w:bCs w:val="false"/>
          <w:i/>
          <w:iCs/>
          <w:color w:val="5A6570"/>
          <w:sz w:val="17"/>
          <w:szCs w:val="17"/>
        </w:rPr>
        <w:t xml:space="preserve">Volume 1 of 3 — Decision Pack · Prepared by Rajal, Principal Insurance Platform Product Owner · AU Bank Insurance Distribution Platform · 17 August 2026 · Approval reference COMP-APPROVE-CNS-SUIT-v1.1</w:t>
      </w:r>
    </w:p>
    <w:sectPr>
      <w:headerReference w:type="default" r:id="rId7"/>
      <w:footerReference w:type="default" r:id="rId8"/>
      <w:pgSz w:w="11906" w:h="16838" w:orient="portrait"/>
      <w:pgMar w:top="1191" w:right="1134" w:bottom="1418" w:left="1134" w:header="624" w:footer="68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A8794"/>
        <w:sz w:val="15"/>
        <w:szCs w:val="15"/>
      </w:rPr>
      <w:t xml:space="preserve">Internal — Compliance, Product, Delivery   |   Page </w:t>
    </w:r>
    <w:r>
      <w:rPr>
        <w:color w:val="7A8794"/>
        <w:sz w:val="15"/>
        <w:szCs w:val="15"/>
      </w:rPr>
      <w:fldChar w:fldCharType="begin"/>
      <w:instrText xml:space="preserve">PAGE</w:instrText>
      <w:fldChar w:fldCharType="separate"/>
      <w:fldChar w:fldCharType="end"/>
    </w:r>
    <w:r>
      <w:rPr>
        <w:color w:val="7A8794"/>
        <w:sz w:val="15"/>
        <w:szCs w:val="15"/>
      </w:rPr>
      <w:t xml:space="preserve"> of </w:t>
    </w:r>
    <w:r>
      <w:rPr>
        <w:color w:val="7A8794"/>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C" w:sz="4" w:space="4"/>
      </w:pBdr>
      <w:jc w:val="right"/>
    </w:pPr>
    <w:r>
      <w:rPr>
        <w:color w:val="7A8794"/>
        <w:sz w:val="15"/>
        <w:szCs w:val="15"/>
      </w:rPr>
      <w:t xml:space="preserve">Volume 1 — Decision Pack  ·  Consent &amp; Suitability Compliance Approval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abstractNum w:abstractNumId="3" w15:restartNumberingAfterBreak="0">
    <w:multiLevelType w:val="hybridMultilevel"/>
    <w:lvl w:ilvl="0" w15:tentative="1">
      <w:start w:val="1"/>
      <w:numFmt w:val="decimal"/>
      <w:lvlText w:val="%1."/>
      <w:lvlJc w:val="start"/>
      <w:pPr>
        <w:ind w:left="40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629"/>
        <w:sz w:val="20"/>
        <w:szCs w:val="20"/>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Compliance Approval — Volume 1, Decision Pack</dc:title>
  <dc:creator>Rajal — Principal Insurance Platform Product Owner</dc:creator>
  <dc:description>Compliance approval sought before development, to close GAP-006 and GAP-007 and pass S02-G3 and S02-G4</dc:description>
  <cp:lastModifiedBy>Un-named</cp:lastModifiedBy>
  <cp:revision>1</cp:revision>
  <dcterms:created xsi:type="dcterms:W3CDTF">2026-08-17T08:34:18.129Z</dcterms:created>
  <dcterms:modified xsi:type="dcterms:W3CDTF">2026-08-17T08:34:18.129Z</dcterms:modified>
</cp:coreProperties>
</file>

<file path=docProps/custom.xml><?xml version="1.0" encoding="utf-8"?>
<Properties xmlns="http://schemas.openxmlformats.org/officeDocument/2006/custom-properties" xmlns:vt="http://schemas.openxmlformats.org/officeDocument/2006/docPropsVTypes"/>
</file>