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Volume 3 of 3  ·  Reference volume, read alongside Decision Schedule B</w:t>
      </w:r>
    </w:p>
    <w:p>
      <w:pPr>
        <w:spacing w:after="140" w:line="640"/>
      </w:pPr>
      <w:r>
        <w:rPr>
          <w:b/>
          <w:bCs/>
          <w:i w:val="false"/>
          <w:iCs w:val="false"/>
          <w:color w:val="11304E"/>
          <w:sz w:val="52"/>
          <w:szCs w:val="52"/>
        </w:rPr>
        <w:t xml:space="preserve">Suitability Rule Pack</w:t>
      </w:r>
    </w:p>
    <w:p>
      <w:pPr>
        <w:spacing w:after="220" w:line="500"/>
      </w:pPr>
      <w:r>
        <w:rPr>
          <w:b/>
          <w:bCs/>
          <w:i w:val="false"/>
          <w:iCs w:val="false"/>
          <w:color w:val="0F6E6E"/>
          <w:sz w:val="40"/>
          <w:szCs w:val="40"/>
        </w:rPr>
        <w:t xml:space="preserve">The 62 rules, in full</w:t>
      </w:r>
    </w:p>
    <w:p>
      <w:pPr>
        <w:pBdr>
          <w:bottom w:val="single" w:color="11304E" w:sz="12" w:space="8"/>
        </w:pBdr>
        <w:spacing w:after="260"/>
      </w:pPr>
      <w:r>
        <w:rPr>
          <w:b w:val="false"/>
          <w:bCs w:val="false"/>
          <w:i/>
          <w:iCs/>
          <w:color w:val="445260"/>
          <w:sz w:val="22"/>
          <w:szCs w:val="22"/>
        </w:rPr>
        <w:t xml:space="preserve">The complete text of what Decision Schedule B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 of 3 — Suitability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B (§9).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62 rules — SUIT-R01 to SUIT-R48 with fourteen sub-numbered rules added at v1.1 — in 14 sections, together with the sixteen-input question set (four taken from bank records, twelve asked), the computation and its worked example, the outcome tables, the assessment record and the override policy</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submitted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 — recorded on every assessment so any past assessment can be reproduced exactly. Raised from v1.0 because the outcome tables were made exhaustive and income is now taken as an exact figure rather than a band; both change results, so under SUIT-R07 they require a new version</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Suitability Service does not exist, but the quote path does. </w:t>
            </w:r>
            <w:r>
              <w:rPr>
                <w:b w:val="false"/>
                <w:bCs w:val="false"/>
                <w:i w:val="false"/>
                <w:iCs w:val="false"/>
                <w:color w:val="222629"/>
                <w:sz w:val="18"/>
                <w:szCs w:val="18"/>
              </w:rPr>
              <w:t xml:space="preserve">It was built and hardened without this gate — the defect this approval exists to close. See Volume 1, §3.</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products (Term, Savings/Endowment and unit-linked), sold to existing bank customers, assisted by a relationship manager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The gate, stated once and precisely</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The need-analysis question set</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The computation</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Product-class outcomes</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The assessment record</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gate before quote</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Invalidation, re-assessment and reuse</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What may never be overridden</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Caution outcomes — proceed with disclosure, not with override</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Customer-initiated deviation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Replacement of an existing policy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The one exception that does exist</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  </w:t>
      </w:r>
      <w:r>
        <w:rPr>
          <w:b w:val="false"/>
          <w:bCs w:val="false"/>
          <w:i w:val="false"/>
          <w:iCs w:val="false"/>
          <w:color w:val="222629"/>
          <w:sz w:val="20"/>
          <w:szCs w:val="20"/>
        </w:rPr>
        <w:t xml:space="preserve">Appendix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B in Volume 1 has one row per subject, and each row names the section of this volume to read. The order is not identical, because the schedule follows the order in which a reviewer meets the decisions and this volume follows the order in which the model runs. Sections 13 and 14 carry no decision row: section 13 records which obligation each rule serves, and section 14 sets out what the pack deliberately leaves open.</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The gate, stated once and precisely</w:t>
      </w:r>
    </w:p>
    <w:p>
      <w:pPr>
        <w:keepNext/>
        <w:keepLines/>
        <w:pBdr>
          <w:top w:val="single" w:color="F1F5F8" w:sz="2" w:space="8"/>
          <w:left w:val="single" w:color="11304E" w:sz="18" w:space="10"/>
          <w:right w:val="single" w:color="F1F5F8" w:sz="2" w:space="10"/>
        </w:pBdr>
        <w:shd w:fill="F1F5F8" w:color="auto" w:val="clear"/>
        <w:spacing w:after="100" w:before="140" w:line="276"/>
        <w:ind w:left="200" w:right="200"/>
      </w:pPr>
      <w:r>
        <w:rPr>
          <w:b/>
          <w:bCs/>
          <w:i w:val="false"/>
          <w:iCs w:val="false"/>
          <w:color w:val="11304E"/>
          <w:sz w:val="20"/>
          <w:szCs w:val="20"/>
        </w:rPr>
        <w:t xml:space="preserve">SUIT-R20</w:t>
      </w:r>
    </w:p>
    <w:p>
      <w:pPr>
        <w:keepNext w:val="false"/>
        <w:keepLines/>
        <w:pBdr>
          <w:bottom w:val="single" w:color="F1F5F8" w:sz="2" w:space="8"/>
          <w:left w:val="single" w:color="11304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assessment that is active, was issued within the last 30 days, is bound to the same customer, and whose outcome permits the product class being requested. Four conditions. All four must hold. Each is separately tested in B.6.</w:t>
      </w:r>
    </w:p>
    <w:p>
      <w:pPr>
        <w:spacing w:after="100"/>
      </w:pPr>
      <w:r>
        <w:t xml:space="preserve"/>
      </w:r>
    </w:p>
    <w:p>
      <w:pPr>
        <w:spacing w:after="120" w:before="0" w:line="276"/>
        <w:jc w:val="left"/>
      </w:pPr>
      <w:r>
        <w:rPr>
          <w:b w:val="false"/>
          <w:bCs w:val="false"/>
          <w:i w:val="false"/>
          <w:iCs w:val="false"/>
          <w:color w:val="222629"/>
          <w:sz w:val="20"/>
          <w:szCs w:val="20"/>
        </w:rPr>
        <w:t xml:space="preserve">That the gate exists at all is not in question — bypassing suitability before quote is described in the programme’s own baseline as unlawful. What was missing, and what this pack supplies, is the content: the questions, the arithmetic, the outcome bands, and what a valid assessment actually means.</w:t>
      </w:r>
    </w:p>
    <w:p>
      <w:pPr>
        <w:pStyle w:val="Heading2"/>
        <w:keepNext/>
        <w:keepLines/>
        <w:spacing w:after="120" w:before="300"/>
      </w:pPr>
      <w:r>
        <w:rPr>
          <w:b/>
          <w:bCs/>
          <w:color w:val="11304E"/>
          <w:sz w:val="24"/>
          <w:szCs w:val="24"/>
        </w:rPr>
        <w:t xml:space="preserve">2.  The need-analysis question set</w:t>
      </w:r>
    </w:p>
    <w:p>
      <w:pPr>
        <w:spacing w:after="120" w:before="0" w:line="276"/>
        <w:jc w:val="left"/>
      </w:pPr>
      <w:r>
        <w:rPr>
          <w:b w:val="false"/>
          <w:bCs w:val="false"/>
          <w:i w:val="false"/>
          <w:iCs w:val="false"/>
          <w:color w:val="222629"/>
          <w:sz w:val="20"/>
          <w:szCs w:val="20"/>
        </w:rPr>
        <w:t xml:space="preserve">Sixteen inputs in total: four taken from bank records and never asked, and twelve asked of the customer. A questionnaire longer than twelve questions, in a branch conversation, is completed dishonestly — which defeats its purpose.</w:t>
      </w:r>
    </w:p>
    <w:p>
      <w:pPr>
        <w:pStyle w:val="Heading3"/>
        <w:keepNext/>
        <w:keepLines/>
        <w:spacing w:after="100" w:before="220"/>
      </w:pPr>
      <w:r>
        <w:rPr>
          <w:b/>
          <w:bCs/>
          <w:color w:val="0F6E6E"/>
          <w:sz w:val="21"/>
          <w:szCs w:val="21"/>
        </w:rPr>
        <w:t xml:space="preserve">Taken from bank records — no question asked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2891"/>
        <w:gridCol w:w="2892"/>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Input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Source</w:t>
            </w:r>
          </w:p>
        </w:tc>
        <w:tc>
          <w:tcPr>
            <w:tcW w:type="dxa" w:w="289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If unavailable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at next birthday</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of birth in the bank record</w:t>
            </w:r>
          </w:p>
        </w:tc>
        <w:tc>
          <w:tcPr>
            <w:tcW w:type="dxa" w:w="289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 — the journey is blocked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Length of the customer relationship, in months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no block</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Existing life cover distributed by the bank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Policy records</w:t>
            </w:r>
          </w:p>
        </w:tc>
        <w:tc>
          <w:tcPr>
            <w:tcW w:type="dxa" w:w="289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Known outstanding loan liability to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bl>
    <w:p>
      <w:pPr>
        <w:spacing w:after="120"/>
      </w:pPr>
      <w:r>
        <w:t xml:space="preserve"/>
      </w:r>
    </w:p>
    <w:p>
      <w:pPr>
        <w:pStyle w:val="Heading3"/>
        <w:keepNext/>
        <w:keepLines/>
        <w:spacing w:after="100" w:before="220"/>
      </w:pPr>
      <w:r>
        <w:rPr>
          <w:b/>
          <w:bCs/>
          <w:color w:val="0F6E6E"/>
          <w:sz w:val="21"/>
          <w:szCs w:val="21"/>
        </w:rPr>
        <w:t xml:space="preserve">Asked of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3084"/>
        <w:gridCol w:w="2699"/>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Answer</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Validation</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Annual income, self-declared</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exact rupee 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 The band in §3 is derived from this figure and recorded alongside it; the computation uses the exact figure, never the band.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Number of financially dependent persons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Whole number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Between 0 and 10</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existing life cover across all insurers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outstanding liabilities across all lenders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Q05</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Primary financial objective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Protection, savings goal, retirement, wealth growth or tax planning</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Q06</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Investment horizon</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 5 years, 5–10, 10–20, or over 20 years</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Q07</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Attitude to investment risk</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Capital protection, low, moderate or high</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Q08</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Premium the customer is comfortable committing annually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Q09</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Tobacco use in the last 12 months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Q10</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Occupation category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Salaried, self-employed professional, self-employed business, agriculture or other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 the customer been declined or rated by any life insurer?</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no, or does not know</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this purchase replacing an existing policy?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yes, the replacement disclosure in §11 applies</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sixteen inputs — the four taken from bank records and the twelve asked — MUST be present before an assessment is computed. A partial questionnaire produces no assessment.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eleven of the twelve asked inputs: refused as incomplete, listing what is missing, and no assessment record is written. Repeat with a derived input unavailable: refused in the same way.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MUST be stored exactly as given, and the four derived inputs MUST be stored as the values actually used, each with its source and the time it was read. Both are stored alongside the outcome, with the questionnaire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twelve raw answers, four derived values each carrying a source and an as-at time, and the questionnaire version are all present. Re-running the computation on the stored values reproduces the stored outcome exactly.</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self-declared figure is lower than the figure the bank already holds, the higher figure MUST be used and the discrepancy recorded.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Declare zero existing cover where the bank holds a policy. The computation uses the bank figure and an understatement flag is recorded.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previous decline or rating by an insurer, or a customer who does not know, MUST set an underwriting-risk flag on the assessment. It does not by itself change the outcome.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 yes to Q11; the flag is set and the outcome is computed unchanged.</w:t>
            </w:r>
          </w:p>
        </w:tc>
      </w:tr>
    </w:tbl>
    <w:p>
      <w:pPr>
        <w:pStyle w:val="Heading2"/>
        <w:keepNext/>
        <w:keepLines/>
        <w:pageBreakBefore/>
        <w:spacing w:after="120" w:before="0"/>
      </w:pPr>
      <w:r>
        <w:rPr>
          <w:b/>
          <w:bCs/>
          <w:color w:val="11304E"/>
          <w:sz w:val="24"/>
          <w:szCs w:val="24"/>
        </w:rPr>
        <w:t xml:space="preserve">3.  The computation</w:t>
      </w:r>
    </w:p>
    <w:p>
      <w:pPr>
        <w:spacing w:after="120" w:before="0" w:line="276"/>
        <w:jc w:val="left"/>
      </w:pPr>
      <w:r>
        <w:rPr>
          <w:b w:val="false"/>
          <w:bCs w:val="false"/>
          <w:i w:val="false"/>
          <w:iCs w:val="false"/>
          <w:color w:val="222629"/>
          <w:sz w:val="20"/>
          <w:szCs w:val="20"/>
        </w:rPr>
        <w:t xml:space="preserve">The model is arithmetic, not judgement. Two people running it by hand on the same inputs reach the same answer, which is the property that makes advice defensible.</w:t>
      </w:r>
    </w:p>
    <w:p>
      <w:pPr>
        <w:pStyle w:val="Heading3"/>
        <w:keepNext/>
        <w:keepLines/>
        <w:spacing w:after="100" w:before="220"/>
      </w:pPr>
      <w:r>
        <w:rPr>
          <w:b/>
          <w:bCs/>
          <w:color w:val="0F6E6E"/>
          <w:sz w:val="21"/>
          <w:szCs w:val="21"/>
        </w:rPr>
        <w:t xml:space="preserve">Income bands and the cover multiple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5590"/>
        <w:gridCol w:w="2891"/>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Band</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Annual income</w:t>
            </w:r>
          </w:p>
        </w:tc>
        <w:tc>
          <w:tcPr>
            <w:tcW w:type="dxa" w:w="2891"/>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Multiple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Below ₹3,00,000</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₹3,00,000 to ₹4,99,999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 to ₹9,99,999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 to ₹19,99,999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₹20,00,000 to ₹34,99,999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₹35,00,000 to ₹49,99,999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₹50,00,000 to ₹99,99,999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8</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₹1,00,00,000 and above</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bl>
    <w:p>
      <w:pPr>
        <w:spacing w:after="100"/>
      </w:pPr>
      <w:r>
        <w:t xml:space="preserve"/>
      </w:r>
    </w:p>
    <w:p>
      <w:pPr>
        <w:spacing w:after="120" w:before="0" w:line="276"/>
        <w:jc w:val="left"/>
      </w:pPr>
      <w:r>
        <w:rPr>
          <w:b w:val="false"/>
          <w:bCs w:val="false"/>
          <w:i/>
          <w:iCs/>
          <w:color w:val="5A6570"/>
          <w:sz w:val="19"/>
          <w:szCs w:val="19"/>
        </w:rPr>
        <w:t xml:space="preserve">The multiple tapers at both ends: at low incomes because affordability binds before need does, and at high incomes because insurer underwriting limits bind. Band boundaries include the lower figure and exclude the upper.</w:t>
      </w:r>
    </w:p>
    <w:p>
      <w:pPr>
        <w:spacing w:after="80"/>
      </w:pPr>
      <w:r>
        <w:t xml:space="preserve"/>
      </w:r>
    </w:p>
    <w:p>
      <w:pPr>
        <w:pStyle w:val="Heading3"/>
        <w:keepNext/>
        <w:keepLines/>
        <w:spacing w:after="100" w:before="220"/>
      </w:pPr>
      <w:r>
        <w:rPr>
          <w:b/>
          <w:bCs/>
          <w:color w:val="0F6E6E"/>
          <w:sz w:val="21"/>
          <w:szCs w:val="21"/>
        </w:rPr>
        <w:t xml:space="preserve">Age adjustment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1060"/>
        <w:gridCol w:w="1060"/>
        <w:gridCol w:w="1060"/>
        <w:gridCol w:w="1060"/>
        <w:gridCol w:w="1060"/>
        <w:gridCol w:w="22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Age at next birthday</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18–30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31–40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41–50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51–60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61–65</w:t>
            </w:r>
          </w:p>
        </w:tc>
        <w:tc>
          <w:tcPr>
            <w:tcW w:type="dxa" w:w="2218"/>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Under 18 or over 65</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Factor</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1.10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0.85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0.65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0.45</w:t>
            </w:r>
          </w:p>
        </w:tc>
        <w:tc>
          <w:tcPr>
            <w:tcW w:type="dxa" w:w="2218"/>
            <w:tcMar>
              <w:top w:type="dxa" w:w="90"/>
              <w:left w:type="dxa" w:w="130"/>
              <w:bottom w:type="dxa" w:w="90"/>
              <w:right w:type="dxa" w:w="130"/>
            </w:tcMar>
            <w:vAlign w:val="top"/>
          </w:tcPr>
          <w:p>
            <w:pPr>
              <w:spacing w:after="40" w:before="40" w:line="252"/>
              <w:jc w:val="center"/>
            </w:pPr>
            <w:r>
              <w:rPr>
                <w:b/>
                <w:bCs/>
                <w:i w:val="false"/>
                <w:iCs w:val="false"/>
                <w:color w:val="9B2226"/>
                <w:sz w:val="18"/>
                <w:szCs w:val="18"/>
              </w:rPr>
              <w:t xml:space="preserve">Ineligible</w:t>
            </w:r>
          </w:p>
        </w:tc>
      </w:tr>
    </w:tbl>
    <w:p>
      <w:pPr>
        <w:spacing w:after="120"/>
      </w:pPr>
      <w:r>
        <w:t xml:space="preserve"/>
      </w:r>
    </w:p>
    <w:p>
      <w:pPr>
        <w:pStyle w:val="Heading3"/>
        <w:keepNext/>
        <w:keepLines/>
        <w:spacing w:after="100" w:before="220"/>
      </w:pPr>
      <w:r>
        <w:rPr>
          <w:b/>
          <w:bCs/>
          <w:color w:val="0F6E6E"/>
          <w:sz w:val="21"/>
          <w:szCs w:val="21"/>
        </w:rPr>
        <w:t xml:space="preserve">The formula</w:t>
      </w:r>
    </w:p>
    <w:p>
      <w:pPr>
        <w:spacing w:after="100" w:before="0" w:line="276"/>
        <w:jc w:val="left"/>
      </w:pPr>
      <w:r>
        <w:rPr>
          <w:rFonts w:ascii="Consolas" w:cs="Consolas" w:eastAsia="Consolas" w:hAnsi="Consolas"/>
          <w:b w:val="false"/>
          <w:bCs w:val="false"/>
          <w:i w:val="false"/>
          <w:iCs w:val="false"/>
          <w:color w:val="11304E"/>
          <w:sz w:val="18"/>
          <w:szCs w:val="18"/>
        </w:rPr>
        <w:t xml:space="preserve">recommended cover   =  round up to the next lakh of</w:t>
      </w:r>
    </w:p>
    <w:p>
      <w:pPr>
        <w:spacing w:after="100" w:before="0" w:line="276"/>
        <w:jc w:val="left"/>
      </w:pPr>
      <w:r>
        <w:rPr>
          <w:rFonts w:ascii="Consolas" w:cs="Consolas" w:eastAsia="Consolas" w:hAnsi="Consolas"/>
          <w:b w:val="false"/>
          <w:bCs w:val="false"/>
          <w:i w:val="false"/>
          <w:iCs w:val="false"/>
          <w:color w:val="11304E"/>
          <w:sz w:val="18"/>
          <w:szCs w:val="18"/>
        </w:rPr>
        <w:t xml:space="preserve">                       ( annual income × multiple × age factor )</w:t>
      </w:r>
    </w:p>
    <w:p>
      <w:pPr>
        <w:spacing w:after="100" w:before="0" w:line="276"/>
        <w:jc w:val="left"/>
      </w:pPr>
      <w:r>
        <w:rPr>
          <w:rFonts w:ascii="Consolas" w:cs="Consolas" w:eastAsia="Consolas" w:hAnsi="Consolas"/>
          <w:b w:val="false"/>
          <w:bCs w:val="false"/>
          <w:i w:val="false"/>
          <w:iCs w:val="false"/>
          <w:color w:val="11304E"/>
          <w:sz w:val="18"/>
          <w:szCs w:val="18"/>
        </w:rPr>
        <w:t xml:space="preserve">                       + liabilities</w:t>
      </w:r>
    </w:p>
    <w:p>
      <w:pPr>
        <w:spacing w:after="100" w:before="0" w:line="276"/>
        <w:jc w:val="left"/>
      </w:pPr>
      <w:r>
        <w:rPr>
          <w:rFonts w:ascii="Consolas" w:cs="Consolas" w:eastAsia="Consolas" w:hAnsi="Consolas"/>
          <w:b w:val="false"/>
          <w:bCs w:val="false"/>
          <w:i w:val="false"/>
          <w:iCs w:val="false"/>
          <w:color w:val="11304E"/>
          <w:sz w:val="18"/>
          <w:szCs w:val="18"/>
        </w:rPr>
        <w:t xml:space="preserve">                       + ( dependants × ₹5,00,000 )</w:t>
      </w:r>
    </w:p>
    <w:p>
      <w:pPr>
        <w:spacing w:after="100" w:before="0" w:line="276"/>
        <w:jc w:val="left"/>
      </w:pPr>
      <w:r>
        <w:rPr>
          <w:rFonts w:ascii="Consolas" w:cs="Consolas" w:eastAsia="Consolas" w:hAnsi="Consolas"/>
          <w:b w:val="false"/>
          <w:bCs w:val="false"/>
          <w:i w:val="false"/>
          <w:iCs w:val="false"/>
          <w:color w:val="11304E"/>
          <w:sz w:val="18"/>
          <w:szCs w:val="18"/>
        </w:rPr>
        <w:t xml:space="preserve"/>
      </w:r>
    </w:p>
    <w:p>
      <w:pPr>
        <w:spacing w:after="100" w:before="0" w:line="276"/>
        <w:jc w:val="left"/>
      </w:pPr>
      <w:r>
        <w:rPr>
          <w:rFonts w:ascii="Consolas" w:cs="Consolas" w:eastAsia="Consolas" w:hAnsi="Consolas"/>
          <w:b w:val="false"/>
          <w:bCs w:val="false"/>
          <w:i w:val="false"/>
          <w:iCs w:val="false"/>
          <w:color w:val="11304E"/>
          <w:sz w:val="18"/>
          <w:szCs w:val="18"/>
        </w:rPr>
        <w:t xml:space="preserve">protection gap      =  the greater of zero and ( recommended cover − existing cover )</w:t>
      </w:r>
    </w:p>
    <w:p>
      <w:pPr>
        <w:spacing w:after="100" w:before="0" w:line="276"/>
        <w:jc w:val="left"/>
      </w:pPr>
      <w:r>
        <w:rPr>
          <w:rFonts w:ascii="Consolas" w:cs="Consolas" w:eastAsia="Consolas" w:hAnsi="Consolas"/>
          <w:b w:val="false"/>
          <w:bCs w:val="false"/>
          <w:i w:val="false"/>
          <w:iCs w:val="false"/>
          <w:color w:val="11304E"/>
          <w:sz w:val="18"/>
          <w:szCs w:val="18"/>
        </w:rPr>
        <w:t xml:space="preserve">affordability ratio =  declared premium ÷ annual income</w:t>
      </w:r>
    </w:p>
    <w:p>
      <w:pPr>
        <w:spacing w:after="60"/>
      </w:pPr>
      <w:r>
        <w:t xml:space="preserve"/>
      </w:r>
    </w:p>
    <w:p>
      <w:pPr>
        <w:spacing w:after="120" w:before="0" w:line="276"/>
        <w:jc w:val="left"/>
      </w:pPr>
      <w:r>
        <w:rPr>
          <w:b w:val="false"/>
          <w:bCs w:val="false"/>
          <w:i/>
          <w:iCs/>
          <w:color w:val="5A6570"/>
          <w:sz w:val="19"/>
          <w:szCs w:val="19"/>
        </w:rPr>
        <w:t xml:space="preserve">Liabilities and existing cover are each the higher of the customer’s declaration and the figure the bank holds, as SUIT-R03 requires.</w:t>
      </w:r>
    </w:p>
    <w:p>
      <w:pPr>
        <w:spacing w:after="120"/>
      </w:pPr>
      <w:r>
        <w:t xml:space="preserve"/>
      </w:r>
    </w:p>
    <w:p>
      <w:pPr>
        <w:pStyle w:val="Heading3"/>
        <w:keepNext/>
        <w:keepLines/>
        <w:spacing w:after="100" w:before="220"/>
      </w:pPr>
      <w:r>
        <w:rPr>
          <w:b/>
          <w:bCs/>
          <w:color w:val="0F6E6E"/>
          <w:sz w:val="21"/>
          <w:szCs w:val="21"/>
        </w:rPr>
        <w:t xml:space="preserve">Worked reference case</w:t>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This case is a mandatory test of the built service</w:t>
      </w:r>
    </w:p>
    <w:p>
      <w:pPr>
        <w:keepNext/>
        <w:keepLines/>
        <w:pBdr>
          <w:left w:val="single" w:color="0F6E6E"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Age 38 · income ₹12,00,000 (band 4, multiple 18, age factor 1.00) · 2 dependants · existing cover ₹5,00,000 · liabilities ₹30,00,000 · declared premium ₹25,000.</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Recommended cover = round up to the next lakh of (12,00,000 × 18 × 1.00 + 30,00,000 + 10,00,000) = ₹2,56,00,000.  Protection gap = ₹2,51,00,000.  Affordability ratio = 0.0208.</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computation MUST be pure: the same inputs give the same outputs, with no dependence on time, actor or system state other than the algorithm version.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same twenty customer profiles twice, on two days, by two evaluators. The outputs are identical.</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Rounding up to the next lakh means the next whole multiple of ₹1,00,000.</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₹12,34,567 becomes ₹13,00,000. ₹12,00,000 stays ₹12,00,000.</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algorithm version MUST be recorded on every assessment and MUST be immutable once published.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carries a version. Publishing a change under an existing version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age below 18 or above 65 at next birthday MUST produce a not-suitable outcome, and no quote may proceed.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17 and age 66 both produce not-suitable, and the quote is refused.</w:t>
            </w:r>
          </w:p>
        </w:tc>
      </w:tr>
    </w:tbl>
    <w:p>
      <w:pPr>
        <w:pStyle w:val="Heading2"/>
        <w:keepNext/>
        <w:keepLines/>
        <w:pageBreakBefore/>
        <w:spacing w:after="120" w:before="0"/>
      </w:pPr>
      <w:r>
        <w:rPr>
          <w:b/>
          <w:bCs/>
          <w:color w:val="11304E"/>
          <w:sz w:val="24"/>
          <w:szCs w:val="24"/>
        </w:rPr>
        <w:t xml:space="preserve">4.  Product-class outcomes</w:t>
      </w:r>
    </w:p>
    <w:p>
      <w:pPr>
        <w:spacing w:after="120" w:before="0" w:line="276"/>
        <w:jc w:val="left"/>
      </w:pPr>
      <w:r>
        <w:rPr>
          <w:b w:val="false"/>
          <w:bCs w:val="false"/>
          <w:i w:val="false"/>
          <w:iCs w:val="false"/>
          <w:color w:val="222629"/>
          <w:sz w:val="20"/>
          <w:szCs w:val="20"/>
        </w:rPr>
        <w:t xml:space="preserve">An assessment produces one outcome per product class, not one overall. A customer may be suitable for term cover and not suitable for a unit-linked product in the same assessment, and the gate is applied per class.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5301"/>
        <w:gridCol w:w="2313"/>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Quote permitted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matches the stated objective, horizon, risk attitude and affordability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 with caution</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match is defensible but at least one caution condition applies; a disclosure is required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with the disclosure in §9</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conflicts with something the customer stated</w:t>
            </w:r>
          </w:p>
        </w:tc>
        <w:tc>
          <w:tcPr>
            <w:tcW w:type="dxa" w:w="2313"/>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mandatory derived input was unavailable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bl>
    <w:p>
      <w:pPr>
        <w:spacing w:after="140"/>
      </w:pPr>
      <w:r>
        <w:t xml:space="preserve"/>
      </w:r>
    </w:p>
    <w:p>
      <w:pPr>
        <w:pStyle w:val="Heading3"/>
        <w:keepNext/>
        <w:keepLines/>
        <w:spacing w:after="100" w:before="220"/>
      </w:pPr>
      <w:r>
        <w:rPr>
          <w:b/>
          <w:bCs/>
          <w:color w:val="0F6E6E"/>
          <w:sz w:val="21"/>
          <w:szCs w:val="21"/>
        </w:rPr>
        <w:t xml:space="preserve">Term life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age is eligible</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SUIT-R10</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protection gap — the customer is already adequately covered</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cover already adequate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0.15</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bl>
    <w:p>
      <w:pPr>
        <w:spacing w:after="120"/>
      </w:pPr>
      <w:r>
        <w:t xml:space="preserve"/>
      </w:r>
    </w:p>
    <w:p>
      <w:pPr>
        <w:pStyle w:val="Heading3"/>
        <w:keepNext/>
        <w:keepLines/>
        <w:spacing w:after="100" w:before="220"/>
      </w:pPr>
      <w:r>
        <w:rPr>
          <w:b/>
          <w:bCs/>
          <w:color w:val="0F6E6E"/>
          <w:sz w:val="21"/>
          <w:szCs w:val="21"/>
        </w:rPr>
        <w:t xml:space="preserve">Savings and endowment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Objective is savings, retirement or tax planning, and the horizon is 5 years or more, and the affordability ratio is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SUIT-R14</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under 5 years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stated objective is protection</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protection need is not met by this class</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5 years or more, affordability ratio 0.20 or below, and the stated objective is protection or wealth growth</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bl>
    <w:p>
      <w:pPr>
        <w:spacing w:after="120"/>
      </w:pPr>
      <w:r>
        <w:t xml:space="preserve"/>
      </w:r>
    </w:p>
    <w:p>
      <w:pPr>
        <w:pStyle w:val="Heading3"/>
        <w:keepNext/>
        <w:keepLines/>
        <w:spacing w:after="100" w:before="220"/>
      </w:pPr>
      <w:r>
        <w:rPr>
          <w:b/>
          <w:bCs/>
          <w:color w:val="0F6E6E"/>
          <w:sz w:val="21"/>
          <w:szCs w:val="21"/>
        </w:rPr>
        <w:t xml:space="preserve">Unit-linked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objective wealth growth or retirement, and affordability ratio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SUIT-R16c</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affordability ratio 0.20 or below, and the stated objective is protection, savings or tax planning</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SUIT-R17</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is capital protection</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risk attitude incompatible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SUIT-R18</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10 years or less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low, with all other conditions of SUIT-R16 met</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risk attitude below the product’s profile</w:t>
            </w:r>
          </w:p>
        </w:tc>
      </w:tr>
    </w:tbl>
    <w:p>
      <w:pPr>
        <w:spacing w:after="140"/>
      </w:pPr>
      <w:r>
        <w:t xml:space="preserve"/>
      </w:r>
    </w:p>
    <w:p>
      <w:pPr>
        <w:pStyle w:val="Heading3"/>
        <w:keepNext/>
        <w:keepLines/>
        <w:spacing w:after="100" w:before="220"/>
      </w:pPr>
      <w:r>
        <w:rPr>
          <w:b/>
          <w:bCs/>
          <w:color w:val="0F6E6E"/>
          <w:sz w:val="21"/>
          <w:szCs w:val="21"/>
        </w:rPr>
        <w:t xml:space="preserve">Precedence, totality and the safety net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rule fires for a class, the most restrictive outcome wins — not suitable over caution, caution over suitable — and every reason that fired MUST be persisted in rule order, not only the one that decided.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profile firing a caution rule and a not-suitable rule records both reasons and returns not suitable. A profile firing two caution rules records both and returns caution.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SUIT-R19b</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rules for each product class MUST be exhaustive: every combination of the enumerated inputs MUST cause at least one rule to fire for every class assessed.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Enumerate the complete combination of the five enumerated inputs — objective, horizon, risk attitude, affordability band and protection-gap sign — and assert that every combination produces exactly one outcome for each of the three classes, with at least one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SUIT-R19c</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despite SUIT-R19b, no rule fires for a class, the outcome MUST be insufficient data with reason MODEL_INCOMPLETE, the quote MUST be refused for that class, and a model defect MUST be raised under §12. The model MUST NOT default to suitable.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Disable one outcome rule in a test build and assert the affected combination returns insufficient data, the quote is refused, and a defect record is created. No combination silently produces a permissive outcome.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SUIT-R19c exists</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decision table with a hole in it does not fail loudly — it produces whatever the implementation happens to default to, and the commercially convenient default is "suitable". SUIT-R19b makes the table total and SUIT-R19c makes the hole fail closed if one is ever introduced. Together they are the reason the outcome tables can be trusted at audit.</w:t>
      </w:r>
    </w:p>
    <w:p>
      <w:pPr>
        <w:pStyle w:val="Heading2"/>
        <w:keepNext/>
        <w:keepLines/>
        <w:pageBreakBefore/>
        <w:spacing w:after="120" w:before="0"/>
      </w:pPr>
      <w:r>
        <w:rPr>
          <w:b/>
          <w:bCs/>
          <w:color w:val="11304E"/>
          <w:sz w:val="24"/>
          <w:szCs w:val="24"/>
        </w:rPr>
        <w:t xml:space="preserve">5.  The assessment record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5976"/>
        <w:gridCol w:w="2891"/>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Assessment identifier — this is the identifier the quote gate checks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Questionnaire version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version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exactly as given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6a</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 bank-sourced inputs as used, each with its source system and the time it was read — the snapshot that makes a historical assessment reproducible</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6b</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income band derived from the declared figure, recorded for reference; the computation uses the exact figure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Computed values — recommended cover, protection gap, affordability ratio, multiple, age factor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Outcome and reason codes for each product class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Underwriting-risk flag</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Data-inconsistency flags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may be empty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 who ran the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of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 — 30 days after assessment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 — active, expired, invalidated or superseded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 for invalidation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solicitation consent this assessment relies on</w:t>
            </w:r>
          </w:p>
        </w:tc>
        <w:tc>
          <w:tcPr>
            <w:tcW w:type="dxa" w:w="289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Reference to the stored suitability statement given to the customer</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created without a valid solicitation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assessment with no such consent: refused. This is the consent fail-closed rule applied at the suitability boundary.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human-readable suitability statement MUST be produced at the time of assessment and stored unalterably. It is the document shown to the customer and retained for audit.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has a resolvable statement, and that statement contains all sixteen inputs, the computed values, and every outcome with its reasons.</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MUST be append-only, on the same terms as the consent store. No update and no delete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Update and delete by the application’s database account fail on privilege, not on application logic.</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SUIT-R23a</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assessment status — expiry, invalidation or supersession — MUST be recorded as a new status record referencing the assessment, never as an edit to the original. Each status record carries the new status, the reason, the time and what caused 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Expire an assessment. The original record is byte-for-byte unchanged and a new status record exists referencing it.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SUIT-R23b</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an assessment MUST be derivable from its records with no ambiguity: exactly one record is the head of the chain, determined by the highest sequence number for that assessment. The gate MUST read the head, never the original.</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assessment, exactly one record is the head. Expire an assessment and assert the gate refuses on the head status while the original record still reads as it did when written.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seven years, write-once, in an India region, on the same terms as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same test as the consent retention rules in Volume 2, §10.</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 assessment is reused across journeys, retention MUST be anchored to the terminal state of the LAST journey that referenced it, not the first. The retention clock MUST restart on each new usage record, and MUST never shorten.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terminating three months apart. The computed retention expiry equals the later terminal date plus seven years. Re-run after adding a third, later usage: the expiry moves out, never in.</w:t>
            </w:r>
          </w:p>
        </w:tc>
      </w:tr>
    </w:tbl>
    <w:p>
      <w:pPr>
        <w:pStyle w:val="Heading2"/>
        <w:keepNext/>
        <w:keepLines/>
        <w:pageBreakBefore/>
        <w:spacing w:after="120" w:before="0"/>
      </w:pPr>
      <w:r>
        <w:rPr>
          <w:b/>
          <w:bCs/>
          <w:color w:val="11304E"/>
          <w:sz w:val="24"/>
          <w:szCs w:val="24"/>
        </w:rPr>
        <w:t xml:space="preserve">6.  The gate before quote</w:t>
      </w:r>
    </w:p>
    <w:p>
      <w:pPr>
        <w:spacing w:after="120" w:before="0" w:line="276"/>
        <w:jc w:val="left"/>
      </w:pPr>
      <w:r>
        <w:rPr>
          <w:b w:val="false"/>
          <w:bCs w:val="false"/>
          <w:i w:val="false"/>
          <w:iCs w:val="false"/>
          <w:color w:val="222629"/>
          <w:sz w:val="20"/>
          <w:szCs w:val="20"/>
        </w:rPr>
        <w:t xml:space="preserve">All nine refusal cases are mandatory tests of the built service. Cases 8 and 9 exist because a disclosure that the journey merely displays, without the gate checking that it was acknowledged, is a disclosure the customer can be walked past.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3855"/>
        <w:gridCol w:w="1446"/>
        <w:gridCol w:w="3855"/>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Result</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assessment identifier on the request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SUITABILITY_EVALUATION_REQUIRED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identifier does not exist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SUITABILITY_EVALUATION_NOT_FOUND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older than 30 days</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SUITABILITY_EVALUATION_EXPIRED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belongs to a different customer</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SUITABILITY_SUBJECT_MISMATCH — plus a security event</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not suitable</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PRODUCT_CLASS_NOT_SUITABLE</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is insufficient data</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SUITABILITY_INSUFFICIENT_DATA</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invalidated, expired or superseded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SUITABILITY_EVALUATION_INVALID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suitable with caution, and no acknowledgement of those exact reason codes exists for this customer and assessment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CAUTION_ACKNOWLEDGEMENT_REQUIRED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is replacing an existing policy and no replacement acknowledgement exists for this assessment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REPLACEMENT_DISCLOSURE_REQUIRED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be enforced server-side at the quote interface — not in the screen, not in the layer serving the screen alone, and not at the insurer aggregator.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Call the quote interface directly, bypassing the screen and its serving layer, with no assessment identifier.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fail closed. If the assessment service is unavailable, quotes are refused, not permitted.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Take the assessment service down; quote requests are refused and no quote is generated.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implementing the gate MUST hold complete branch coverage, with no waiver available to any authority.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coverage report filtered to the gate shows every branch exercised.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refusal by the gate MUST emit an audit event carrying the actor, the customer, the product class, the assessment identifier if any, and the reason.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each of the nine cases; nine audit events exist with nine distinct reasons.</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verify the two acknowledgements itself, server-side, and MUST compare the acknowledged reason codes against the reason codes the assessment actually produced. An acknowledgement of different reasons, or of an earlier assessment, MUST NOT satisfy the gate.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 reason A, then request a quote for a class whose outcome carries reasons A and B: refused. Acknowledge against a superseded assessment: refused. Acknowledge both reasons against the current assessment: permitted.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SUIT-R26 is the rule that prevents the classic failure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gate that fails open under load is a gate that is absent exactly when volume is highest — which is also when the volume of unsuitable sales would be highest.</w:t>
      </w:r>
    </w:p>
    <w:p>
      <w:pPr>
        <w:pStyle w:val="Heading2"/>
        <w:keepNext/>
        <w:keepLines/>
        <w:pageBreakBefore/>
        <w:spacing w:after="120" w:before="0"/>
      </w:pPr>
      <w:r>
        <w:rPr>
          <w:b/>
          <w:bCs/>
          <w:color w:val="11304E"/>
          <w:sz w:val="24"/>
          <w:szCs w:val="24"/>
        </w:rPr>
        <w:t xml:space="preserve">7.  Invalidation, re-assessment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Thirty days after assessment, the status becomes expired.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an assessment past 30 days; its status changes and the gate refuses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the solicitation consent invalidates the assessment.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the consent; the assessment status becomes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assessment for the same customer supersedes the previous one, which must then be used no further.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Create a second assessment; the first is marked superseded and the gate accepts only the new identifier.</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change to the questionnaire or the algorithm invalidates all active assessments made under the earlier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version change; active assessments under the prior version are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reports a change to income, dependants, existing cover or liabilities, staff MUST re-assess. The platform offers the path; it cannot detect the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re-assessment path is available from the journey at any point before quote.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whose journey has reached submitted-proposal MUST NOT be invalidated by expiry or by a model version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such an assessment past 30 days; the proposal in flight is unaffected and retains its evidence.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active assessment MAY be reused across journeys for the same customer within its 30-day window.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and start another 10 days later for the same customer; the existing assessment is reused with no repeat questionnaire.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reused across customers under any circumstances.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Covered by case 4 of the gate test matrix in §6.</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Each reuse MUST be recorded — the journey, the time, and the acting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two usage records exist.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SUIT-R34 exists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submitted proposal is a completed regulated act. Retrospectively invalidating the basis on which it was made creates a contradiction in the audit record rather than a control. This mirrors the equivalent consent rule, CNS-R05.</w:t>
      </w:r>
    </w:p>
    <w:p>
      <w:pPr>
        <w:pStyle w:val="Heading2"/>
        <w:keepNext/>
        <w:keepLines/>
        <w:pageBreakBefore/>
        <w:spacing w:after="120" w:before="0"/>
      </w:pPr>
      <w:r>
        <w:rPr>
          <w:b/>
          <w:bCs/>
          <w:color w:val="11304E"/>
          <w:sz w:val="24"/>
          <w:szCs w:val="24"/>
        </w:rPr>
        <w:t xml:space="preserve">8.  What may never be overridden</w:t>
      </w:r>
    </w:p>
    <w:p>
      <w:pPr>
        <w:spacing w:after="120" w:before="0" w:line="276"/>
        <w:jc w:val="left"/>
      </w:pPr>
      <w:r>
        <w:rPr>
          <w:b w:val="false"/>
          <w:bCs w:val="false"/>
          <w:i w:val="false"/>
          <w:iCs w:val="false"/>
          <w:color w:val="222629"/>
          <w:sz w:val="20"/>
          <w:szCs w:val="20"/>
        </w:rPr>
        <w:t xml:space="preserve">This is the area where a suitability control usually fails in practice, because a bank that makes overriding easy has an advisory process with a bypass button.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MUST NOT be overridden by any actor at any level in the first release. There is no override route, no approval workflow and no configuration switch. The quote is refused.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override through every route — screen, interface, administrative console, direct service call. All four refused. The absence of a feature is proven by attempting to use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insufficient-data outcome MUST NOT be overridden. The missing input is obtained, or the journey stops.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proceed with a missing derived input: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itself MUST NOT be disableable by feature flag, configuration, environment setting or request header in any environment holding customer data.</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Search the built system for any conditional capable of disabling the gate: none exists. Attempt to pass a bypass header in the test environment: refused.</w:t>
            </w:r>
          </w:p>
        </w:tc>
      </w:tr>
    </w:tbl>
    <w:p>
      <w:pPr>
        <w:spacing w:after="120"/>
      </w:pPr>
      <w:r>
        <w:t xml:space="preserve"/>
      </w:r>
    </w:p>
    <w:p>
      <w:pPr>
        <w:pStyle w:val="Heading2"/>
        <w:keepNext/>
        <w:keepLines/>
        <w:pageBreakBefore/>
        <w:spacing w:after="120" w:before="0"/>
      </w:pPr>
      <w:r>
        <w:rPr>
          <w:b/>
          <w:bCs/>
          <w:color w:val="11304E"/>
          <w:sz w:val="24"/>
          <w:szCs w:val="24"/>
        </w:rPr>
        <w:t xml:space="preserve">9.  Caution outcomes — proceed with disclosure, not with override</w:t>
      </w:r>
    </w:p>
    <w:p>
      <w:pPr>
        <w:spacing w:after="120" w:before="0" w:line="276"/>
        <w:jc w:val="left"/>
      </w:pPr>
      <w:r>
        <w:rPr>
          <w:b w:val="false"/>
          <w:bCs w:val="false"/>
          <w:i w:val="false"/>
          <w:iCs w:val="false"/>
          <w:color w:val="222629"/>
          <w:sz w:val="20"/>
          <w:szCs w:val="20"/>
        </w:rPr>
        <w:t xml:space="preserve">A caution outcome is not an exception. It permits the quote, and it obliges a disclosure.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any product class returns a caution outcome, the customer MUST be shown the specific caution reason in plain language before proceeding, and MUST acknowledge it.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an affordability caution; the disclosure names the affordability concern specifically, not a generic warning.</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MUST be captured on the customer’s own device with the same verification as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cannot acknowledge a caution disclosure on the staff device.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record MUST carry the reasons acknowledged, the disclosure text and its version, the time, and the verification transaction.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the record; all fields present.</w:t>
            </w:r>
          </w:p>
        </w:tc>
      </w:tr>
    </w:tbl>
    <w:p>
      <w:pPr>
        <w:spacing w:after="120"/>
      </w:pPr>
      <w:r>
        <w:t xml:space="preserve"/>
      </w:r>
    </w:p>
    <w:p>
      <w:pPr>
        <w:pStyle w:val="Heading2"/>
        <w:keepNext/>
        <w:keepLines/>
        <w:spacing w:after="120" w:before="300"/>
      </w:pPr>
      <w:r>
        <w:rPr>
          <w:b/>
          <w:bCs/>
          <w:color w:val="11304E"/>
          <w:sz w:val="24"/>
          <w:szCs w:val="24"/>
        </w:rPr>
        <w:t xml:space="preserve">10.  Customer-initiated deviation</w:t>
      </w:r>
    </w:p>
    <w:p>
      <w:pPr>
        <w:spacing w:after="120" w:before="0" w:line="276"/>
        <w:jc w:val="left"/>
      </w:pPr>
      <w:r>
        <w:rPr>
          <w:b w:val="false"/>
          <w:bCs w:val="false"/>
          <w:i w:val="false"/>
          <w:iCs w:val="false"/>
          <w:color w:val="222629"/>
          <w:sz w:val="20"/>
          <w:szCs w:val="20"/>
        </w:rPr>
        <w:t xml:space="preserve">A customer may want a product the model did not put first, where that product is nonetheless permitted for them. This is legitimate and is not an override.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model determines eligibility per product class. It does not rank products and it does not name a single recommended product; no ranking or recommendation value exists on the assessment record. The customer MAY select any product whose class outcome permits a quote, and the selection MUST be recorded with the class, its outcome and its reason codes.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no ranking or recommended-product field exists. Select an eligible product; the class, outcome and reasons are recorded against the journey.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SUIT-R44a</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selects a product in a class whose outcome is suitable with caution, while another class assessed at the same time returned an unqualified suitable, the selection MUST be recorded as a diverged selection with a customer-stated reason. This is a deterministic comparison of outcomes, not a judgement about which product was better.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 an assessment returning suitable for term cover and caution for unit-linked. Select the unit-linked product: the divergence flag and the customer-stated reason persist. Select the term product: no divergence is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diverged selection MUST NOT change the outcome of any class. The model result is immutable evidence of what was assessed.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a divergence, re-read the assessment; the outcomes are unchanged.</w:t>
            </w:r>
          </w:p>
        </w:tc>
      </w:tr>
    </w:tbl>
    <w:p>
      <w:pPr>
        <w:spacing w:after="120"/>
      </w:pPr>
      <w:r>
        <w:t xml:space="preserve"/>
      </w:r>
    </w:p>
    <w:p>
      <w:pPr>
        <w:pStyle w:val="Heading2"/>
        <w:keepNext/>
        <w:keepLines/>
        <w:spacing w:after="120" w:before="300"/>
      </w:pPr>
      <w:r>
        <w:rPr>
          <w:b/>
          <w:bCs/>
          <w:color w:val="11304E"/>
          <w:sz w:val="24"/>
          <w:szCs w:val="24"/>
        </w:rPr>
        <w:t xml:space="preserve">11.  Replacement of an existing policy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is replacing an existing policy, a replacement disclosure MUST be presented and acknowledged on the customer’s device before any quote, covering loss of accrued benefit, fresh waiting and contestability periods, and the risk of re-underwriting.</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Set the replacement answer to yes; the quote is refused until the replacement acknowledgement exists.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cases MUST be flagged for post-sale operations review.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review task exists for every such journey.</w:t>
            </w:r>
          </w:p>
        </w:tc>
      </w:tr>
    </w:tbl>
    <w:p>
      <w:pPr>
        <w:spacing w:after="120"/>
      </w:pPr>
      <w:r>
        <w:t xml:space="preserve"/>
      </w:r>
    </w:p>
    <w:p>
      <w:pPr>
        <w:pStyle w:val="Heading2"/>
        <w:keepNext/>
        <w:keepLines/>
        <w:spacing w:after="120" w:before="300"/>
      </w:pPr>
      <w:r>
        <w:rPr>
          <w:b/>
          <w:bCs/>
          <w:color w:val="11304E"/>
          <w:sz w:val="24"/>
          <w:szCs w:val="24"/>
        </w:rPr>
        <w:t xml:space="preserve">12.  The one exception that does exist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business believes an assessment is wrong because of a defect in the model — not because the answer is inconvenient — the route is a defect report against the algorithm version, raised to Product and Compliance and resolved by publishing a corrected version under change control. It is never resolved for an individual customer in flight.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defect route exists and is documented; no per-customer correction route exists on any surface.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reasoning behind SUIT-R48</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Per-case exceptions to a suitability model are indistinguishable, at audit, from mis-selling. A model that is wrong for one customer is wrong for a population, and the correct remedy operates on the population.</w:t>
      </w:r>
    </w:p>
    <w:p>
      <w:pPr>
        <w:pStyle w:val="Heading2"/>
        <w:keepNext/>
        <w:keepLines/>
        <w:spacing w:after="120" w:before="300"/>
      </w:pPr>
      <w:r>
        <w:rPr>
          <w:b/>
          <w:bCs/>
          <w:color w:val="11304E"/>
          <w:sz w:val="24"/>
          <w:szCs w:val="24"/>
        </w:rPr>
        <w:t xml:space="preserve">13.  Traceability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5012"/>
        <w:gridCol w:w="2891"/>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501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SUIT-R01 – R04</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need analysis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SUIT-R05 – R08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Advice that is deterministic and reproducible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SUIT-R09 – R19a</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of the recommendation to the customer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 R28</w:t>
            </w:r>
          </w:p>
        </w:tc>
        <w:tc>
          <w:tcPr>
            <w:tcW w:type="dxa" w:w="501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 assessed before any quote is shown</w:t>
            </w:r>
          </w:p>
        </w:tc>
        <w:tc>
          <w:tcPr>
            <w:tcW w:type="dxa" w:w="289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First end-to-end test, with complete branch coverage</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 – R37</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Currency of the advice given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mis-selling; customer protection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bl>
    <w:p>
      <w:pPr>
        <w:pStyle w:val="Heading2"/>
        <w:keepNext/>
        <w:keepLines/>
        <w:spacing w:after="120" w:before="300"/>
      </w:pPr>
      <w:r>
        <w:rPr>
          <w:b/>
          <w:bCs/>
          <w:color w:val="11304E"/>
          <w:sz w:val="24"/>
          <w:szCs w:val="24"/>
        </w:rPr>
        <w:t xml:space="preserve">14.  What this pack does not decide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5976"/>
        <w:gridCol w:w="2313"/>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income-multiple table and age factors discharge the suitability obligation, or whether a prescribed model applies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not-suitable outcome may ever be overridden with senior authorisation in a later release — the position for the first release is never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the executive sponsor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and replacement disclosures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30-day validity window is acceptable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suitability requirements exceeding this model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Suitability Service. All five are calibration or wording questions over a model whose structure, storage, gate and failure behaviour they do not change.</w:t>
      </w:r>
    </w:p>
    <w:p>
      <w:pPr>
        <w:pStyle w:val="Heading1"/>
        <w:keepNext/>
        <w:keepLines/>
        <w:pageBreakBefore/>
        <w:pBdr>
          <w:bottom w:val="single" w:color="0F6E6E" w:sz="8" w:space="6"/>
        </w:pBdr>
        <w:spacing w:after="160" w:before="0"/>
      </w:pPr>
      <w:r>
        <w:rPr>
          <w:b/>
          <w:bCs/>
          <w:color w:val="11304E"/>
          <w:sz w:val="30"/>
          <w:szCs w:val="30"/>
        </w:rPr>
        <w:t xml:space="preserve">Appendix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3 of 3 — Suitability Rule Pack · Prepared by Rajal, Principal Insurance Platform Product Owner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3 — Suitability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3, Suitability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2026-08-17T08:34:18.451Z</dcterms:created>
  <dcterms:modified xsi:type="dcterms:W3CDTF">2026-08-17T08:34:18.451Z</dcterms:modified>
</cp:coreProperties>
</file>

<file path=docProps/custom.xml><?xml version="1.0" encoding="utf-8"?>
<Properties xmlns="http://schemas.openxmlformats.org/officeDocument/2006/custom-properties" xmlns:vt="http://schemas.openxmlformats.org/officeDocument/2006/docPropsVTypes"/>
</file>