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60" w:before="0" w:line="276"/>
        <w:jc w:val="left"/>
      </w:pPr>
      <w:r>
        <w:rPr>
          <w:b/>
          <w:bCs/>
          <w:i w:val="false"/>
          <w:iCs w:val="false"/>
          <w:color w:val="0F6E6E"/>
          <w:sz w:val="18"/>
          <w:szCs w:val="18"/>
        </w:rPr>
        <w:t xml:space="preserve">AU BANK  |  INSURANCE DISTRIBUTION PLATFORM</w:t>
      </w:r>
    </w:p>
    <w:p>
      <w:pPr>
        <w:spacing w:after="400" w:before="0" w:line="276"/>
        <w:jc w:val="left"/>
      </w:pPr>
      <w:r>
        <w:rPr>
          <w:b w:val="false"/>
          <w:bCs w:val="false"/>
          <w:i w:val="false"/>
          <w:iCs w:val="false"/>
          <w:color w:val="5A6570"/>
          <w:sz w:val="18"/>
          <w:szCs w:val="18"/>
        </w:rPr>
        <w:t xml:space="preserve">Workstream WS-3  ·  Release R0  ·  Stage S02 Regulatory Framing</w:t>
      </w:r>
    </w:p>
    <w:p>
      <w:pPr>
        <w:spacing w:after="140" w:line="640"/>
      </w:pPr>
      <w:r>
        <w:rPr>
          <w:b/>
          <w:bCs/>
          <w:color w:val="11304E"/>
          <w:sz w:val="52"/>
          <w:szCs w:val="52"/>
        </w:rPr>
        <w:t xml:space="preserve">Consent and Suitability Rule Packs</w:t>
      </w:r>
    </w:p>
    <w:p>
      <w:pPr>
        <w:spacing w:after="220" w:line="500"/>
      </w:pPr>
      <w:r>
        <w:rPr>
          <w:b/>
          <w:bCs/>
          <w:color w:val="0F6E6E"/>
          <w:sz w:val="40"/>
          <w:szCs w:val="40"/>
        </w:rPr>
        <w:t xml:space="preserve">Compliance Ratification Pack</w:t>
      </w:r>
    </w:p>
    <w:p>
      <w:pPr>
        <w:pBdr>
          <w:bottom w:val="single" w:color="11304E" w:sz="12" w:space="8"/>
        </w:pBdr>
        <w:spacing w:after="260"/>
      </w:pPr>
      <w:r>
        <w:rPr>
          <w:i/>
          <w:iCs/>
          <w:color w:val="445260"/>
          <w:sz w:val="22"/>
          <w:szCs w:val="22"/>
        </w:rPr>
        <w:t xml:space="preserve">A request for Board 6 signature to close GAP-006 and GAP-007 and pass gate criteria S02-G3 and S02-G4</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2120"/>
        <w:gridCol w:w="7518"/>
      </w:tblGrid>
      <w:tr>
        <w:trPr>
          <w:cantSplit/>
          <w:tblHeader/>
        </w:trPr>
        <w:tc>
          <w:tcPr>
            <w:tcW w:type="dxa" w:w="212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Field</w:t>
            </w:r>
          </w:p>
        </w:tc>
        <w:tc>
          <w:tcPr>
            <w:tcW w:type="dxa" w:w="751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Detail</w:t>
            </w:r>
          </w:p>
        </w:tc>
      </w:tr>
      <w:tr>
        <w:trPr>
          <w:cantSplit/>
        </w:trPr>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Document ID</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COMP-RATIFY-CNS-SUIT-v1.0</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Prepared by</w:t>
            </w:r>
          </w:p>
        </w:tc>
        <w:tc>
          <w:tcPr>
            <w:tcW w:type="dxa" w:w="751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Rajal</w:t>
            </w:r>
            <w:r>
              <w:rPr>
                <w:b w:val="false"/>
                <w:bCs w:val="false"/>
                <w:i w:val="false"/>
                <w:iCs w:val="false"/>
                <w:color w:val="222629"/>
                <w:sz w:val="18"/>
                <w:szCs w:val="18"/>
              </w:rPr>
              <w:t xml:space="preserve"> — Principal Insurance Platform Product Owner (Board 3 / R1)</w:t>
            </w:r>
          </w:p>
        </w:tc>
      </w:tr>
      <w:tr>
        <w:trPr>
          <w:cantSplit/>
        </w:trPr>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Decision owner</w:t>
            </w:r>
          </w:p>
        </w:tc>
        <w:tc>
          <w:tcPr>
            <w:tcW w:type="dxa" w:w="751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Shailja S</w:t>
            </w:r>
            <w:r>
              <w:rPr>
                <w:b w:val="false"/>
                <w:bCs w:val="false"/>
                <w:i w:val="false"/>
                <w:iCs w:val="false"/>
                <w:color w:val="222629"/>
                <w:sz w:val="18"/>
                <w:szCs w:val="18"/>
              </w:rPr>
              <w:t xml:space="preserve"> — Compliance &amp; Risk Head (Board 6). Human signature mandatory (T4); no AI substitution.</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Supporting approvers</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Deepali (Security, Board 4) · Aarti (Database) · Swapnali (QA, Board 5) · Mahesh (Architecture, Board 1)</w:t>
            </w:r>
          </w:p>
        </w:tc>
      </w:tr>
      <w:tr>
        <w:trPr>
          <w:cantSplit/>
        </w:trPr>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Date issued</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17 August 2026</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Decision requested by</w:t>
            </w:r>
          </w:p>
        </w:tc>
        <w:tc>
          <w:tcPr>
            <w:tcW w:type="dxa" w:w="7518"/>
            <w:shd w:fill="F1F5F8" w:color="auto" w:val="clear"/>
            <w:tcMar>
              <w:top w:type="dxa" w:w="90"/>
              <w:left w:type="dxa" w:w="130"/>
              <w:bottom w:type="dxa" w:w="90"/>
              <w:right w:type="dxa" w:w="130"/>
            </w:tcMar>
            <w:vAlign w:val="top"/>
          </w:tcPr>
          <w:p>
            <w:pPr>
              <w:spacing w:after="40" w:before="40" w:line="252"/>
              <w:jc w:val="left"/>
            </w:pPr>
            <w:r>
              <w:rPr>
                <w:b/>
                <w:bCs/>
                <w:i w:val="false"/>
                <w:iCs w:val="false"/>
                <w:color w:val="9B2226"/>
                <w:sz w:val="18"/>
                <w:szCs w:val="18"/>
              </w:rPr>
              <w:t xml:space="preserve">29 August 2026</w:t>
            </w:r>
          </w:p>
        </w:tc>
      </w:tr>
      <w:tr>
        <w:trPr>
          <w:cantSplit/>
        </w:trPr>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Artefacts submitted</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CONSENT-PACK-v1.0 (38 rules) · SUITABILITY-PACK-v1.0 (48 rules, SUIT-ALGO-LIFE-v1.0)</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Evidence level sought</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E2 — reviewed and signed</w:t>
            </w:r>
          </w:p>
        </w:tc>
      </w:tr>
      <w:tr>
        <w:trPr>
          <w:cantSplit/>
        </w:trPr>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Current status</w:t>
            </w:r>
          </w:p>
        </w:tc>
        <w:tc>
          <w:tcPr>
            <w:tcW w:type="dxa" w:w="7518"/>
            <w:tcMar>
              <w:top w:type="dxa" w:w="90"/>
              <w:left w:type="dxa" w:w="130"/>
              <w:bottom w:type="dxa" w:w="90"/>
              <w:right w:type="dxa" w:w="130"/>
            </w:tcMar>
            <w:vAlign w:val="top"/>
          </w:tcPr>
          <w:p>
            <w:pPr>
              <w:spacing w:after="40" w:before="40" w:line="252"/>
              <w:jc w:val="left"/>
            </w:pPr>
            <w:r>
              <w:rPr>
                <w:b/>
                <w:bCs/>
                <w:i w:val="false"/>
                <w:iCs w:val="false"/>
                <w:color w:val="8A5A00"/>
                <w:sz w:val="18"/>
                <w:szCs w:val="18"/>
              </w:rPr>
              <w:t xml:space="preserve">AI-DRAFTED — mandatory human signature outstanding</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Scope</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R0: Life LOB (Term, Savings/Endowment, ULIP) · ETB customers · RM-assisted · Group A insurers via 1SB</w:t>
            </w:r>
          </w:p>
        </w:tc>
      </w:tr>
      <w:tr>
        <w:trPr>
          <w:cantSplit/>
        </w:trPr>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Classification</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 — Compliance, Product, Delivery</w:t>
            </w:r>
          </w:p>
        </w:tc>
      </w:tr>
    </w:tbl>
    <w:p>
      <w:pPr>
        <w:pStyle w:val="Heading1"/>
        <w:pageBreakBefore/>
        <w:pBdr>
          <w:bottom w:val="single" w:color="0F6E6E" w:sz="8" w:space="6"/>
        </w:pBdr>
        <w:spacing w:after="160" w:before="0"/>
      </w:pPr>
      <w:r>
        <w:rPr>
          <w:b/>
          <w:bCs/>
          <w:color w:val="11304E"/>
          <w:sz w:val="30"/>
          <w:szCs w:val="30"/>
        </w:rPr>
        <w:t xml:space="preserve">Contents</w:t>
      </w:r>
    </w:p>
    <w:p>
      <w:pPr>
        <w:spacing w:after="70" w:before="0" w:line="276"/>
        <w:jc w:val="left"/>
      </w:pPr>
      <w:r>
        <w:rPr>
          <w:b/>
          <w:bCs/>
          <w:i w:val="false"/>
          <w:iCs w:val="false"/>
          <w:color w:val="0F6E6E"/>
          <w:sz w:val="20"/>
          <w:szCs w:val="20"/>
        </w:rPr>
        <w:t xml:space="preserve">1.  </w:t>
      </w:r>
      <w:r>
        <w:rPr>
          <w:b w:val="false"/>
          <w:bCs w:val="false"/>
          <w:i w:val="false"/>
          <w:iCs w:val="false"/>
          <w:color w:val="222629"/>
          <w:sz w:val="20"/>
          <w:szCs w:val="20"/>
        </w:rPr>
        <w:t xml:space="preserve">What I am asking Compliance to do</w:t>
      </w:r>
    </w:p>
    <w:p>
      <w:pPr>
        <w:spacing w:after="70" w:before="0" w:line="276"/>
        <w:jc w:val="left"/>
      </w:pPr>
      <w:r>
        <w:rPr>
          <w:b/>
          <w:bCs/>
          <w:i w:val="false"/>
          <w:iCs w:val="false"/>
          <w:color w:val="0F6E6E"/>
          <w:sz w:val="20"/>
          <w:szCs w:val="20"/>
        </w:rPr>
        <w:t xml:space="preserve">2.  </w:t>
      </w:r>
      <w:r>
        <w:rPr>
          <w:b w:val="false"/>
          <w:bCs w:val="false"/>
          <w:i w:val="false"/>
          <w:iCs w:val="false"/>
          <w:color w:val="222629"/>
          <w:sz w:val="20"/>
          <w:szCs w:val="20"/>
        </w:rPr>
        <w:t xml:space="preserve">Executive summary</w:t>
      </w:r>
    </w:p>
    <w:p>
      <w:pPr>
        <w:spacing w:after="70" w:before="0" w:line="276"/>
        <w:jc w:val="left"/>
      </w:pPr>
      <w:r>
        <w:rPr>
          <w:b/>
          <w:bCs/>
          <w:i w:val="false"/>
          <w:iCs w:val="false"/>
          <w:color w:val="0F6E6E"/>
          <w:sz w:val="20"/>
          <w:szCs w:val="20"/>
        </w:rPr>
        <w:t xml:space="preserve">3.  </w:t>
      </w:r>
      <w:r>
        <w:rPr>
          <w:b w:val="false"/>
          <w:bCs w:val="false"/>
          <w:i w:val="false"/>
          <w:iCs w:val="false"/>
          <w:color w:val="222629"/>
          <w:sz w:val="20"/>
          <w:szCs w:val="20"/>
        </w:rPr>
        <w:t xml:space="preserve">What is on the table</w:t>
      </w:r>
    </w:p>
    <w:p>
      <w:pPr>
        <w:spacing w:after="70" w:before="0" w:line="276"/>
        <w:jc w:val="left"/>
      </w:pPr>
      <w:r>
        <w:rPr>
          <w:b/>
          <w:bCs/>
          <w:i w:val="false"/>
          <w:iCs w:val="false"/>
          <w:color w:val="0F6E6E"/>
          <w:sz w:val="20"/>
          <w:szCs w:val="20"/>
        </w:rPr>
        <w:t xml:space="preserve">4.  </w:t>
      </w:r>
      <w:r>
        <w:rPr>
          <w:b w:val="false"/>
          <w:bCs w:val="false"/>
          <w:i w:val="false"/>
          <w:iCs w:val="false"/>
          <w:color w:val="222629"/>
          <w:sz w:val="20"/>
          <w:szCs w:val="20"/>
        </w:rPr>
        <w:t xml:space="preserve">Why a signature, and not another review</w:t>
      </w:r>
    </w:p>
    <w:p>
      <w:pPr>
        <w:spacing w:after="70" w:before="0" w:line="276"/>
        <w:jc w:val="left"/>
      </w:pPr>
      <w:r>
        <w:rPr>
          <w:b/>
          <w:bCs/>
          <w:i w:val="false"/>
          <w:iCs w:val="false"/>
          <w:color w:val="0F6E6E"/>
          <w:sz w:val="20"/>
          <w:szCs w:val="20"/>
        </w:rPr>
        <w:t xml:space="preserve">5.  </w:t>
      </w:r>
      <w:r>
        <w:rPr>
          <w:b w:val="false"/>
          <w:bCs w:val="false"/>
          <w:i w:val="false"/>
          <w:iCs w:val="false"/>
          <w:color w:val="222629"/>
          <w:sz w:val="20"/>
          <w:szCs w:val="20"/>
        </w:rPr>
        <w:t xml:space="preserve">The evidence pack — what you can open yourself</w:t>
      </w:r>
    </w:p>
    <w:p>
      <w:pPr>
        <w:spacing w:after="70" w:before="0" w:line="276"/>
        <w:jc w:val="left"/>
      </w:pPr>
      <w:r>
        <w:rPr>
          <w:b/>
          <w:bCs/>
          <w:i w:val="false"/>
          <w:iCs w:val="false"/>
          <w:color w:val="0F6E6E"/>
          <w:sz w:val="20"/>
          <w:szCs w:val="20"/>
        </w:rPr>
        <w:t xml:space="preserve">6.  </w:t>
      </w:r>
      <w:r>
        <w:rPr>
          <w:b w:val="false"/>
          <w:bCs w:val="false"/>
          <w:i w:val="false"/>
          <w:iCs w:val="false"/>
          <w:color w:val="222629"/>
          <w:sz w:val="20"/>
          <w:szCs w:val="20"/>
        </w:rPr>
        <w:t xml:space="preserve">Decision Schedule A — Consent Rule Pack</w:t>
      </w:r>
    </w:p>
    <w:p>
      <w:pPr>
        <w:spacing w:after="70" w:before="0" w:line="276"/>
        <w:jc w:val="left"/>
      </w:pPr>
      <w:r>
        <w:rPr>
          <w:b/>
          <w:bCs/>
          <w:i w:val="false"/>
          <w:iCs w:val="false"/>
          <w:color w:val="0F6E6E"/>
          <w:sz w:val="20"/>
          <w:szCs w:val="20"/>
        </w:rPr>
        <w:t xml:space="preserve">7.  </w:t>
      </w:r>
      <w:r>
        <w:rPr>
          <w:b w:val="false"/>
          <w:bCs w:val="false"/>
          <w:i w:val="false"/>
          <w:iCs w:val="false"/>
          <w:color w:val="222629"/>
          <w:sz w:val="20"/>
          <w:szCs w:val="20"/>
        </w:rPr>
        <w:t xml:space="preserve">Decision Schedule B — Suitability Rule Pack</w:t>
      </w:r>
    </w:p>
    <w:p>
      <w:pPr>
        <w:spacing w:after="70" w:before="0" w:line="276"/>
        <w:jc w:val="left"/>
      </w:pPr>
      <w:r>
        <w:rPr>
          <w:b/>
          <w:bCs/>
          <w:i w:val="false"/>
          <w:iCs w:val="false"/>
          <w:color w:val="0F6E6E"/>
          <w:sz w:val="20"/>
          <w:szCs w:val="20"/>
        </w:rPr>
        <w:t xml:space="preserve">8.  </w:t>
      </w:r>
      <w:r>
        <w:rPr>
          <w:b w:val="false"/>
          <w:bCs w:val="false"/>
          <w:i w:val="false"/>
          <w:iCs w:val="false"/>
          <w:color w:val="222629"/>
          <w:sz w:val="20"/>
          <w:szCs w:val="20"/>
        </w:rPr>
        <w:t xml:space="preserve">Open items requiring a Compliance determination</w:t>
      </w:r>
    </w:p>
    <w:p>
      <w:pPr>
        <w:spacing w:after="70" w:before="0" w:line="276"/>
        <w:jc w:val="left"/>
      </w:pPr>
      <w:r>
        <w:rPr>
          <w:b/>
          <w:bCs/>
          <w:i w:val="false"/>
          <w:iCs w:val="false"/>
          <w:color w:val="0F6E6E"/>
          <w:sz w:val="20"/>
          <w:szCs w:val="20"/>
        </w:rPr>
        <w:t xml:space="preserve">9.  </w:t>
      </w:r>
      <w:r>
        <w:rPr>
          <w:b w:val="false"/>
          <w:bCs w:val="false"/>
          <w:i w:val="false"/>
          <w:iCs w:val="false"/>
          <w:color w:val="222629"/>
          <w:sz w:val="20"/>
          <w:szCs w:val="20"/>
        </w:rPr>
        <w:t xml:space="preserve">Product proposal — consolidating consent into a single up-front ceremony</w:t>
      </w:r>
    </w:p>
    <w:p>
      <w:pPr>
        <w:spacing w:after="70" w:before="0" w:line="276"/>
        <w:jc w:val="left"/>
      </w:pPr>
      <w:r>
        <w:rPr>
          <w:b/>
          <w:bCs/>
          <w:i w:val="false"/>
          <w:iCs w:val="false"/>
          <w:color w:val="0F6E6E"/>
          <w:sz w:val="20"/>
          <w:szCs w:val="20"/>
        </w:rPr>
        <w:t xml:space="preserve">10.  </w:t>
      </w:r>
      <w:r>
        <w:rPr>
          <w:b w:val="false"/>
          <w:bCs w:val="false"/>
          <w:i w:val="false"/>
          <w:iCs w:val="false"/>
          <w:color w:val="222629"/>
          <w:sz w:val="20"/>
          <w:szCs w:val="20"/>
        </w:rPr>
        <w:t xml:space="preserve">Conditions, dependencies and non-waivables</w:t>
      </w:r>
    </w:p>
    <w:p>
      <w:pPr>
        <w:spacing w:after="70" w:before="0" w:line="276"/>
        <w:jc w:val="left"/>
      </w:pPr>
      <w:r>
        <w:rPr>
          <w:b/>
          <w:bCs/>
          <w:i w:val="false"/>
          <w:iCs w:val="false"/>
          <w:color w:val="0F6E6E"/>
          <w:sz w:val="20"/>
          <w:szCs w:val="20"/>
        </w:rPr>
        <w:t xml:space="preserve">11.  </w:t>
      </w:r>
      <w:r>
        <w:rPr>
          <w:b w:val="false"/>
          <w:bCs w:val="false"/>
          <w:i w:val="false"/>
          <w:iCs w:val="false"/>
          <w:color w:val="222629"/>
          <w:sz w:val="20"/>
          <w:szCs w:val="20"/>
        </w:rPr>
        <w:t xml:space="preserve">What happens after signature</w:t>
      </w:r>
    </w:p>
    <w:p>
      <w:pPr>
        <w:spacing w:after="70" w:before="0" w:line="276"/>
        <w:jc w:val="left"/>
      </w:pPr>
      <w:r>
        <w:rPr>
          <w:b/>
          <w:bCs/>
          <w:i w:val="false"/>
          <w:iCs w:val="false"/>
          <w:color w:val="0F6E6E"/>
          <w:sz w:val="20"/>
          <w:szCs w:val="20"/>
        </w:rPr>
        <w:t xml:space="preserve">12.  </w:t>
      </w:r>
      <w:r>
        <w:rPr>
          <w:b w:val="false"/>
          <w:bCs w:val="false"/>
          <w:i w:val="false"/>
          <w:iCs w:val="false"/>
          <w:color w:val="222629"/>
          <w:sz w:val="20"/>
          <w:szCs w:val="20"/>
        </w:rPr>
        <w:t xml:space="preserve">Sign-off sheet</w:t>
      </w:r>
    </w:p>
    <w:p>
      <w:pPr>
        <w:spacing w:after="70" w:before="0" w:line="276"/>
        <w:jc w:val="left"/>
      </w:pPr>
      <w:r>
        <w:rPr>
          <w:b/>
          <w:bCs/>
          <w:i w:val="false"/>
          <w:iCs w:val="false"/>
          <w:color w:val="0F6E6E"/>
          <w:sz w:val="20"/>
          <w:szCs w:val="20"/>
        </w:rPr>
        <w:t xml:space="preserve">A.  </w:t>
      </w:r>
      <w:r>
        <w:rPr>
          <w:b w:val="false"/>
          <w:bCs w:val="false"/>
          <w:i w:val="false"/>
          <w:iCs w:val="false"/>
          <w:color w:val="222629"/>
          <w:sz w:val="20"/>
          <w:szCs w:val="20"/>
        </w:rPr>
        <w:t xml:space="preserve">Appendix A — Rule index</w:t>
      </w:r>
    </w:p>
    <w:p>
      <w:pPr>
        <w:spacing w:after="70" w:before="0" w:line="276"/>
        <w:jc w:val="left"/>
      </w:pPr>
      <w:r>
        <w:rPr>
          <w:b/>
          <w:bCs/>
          <w:i w:val="false"/>
          <w:iCs w:val="false"/>
          <w:color w:val="0F6E6E"/>
          <w:sz w:val="20"/>
          <w:szCs w:val="20"/>
        </w:rPr>
        <w:t xml:space="preserve">B.  </w:t>
      </w:r>
      <w:r>
        <w:rPr>
          <w:b w:val="false"/>
          <w:bCs w:val="false"/>
          <w:i w:val="false"/>
          <w:iCs w:val="false"/>
          <w:color w:val="222629"/>
          <w:sz w:val="20"/>
          <w:szCs w:val="20"/>
        </w:rPr>
        <w:t xml:space="preserve">Appendix B — Terms used in this pack</w:t>
      </w:r>
    </w:p>
    <w:p>
      <w:pPr>
        <w:pStyle w:val="Heading1"/>
        <w:pageBreakBefore/>
        <w:pBdr>
          <w:bottom w:val="single" w:color="0F6E6E" w:sz="8" w:space="6"/>
        </w:pBdr>
        <w:spacing w:after="160" w:before="0"/>
      </w:pPr>
      <w:r>
        <w:rPr>
          <w:b/>
          <w:bCs/>
          <w:color w:val="11304E"/>
          <w:sz w:val="30"/>
          <w:szCs w:val="30"/>
        </w:rPr>
        <w:t xml:space="preserve">1.  What I am asking Compliance to do</w:t>
      </w:r>
    </w:p>
    <w:p>
      <w:pPr>
        <w:spacing w:after="120" w:before="0" w:line="276"/>
        <w:jc w:val="left"/>
      </w:pPr>
      <w:r>
        <w:rPr>
          <w:b w:val="false"/>
          <w:bCs w:val="false"/>
          <w:i w:val="false"/>
          <w:iCs w:val="false"/>
          <w:color w:val="222629"/>
          <w:sz w:val="20"/>
          <w:szCs w:val="20"/>
        </w:rPr>
        <w:t xml:space="preserve">This pack asks for one thing: a signature on two rule packs that are content-complete and already implemented in a working reference application. It is not a request for comments, and it is not a progress update. Both packs have been drafted specifically so that Compliance can accept, amend or reject each section individually rather than accept or reject the whole.</w:t>
      </w:r>
    </w:p>
    <w:p>
      <w:pPr>
        <w:spacing w:after="120" w:before="0" w:line="276"/>
        <w:jc w:val="left"/>
      </w:pPr>
      <w:r>
        <w:rPr>
          <w:b w:val="false"/>
          <w:bCs w:val="false"/>
          <w:i w:val="false"/>
          <w:iCs w:val="false"/>
          <w:color w:val="222629"/>
          <w:sz w:val="20"/>
          <w:szCs w:val="20"/>
        </w:rPr>
        <w:t xml:space="preserve">Three decisions are requested, and they are separable. You can sign the first two today and hold the third.</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675"/>
        <w:gridCol w:w="3373"/>
        <w:gridCol w:w="2795"/>
        <w:gridCol w:w="2795"/>
      </w:tblGrid>
      <w:tr>
        <w:trPr>
          <w:cantSplit/>
          <w:tblHeader/>
        </w:trPr>
        <w:tc>
          <w:tcPr>
            <w:tcW w:type="dxa" w:w="67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t>
            </w:r>
          </w:p>
        </w:tc>
        <w:tc>
          <w:tcPr>
            <w:tcW w:type="dxa" w:w="337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Decision requested</w:t>
            </w:r>
          </w:p>
        </w:tc>
        <w:tc>
          <w:tcPr>
            <w:tcW w:type="dxa" w:w="279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Effect of signature</w:t>
            </w:r>
          </w:p>
        </w:tc>
        <w:tc>
          <w:tcPr>
            <w:tcW w:type="dxa" w:w="279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Effect of no decision</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D1</w:t>
            </w:r>
          </w:p>
        </w:tc>
        <w:tc>
          <w:tcPr>
            <w:tcW w:type="dxa" w:w="337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Ratify CONSENT-PACK-v1.0</w:t>
            </w:r>
            <w:r>
              <w:rPr>
                <w:b w:val="false"/>
                <w:bCs w:val="false"/>
                <w:i w:val="false"/>
                <w:iCs w:val="false"/>
                <w:color w:val="222629"/>
                <w:sz w:val="18"/>
                <w:szCs w:val="18"/>
              </w:rPr>
              <w:t xml:space="preserve"> (38 rules), with any amendments recorded in Schedule A</w:t>
            </w:r>
          </w:p>
        </w:tc>
        <w:tc>
          <w:tcPr>
            <w:tcW w:type="dxa" w:w="279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Gate S02-G3 met at E2. GAP-006 closes.</w:t>
            </w:r>
          </w:p>
        </w:tc>
        <w:tc>
          <w:tcPr>
            <w:tcW w:type="dxa" w:w="279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Service stays behind the build freeze.</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D2</w:t>
            </w:r>
          </w:p>
        </w:tc>
        <w:tc>
          <w:tcPr>
            <w:tcW w:type="dxa" w:w="337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Ratify SUITABILITY-PACK-v1.0</w:t>
            </w:r>
            <w:r>
              <w:rPr>
                <w:b w:val="false"/>
                <w:bCs w:val="false"/>
                <w:i w:val="false"/>
                <w:iCs w:val="false"/>
                <w:color w:val="222629"/>
                <w:sz w:val="18"/>
                <w:szCs w:val="18"/>
              </w:rPr>
              <w:t xml:space="preserve"> (48 rules, SUIT-ALGO-LIFE-v1.0), with any amendments recorded in Schedule B</w:t>
            </w:r>
          </w:p>
        </w:tc>
        <w:tc>
          <w:tcPr>
            <w:tcW w:type="dxa" w:w="279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Gate S02-G4 met at E2. GAP-007 closes.</w:t>
            </w:r>
          </w:p>
        </w:tc>
        <w:tc>
          <w:tcPr>
            <w:tcW w:type="dxa" w:w="279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Quote and suitability path stays frozen.</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D3</w:t>
            </w:r>
          </w:p>
        </w:tc>
        <w:tc>
          <w:tcPr>
            <w:tcW w:type="dxa" w:w="337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Determine the ten open regulatory items</w:t>
            </w:r>
            <w:r>
              <w:rPr>
                <w:b w:val="false"/>
                <w:bCs w:val="false"/>
                <w:i w:val="false"/>
                <w:iCs w:val="false"/>
                <w:color w:val="222629"/>
                <w:sz w:val="18"/>
                <w:szCs w:val="18"/>
              </w:rPr>
              <w:t xml:space="preserve"> in §8, and rule on the consent-consolidation proposal in §9 (OPEN-CNS-06)</w:t>
            </w:r>
          </w:p>
        </w:tc>
        <w:tc>
          <w:tcPr>
            <w:tcW w:type="dxa" w:w="279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Journey design locks. Copy deck can be drafted for S05.</w:t>
            </w:r>
          </w:p>
        </w:tc>
        <w:tc>
          <w:tcPr>
            <w:tcW w:type="dxa" w:w="279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D1 and D2 can still be signed; the journey ships with today’s two-ceremony design.</w:t>
            </w:r>
          </w:p>
        </w:tc>
      </w:tr>
    </w:tbl>
    <w:p>
      <w:pPr>
        <w:spacing w:after="120"/>
      </w:pPr>
      <w:r>
        <w:t xml:space="preserve"/>
      </w:r>
    </w:p>
    <w:tbl>
      <w:tblPr>
        <w:tblW w:type="dxa" w:w="9638"/>
        <w:tblBorders>
          <w:top w:val="none" w:color="FFFFFF" w:sz="0"/>
          <w:left w:val="single" w:color="0F6E6E" w:sz="18"/>
          <w:bottom w:val="none" w:color="FFFFFF" w:sz="0"/>
          <w:right w:val="none" w:color="FFFFFF" w:sz="0"/>
          <w:insideH w:val="none" w:color="FFFFFF" w:sz="0"/>
          <w:insideV w:val="none" w:color="FFFFFF" w:sz="0"/>
        </w:tblBorders>
      </w:tblPr>
      <w:tblGrid>
        <w:gridCol w:w="9638"/>
      </w:tblGrid>
      <w:tr>
        <w:tc>
          <w:tcPr>
            <w:tcW w:type="dxa" w:w="9638"/>
            <w:shd w:fill="F1F5F8" w:color="auto" w:val="clear"/>
            <w:tcMar>
              <w:top w:type="dxa" w:w="140"/>
              <w:left w:type="dxa" w:w="200"/>
              <w:bottom w:type="dxa" w:w="140"/>
              <w:right w:type="dxa" w:w="200"/>
            </w:tcMar>
          </w:tcPr>
          <w:p>
            <w:pPr>
              <w:spacing w:after="60" w:before="0" w:line="276"/>
              <w:jc w:val="left"/>
            </w:pPr>
            <w:r>
              <w:rPr>
                <w:b/>
                <w:bCs/>
                <w:i w:val="false"/>
                <w:iCs w:val="false"/>
                <w:color w:val="0F6E6E"/>
                <w:sz w:val="20"/>
                <w:szCs w:val="20"/>
              </w:rPr>
              <w:t xml:space="preserve">The honest position</w:t>
            </w:r>
          </w:p>
          <w:p>
            <w:pPr>
              <w:spacing w:after="0" w:before="0" w:line="276"/>
              <w:jc w:val="left"/>
            </w:pPr>
            <w:r>
              <w:rPr>
                <w:b w:val="false"/>
                <w:bCs w:val="false"/>
                <w:i w:val="false"/>
                <w:iCs w:val="false"/>
                <w:color w:val="222629"/>
                <w:sz w:val="20"/>
                <w:szCs w:val="20"/>
              </w:rPr>
              <w:t xml:space="preserve">Nothing in this pack claims that Product has settled a regulatory question. Where the answer is yours, I have written the question down, stated the position I would take, and said what changes if you decide otherwise. Ten such items are listed in §8 and §9. None of them blocks your signature on D1 and D2, because all ten are wording, window or sequencing questions over a data model and a control set that do not change with the answer.</w:t>
            </w:r>
          </w:p>
        </w:tc>
      </w:tr>
    </w:tbl>
    <w:p>
      <w:pPr>
        <w:pStyle w:val="Heading1"/>
        <w:pBdr>
          <w:bottom w:val="single" w:color="0F6E6E" w:sz="8" w:space="6"/>
        </w:pBdr>
        <w:spacing w:after="160" w:before="400"/>
      </w:pPr>
      <w:r>
        <w:rPr>
          <w:b/>
          <w:bCs/>
          <w:color w:val="11304E"/>
          <w:sz w:val="30"/>
          <w:szCs w:val="30"/>
        </w:rPr>
        <w:t xml:space="preserve">2.  Executive summary</w:t>
      </w:r>
    </w:p>
    <w:p>
      <w:pPr>
        <w:spacing w:after="120" w:before="0" w:line="276"/>
        <w:jc w:val="left"/>
      </w:pPr>
      <w:r>
        <w:rPr>
          <w:b w:val="false"/>
          <w:bCs w:val="false"/>
          <w:i w:val="false"/>
          <w:iCs w:val="false"/>
          <w:color w:val="222629"/>
          <w:sz w:val="20"/>
          <w:szCs w:val="20"/>
        </w:rPr>
        <w:t xml:space="preserve">GAP-006 (consent rules not executable) and GAP-007 (suitability content and override unknown) are the two P0 build-freeze gaps that have kept the platform out of construction. Both are now content-complete. Neither is closed, because closure needs a Compliance signature and silence does not approve a pack.</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4819"/>
        <w:gridCol w:w="4819"/>
      </w:tblGrid>
      <w:tr>
        <w:trPr>
          <w:cantSplit/>
          <w:tblHeader/>
        </w:trPr>
        <w:tc>
          <w:tcPr>
            <w:tcW w:type="dxa" w:w="4819"/>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is done</w:t>
            </w:r>
          </w:p>
        </w:tc>
        <w:tc>
          <w:tcPr>
            <w:tcW w:type="dxa" w:w="4819"/>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is outstanding</w:t>
            </w:r>
          </w:p>
        </w:tc>
      </w:tr>
      <w:tr>
        <w:trPr>
          <w:cantSplit/>
        </w:trPr>
        <w:tc>
          <w:tcPr>
            <w:tcW w:type="dxa" w:w="481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86 individually testable rules written across the two packs — every rule has an ID, a normative statement, a pass/fail test and a named enforcement point.</w:t>
            </w:r>
          </w:p>
        </w:tc>
        <w:tc>
          <w:tcPr>
            <w:tcW w:type="dxa" w:w="481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Your E2 signature on both packs. This is the only thing standing between the platform and gates S02-G3 / S02-G4.</w:t>
            </w:r>
          </w:p>
        </w:tc>
      </w:tr>
      <w:tr>
        <w:trPr>
          <w:cantSplit/>
        </w:trPr>
        <w:tc>
          <w:tcPr>
            <w:tcW w:type="dxa" w:w="481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suitability model is fully specified arithmetic: 12 inputs, 8 income bands, 5 age factors, a worked reference case (SUIT-TC-REF-01) and per-product-class outcomes.</w:t>
            </w:r>
          </w:p>
        </w:tc>
        <w:tc>
          <w:tcPr>
            <w:tcW w:type="dxa" w:w="481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Your determination that this model discharges the IRDAI suitability obligation, or a direction to use a prescribed model (OPEN-SUIT-01).</w:t>
            </w:r>
          </w:p>
        </w:tc>
      </w:tr>
      <w:tr>
        <w:trPr>
          <w:cantSplit/>
        </w:trPr>
        <w:tc>
          <w:tcPr>
            <w:tcW w:type="dxa" w:w="481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hard gate is defined once and precisely: quote endpoints return 403 unless a valid, in-date, CIF-bound, outcome-permitting evaluation ID is presented (SUIT-R20).</w:t>
            </w:r>
          </w:p>
        </w:tc>
        <w:tc>
          <w:tcPr>
            <w:tcW w:type="dxa" w:w="481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Ratification of the R0 override policy: NOT_SUITABLE cannot be overridden by anyone, at any level, through any surface (SUIT-R38 to R40).</w:t>
            </w:r>
          </w:p>
        </w:tc>
      </w:tr>
      <w:tr>
        <w:trPr>
          <w:cantSplit/>
        </w:trPr>
        <w:tc>
          <w:tcPr>
            <w:tcW w:type="dxa" w:w="481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Both control sets are implemented and demonstrable in the RM workspace reference application, with the consent and suitability gates enforced at the type level, not by a runtime flag.</w:t>
            </w:r>
          </w:p>
        </w:tc>
        <w:tc>
          <w:tcPr>
            <w:tcW w:type="dxa" w:w="481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Approved legal wording for the consent statements and the two disclosure texts. The packs define structure and fields; the text is Compliance-authored (OPEN-CNS-02, OPEN-SUIT-03).</w:t>
            </w:r>
          </w:p>
        </w:tc>
      </w:tr>
      <w:tr>
        <w:trPr>
          <w:cantSplit/>
        </w:trPr>
        <w:tc>
          <w:tcPr>
            <w:tcW w:type="dxa" w:w="481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Failure behaviour is specified for every rule — error code, HTTP status, what the RM sees, and what happens to the journey.</w:t>
            </w:r>
          </w:p>
        </w:tc>
        <w:tc>
          <w:tcPr>
            <w:tcW w:type="dxa" w:w="481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ruling on the consent-consolidation proposal in §9, which would reduce the customer from up to four consent interruptions to at most two.</w:t>
            </w:r>
          </w:p>
        </w:tc>
      </w:tr>
    </w:tbl>
    <w:p>
      <w:pPr>
        <w:spacing w:after="140"/>
      </w:pPr>
      <w:r>
        <w:t xml:space="preserve"/>
      </w:r>
    </w:p>
    <w:p>
      <w:pPr>
        <w:pStyle w:val="Heading3"/>
        <w:spacing w:after="100" w:before="220"/>
      </w:pPr>
      <w:r>
        <w:rPr>
          <w:b/>
          <w:bCs/>
          <w:color w:val="0F6E6E"/>
          <w:sz w:val="21"/>
          <w:szCs w:val="21"/>
        </w:rPr>
        <w:t xml:space="preserve">Cost of continued delay</w:t>
      </w:r>
    </w:p>
    <w:p>
      <w:pPr>
        <w:pStyle w:val="ListParagraph"/>
        <w:numPr>
          <w:ilvl w:val="0"/>
          <w:numId w:val="2"/>
        </w:numPr>
        <w:spacing w:after="80" w:line="276"/>
      </w:pPr>
      <w:r>
        <w:rPr>
          <w:sz w:val="20"/>
          <w:szCs w:val="20"/>
        </w:rPr>
        <w:t xml:space="preserve">The Consent Service and the Suitability Service are the two bounded contexts on the R0 critical path. Neither can leave design while its rule pack is unratified.</w:t>
      </w:r>
    </w:p>
    <w:p>
      <w:pPr>
        <w:pStyle w:val="ListParagraph"/>
        <w:numPr>
          <w:ilvl w:val="0"/>
          <w:numId w:val="2"/>
        </w:numPr>
        <w:spacing w:after="80" w:line="276"/>
      </w:pPr>
      <w:r>
        <w:rPr>
          <w:sz w:val="20"/>
          <w:szCs w:val="20"/>
        </w:rPr>
        <w:t xml:space="preserve">Every week of delay moves the S05 copy deck to the right, because the approved statement wording is an input to the screens, not an output of them.</w:t>
      </w:r>
    </w:p>
    <w:p>
      <w:pPr>
        <w:pStyle w:val="ListParagraph"/>
        <w:numPr>
          <w:ilvl w:val="0"/>
          <w:numId w:val="2"/>
        </w:numPr>
        <w:spacing w:after="80" w:line="276"/>
      </w:pPr>
      <w:r>
        <w:rPr>
          <w:sz w:val="20"/>
          <w:szCs w:val="20"/>
        </w:rPr>
        <w:t xml:space="preserve">The reference application currently encodes the packs as drafted. If ratification materially amends them, the rework is bounded but real — and it grows with the number of services built on top.</w:t>
      </w:r>
    </w:p>
    <w:p>
      <w:pPr>
        <w:pStyle w:val="Heading1"/>
        <w:pageBreakBefore/>
        <w:pBdr>
          <w:bottom w:val="single" w:color="0F6E6E" w:sz="8" w:space="6"/>
        </w:pBdr>
        <w:spacing w:after="160" w:before="0"/>
      </w:pPr>
      <w:r>
        <w:rPr>
          <w:b/>
          <w:bCs/>
          <w:color w:val="11304E"/>
          <w:sz w:val="30"/>
          <w:szCs w:val="30"/>
        </w:rPr>
        <w:t xml:space="preserve">3.  What is on the table</w:t>
      </w:r>
    </w:p>
    <w:p>
      <w:pPr>
        <w:spacing w:after="120" w:before="0" w:line="276"/>
        <w:jc w:val="left"/>
      </w:pPr>
      <w:r>
        <w:rPr>
          <w:b w:val="false"/>
          <w:bCs w:val="false"/>
          <w:i w:val="false"/>
          <w:iCs w:val="false"/>
          <w:color w:val="222629"/>
          <w:sz w:val="20"/>
          <w:szCs w:val="20"/>
        </w:rPr>
        <w:t xml:space="preserve">Two artefacts, submitted in full alongside this pack.</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542"/>
        <w:gridCol w:w="3855"/>
        <w:gridCol w:w="4241"/>
      </w:tblGrid>
      <w:tr>
        <w:trPr>
          <w:cantSplit/>
          <w:tblHeader/>
        </w:trPr>
        <w:tc>
          <w:tcPr>
            <w:tcW w:type="dxa" w:w="154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
            </w:r>
          </w:p>
        </w:tc>
        <w:tc>
          <w:tcPr>
            <w:tcW w:type="dxa" w:w="385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Consent Rule Pack</w:t>
            </w:r>
          </w:p>
        </w:tc>
        <w:tc>
          <w:tcPr>
            <w:tcW w:type="dxa" w:w="424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Suitability Rule Pack</w:t>
            </w:r>
          </w:p>
        </w:tc>
      </w:tr>
      <w:tr>
        <w:trPr>
          <w:cantSplit/>
        </w:trPr>
        <w:tc>
          <w:tcPr>
            <w:tcW w:type="dxa" w:w="1542"/>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Pack ID</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CONSENT-PACK-v1.0</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SUITABILITY-PACK-v1.0 (algorithm SUIT-ALGO-LIFE-v1.0)</w:t>
            </w:r>
          </w:p>
        </w:tc>
      </w:tr>
      <w:tr>
        <w:trPr>
          <w:cantSplit/>
        </w:trPr>
        <w:tc>
          <w:tcPr>
            <w:tcW w:type="dxa" w:w="1542"/>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Rules</w:t>
            </w:r>
          </w:p>
        </w:tc>
        <w:tc>
          <w:tcPr>
            <w:tcW w:type="dxa" w:w="385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38 (CNS-R01 – CNS-R38)</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48 (SUIT-R01 – SUIT-R48, including SUIT-R19a)</w:t>
            </w:r>
          </w:p>
        </w:tc>
      </w:tr>
      <w:tr>
        <w:trPr>
          <w:cantSplit/>
        </w:trPr>
        <w:tc>
          <w:tcPr>
            <w:tcW w:type="dxa" w:w="1542"/>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Closes</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GAP-006 — P0, build-freeze</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GAP-007 — P0, build-freeze</w:t>
            </w:r>
          </w:p>
        </w:tc>
      </w:tr>
      <w:tr>
        <w:trPr>
          <w:cantSplit/>
        </w:trPr>
        <w:tc>
          <w:tcPr>
            <w:tcW w:type="dxa" w:w="1542"/>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Gate criterion</w:t>
            </w:r>
          </w:p>
        </w:tc>
        <w:tc>
          <w:tcPr>
            <w:tcW w:type="dxa" w:w="385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S02-G3, evidence level E2</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S02-G4, evidence level E2</w:t>
            </w:r>
          </w:p>
        </w:tc>
      </w:tr>
      <w:tr>
        <w:trPr>
          <w:cantSplit/>
        </w:trPr>
        <w:tc>
          <w:tcPr>
            <w:tcW w:type="dxa" w:w="1542"/>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Covers</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events, statement identity and versioning, capture mechanism, the evidence record, validity and reuse, withdrawal, retention, failure behaviour</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need-analysis question set, the deterministic computation, product-class outcomes, the evaluation record, the hard gate, invalidation and reuse, the override and exception path</w:t>
            </w:r>
          </w:p>
        </w:tc>
      </w:tr>
      <w:tr>
        <w:trPr>
          <w:cantSplit/>
        </w:trPr>
        <w:tc>
          <w:tcPr>
            <w:tcW w:type="dxa" w:w="1542"/>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Product position</w:t>
            </w:r>
          </w:p>
        </w:tc>
        <w:tc>
          <w:tcPr>
            <w:tcW w:type="dxa" w:w="385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Approved as drafted — Rajal, 16 Aug 2026</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Approved as drafted — Rajal, 16 Aug 2026</w:t>
            </w:r>
          </w:p>
        </w:tc>
      </w:tr>
      <w:tr>
        <w:trPr>
          <w:cantSplit/>
        </w:trPr>
        <w:tc>
          <w:tcPr>
            <w:tcW w:type="dxa" w:w="1542"/>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Compliance position</w:t>
            </w:r>
          </w:p>
        </w:tc>
        <w:tc>
          <w:tcPr>
            <w:tcW w:type="dxa" w:w="3855"/>
            <w:tcMar>
              <w:top w:type="dxa" w:w="90"/>
              <w:left w:type="dxa" w:w="130"/>
              <w:bottom w:type="dxa" w:w="90"/>
              <w:right w:type="dxa" w:w="130"/>
            </w:tcMar>
            <w:vAlign w:val="top"/>
          </w:tcPr>
          <w:p>
            <w:pPr>
              <w:spacing w:after="40" w:before="40" w:line="252"/>
              <w:jc w:val="left"/>
            </w:pPr>
            <w:r>
              <w:rPr>
                <w:b/>
                <w:bCs/>
                <w:i w:val="false"/>
                <w:iCs w:val="false"/>
                <w:color w:val="8A5A00"/>
                <w:sz w:val="18"/>
                <w:szCs w:val="18"/>
              </w:rPr>
              <w:t xml:space="preserve">Pending — this pack</w:t>
            </w:r>
          </w:p>
        </w:tc>
        <w:tc>
          <w:tcPr>
            <w:tcW w:type="dxa" w:w="4241"/>
            <w:tcMar>
              <w:top w:type="dxa" w:w="90"/>
              <w:left w:type="dxa" w:w="130"/>
              <w:bottom w:type="dxa" w:w="90"/>
              <w:right w:type="dxa" w:w="130"/>
            </w:tcMar>
            <w:vAlign w:val="top"/>
          </w:tcPr>
          <w:p>
            <w:pPr>
              <w:spacing w:after="40" w:before="40" w:line="252"/>
              <w:jc w:val="left"/>
            </w:pPr>
            <w:r>
              <w:rPr>
                <w:b/>
                <w:bCs/>
                <w:i w:val="false"/>
                <w:iCs w:val="false"/>
                <w:color w:val="8A5A00"/>
                <w:sz w:val="18"/>
                <w:szCs w:val="18"/>
              </w:rPr>
              <w:t xml:space="preserve">Pending — this pack</w:t>
            </w:r>
          </w:p>
        </w:tc>
      </w:tr>
    </w:tbl>
    <w:p>
      <w:pPr>
        <w:spacing w:after="140"/>
      </w:pPr>
      <w:r>
        <w:t xml:space="preserve"/>
      </w:r>
    </w:p>
    <w:p>
      <w:pPr>
        <w:pStyle w:val="Heading3"/>
        <w:spacing w:after="100" w:before="220"/>
      </w:pPr>
      <w:r>
        <w:rPr>
          <w:b/>
          <w:bCs/>
          <w:color w:val="0F6E6E"/>
          <w:sz w:val="21"/>
          <w:szCs w:val="21"/>
        </w:rPr>
        <w:t xml:space="preserve">The two sentences the packs exist to make executable</w:t>
      </w:r>
    </w:p>
    <w:tbl>
      <w:tblPr>
        <w:tblW w:type="dxa" w:w="9638"/>
        <w:tblBorders>
          <w:top w:val="none" w:color="FFFFFF" w:sz="0"/>
          <w:left w:val="single" w:color="0F6E6E" w:sz="18"/>
          <w:bottom w:val="none" w:color="FFFFFF" w:sz="0"/>
          <w:right w:val="none" w:color="FFFFFF" w:sz="0"/>
          <w:insideH w:val="none" w:color="FFFFFF" w:sz="0"/>
          <w:insideV w:val="none" w:color="FFFFFF" w:sz="0"/>
        </w:tblBorders>
      </w:tblPr>
      <w:tblGrid>
        <w:gridCol w:w="9638"/>
      </w:tblGrid>
      <w:tr>
        <w:tc>
          <w:tcPr>
            <w:tcW w:type="dxa" w:w="9638"/>
            <w:shd w:fill="F1F5F8" w:color="auto" w:val="clear"/>
            <w:tcMar>
              <w:top w:type="dxa" w:w="140"/>
              <w:left w:type="dxa" w:w="200"/>
              <w:bottom w:type="dxa" w:w="140"/>
              <w:right w:type="dxa" w:w="200"/>
            </w:tcMar>
          </w:tcPr>
          <w:p>
            <w:pPr>
              <w:spacing w:after="60" w:before="0" w:line="276"/>
              <w:jc w:val="left"/>
            </w:pPr>
            <w:r>
              <w:rPr>
                <w:b/>
                <w:bCs/>
                <w:i w:val="false"/>
                <w:iCs w:val="false"/>
                <w:color w:val="0F6E6E"/>
                <w:sz w:val="20"/>
                <w:szCs w:val="20"/>
              </w:rPr>
              <w:t xml:space="preserve">Consent — CNS-R37 and CNS-R16</w:t>
            </w:r>
          </w:p>
          <w:p>
            <w:pPr>
              <w:spacing w:after="0" w:before="0" w:line="276"/>
              <w:jc w:val="left"/>
            </w:pPr>
            <w:r>
              <w:rPr>
                <w:b w:val="false"/>
                <w:bCs w:val="false"/>
                <w:i w:val="false"/>
                <w:iCs w:val="false"/>
                <w:color w:val="222629"/>
                <w:sz w:val="20"/>
                <w:szCs w:val="20"/>
              </w:rPr>
              <w:t xml:space="preserve">Consent capture fails closed: if the evidence write fails, the business action does not succeed. And the consent store is append-only by database grant, not by application code — because an append-only rule that lives in a service is an append-only rule that one hotfix removes.</w:t>
            </w:r>
          </w:p>
        </w:tc>
      </w:tr>
    </w:tbl>
    <w:p>
      <w:pPr>
        <w:spacing w:after="100"/>
      </w:pPr>
      <w:r>
        <w:t xml:space="preserve"/>
      </w:r>
    </w:p>
    <w:tbl>
      <w:tblPr>
        <w:tblW w:type="dxa" w:w="9638"/>
        <w:tblBorders>
          <w:top w:val="none" w:color="FFFFFF" w:sz="0"/>
          <w:left w:val="single" w:color="0F6E6E" w:sz="18"/>
          <w:bottom w:val="none" w:color="FFFFFF" w:sz="0"/>
          <w:right w:val="none" w:color="FFFFFF" w:sz="0"/>
          <w:insideH w:val="none" w:color="FFFFFF" w:sz="0"/>
          <w:insideV w:val="none" w:color="FFFFFF" w:sz="0"/>
        </w:tblBorders>
      </w:tblPr>
      <w:tblGrid>
        <w:gridCol w:w="9638"/>
      </w:tblGrid>
      <w:tr>
        <w:tc>
          <w:tcPr>
            <w:tcW w:type="dxa" w:w="9638"/>
            <w:shd w:fill="F1F5F8" w:color="auto" w:val="clear"/>
            <w:tcMar>
              <w:top w:type="dxa" w:w="140"/>
              <w:left w:type="dxa" w:w="200"/>
              <w:bottom w:type="dxa" w:w="140"/>
              <w:right w:type="dxa" w:w="200"/>
            </w:tcMar>
          </w:tcPr>
          <w:p>
            <w:pPr>
              <w:spacing w:after="60" w:before="0" w:line="276"/>
              <w:jc w:val="left"/>
            </w:pPr>
            <w:r>
              <w:rPr>
                <w:b/>
                <w:bCs/>
                <w:i w:val="false"/>
                <w:iCs w:val="false"/>
                <w:color w:val="0F6E6E"/>
                <w:sz w:val="20"/>
                <w:szCs w:val="20"/>
              </w:rPr>
              <w:t xml:space="preserve">Suitability — SUIT-R20</w:t>
            </w:r>
          </w:p>
          <w:p>
            <w:pPr>
              <w:spacing w:after="0" w:before="0" w:line="276"/>
              <w:jc w:val="left"/>
            </w:pPr>
            <w:r>
              <w:rPr>
                <w:b w:val="false"/>
                <w:bCs w:val="false"/>
                <w:i w:val="false"/>
                <w:iCs w:val="false"/>
                <w:color w:val="222629"/>
                <w:sz w:val="20"/>
                <w:szCs w:val="20"/>
              </w:rPr>
              <w:t xml:space="preserve">Quote endpoints return 403 unless the request carries a suitability evaluation ID that is ACTIVE, issued within 30 days, bound to the same customer CIF, and whose outcome permits the requested product class. Four conditions; all four must hold; each is separately tested.</w:t>
            </w:r>
          </w:p>
        </w:tc>
      </w:tr>
    </w:tbl>
    <w:p>
      <w:pPr>
        <w:pStyle w:val="Heading1"/>
        <w:pBdr>
          <w:bottom w:val="single" w:color="0F6E6E" w:sz="8" w:space="6"/>
        </w:pBdr>
        <w:spacing w:after="160" w:before="400"/>
      </w:pPr>
      <w:r>
        <w:rPr>
          <w:b/>
          <w:bCs/>
          <w:color w:val="11304E"/>
          <w:sz w:val="30"/>
          <w:szCs w:val="30"/>
        </w:rPr>
        <w:t xml:space="preserve">4.  Why a signature, and not another review</w:t>
      </w:r>
    </w:p>
    <w:p>
      <w:pPr>
        <w:spacing w:after="120" w:before="0" w:line="276"/>
        <w:jc w:val="left"/>
      </w:pPr>
      <w:r>
        <w:rPr>
          <w:b w:val="false"/>
          <w:bCs w:val="false"/>
          <w:i w:val="false"/>
          <w:iCs w:val="false"/>
          <w:color w:val="222629"/>
          <w:sz w:val="20"/>
          <w:szCs w:val="20"/>
        </w:rPr>
        <w:t xml:space="preserve">The programme’s gate model draws a distinction that matters here. Rule GS-1 says evidence is an artefact someone else can independently open. Rule GS-2 says a definition criterion may close at E1 or E2, and a behaviour criterion needs E3 or E4.</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964"/>
        <w:gridCol w:w="2120"/>
        <w:gridCol w:w="6554"/>
      </w:tblGrid>
      <w:tr>
        <w:trPr>
          <w:cantSplit/>
          <w:tblHeader/>
        </w:trPr>
        <w:tc>
          <w:tcPr>
            <w:tcW w:type="dxa" w:w="964"/>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Level</w:t>
            </w:r>
          </w:p>
        </w:tc>
        <w:tc>
          <w:tcPr>
            <w:tcW w:type="dxa" w:w="212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Kind</w:t>
            </w:r>
          </w:p>
        </w:tc>
        <w:tc>
          <w:tcPr>
            <w:tcW w:type="dxa" w:w="6554"/>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it means here</w:t>
            </w:r>
          </w:p>
        </w:tc>
      </w:tr>
      <w:tr>
        <w:trPr>
          <w:cantSplit/>
        </w:trPr>
        <w:tc>
          <w:tcPr>
            <w:tcW w:type="dxa" w:w="964"/>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E0</w:t>
            </w:r>
          </w:p>
        </w:tc>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Assertion</w:t>
            </w:r>
          </w:p>
        </w:tc>
        <w:tc>
          <w:tcPr>
            <w:tcW w:type="dxa" w:w="655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Never acceptable. "Compliance is comfortable" closes nothing.</w:t>
            </w:r>
          </w:p>
        </w:tc>
      </w:tr>
      <w:tr>
        <w:trPr>
          <w:cantSplit/>
        </w:trPr>
        <w:tc>
          <w:tcPr>
            <w:tcW w:type="dxa" w:w="964"/>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E1</w:t>
            </w:r>
          </w:p>
        </w:tc>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Artefact exists</w:t>
            </w:r>
          </w:p>
        </w:tc>
        <w:tc>
          <w:tcPr>
            <w:tcW w:type="dxa" w:w="655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Where the packs stand today. The documents exist and are complete. This is not enough for S02-G3 or S02-G4.</w:t>
            </w:r>
          </w:p>
        </w:tc>
      </w:tr>
      <w:tr>
        <w:trPr>
          <w:cantSplit/>
        </w:trPr>
        <w:tc>
          <w:tcPr>
            <w:tcW w:type="dxa" w:w="964"/>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E2</w:t>
            </w:r>
          </w:p>
        </w:tc>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Reviewed and signed</w:t>
            </w:r>
          </w:p>
        </w:tc>
        <w:tc>
          <w:tcPr>
            <w:tcW w:type="dxa" w:w="6554"/>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What this pack requests.</w:t>
            </w:r>
            <w:r>
              <w:rPr>
                <w:b w:val="false"/>
                <w:bCs w:val="false"/>
                <w:i w:val="false"/>
                <w:iCs w:val="false"/>
                <w:color w:val="222629"/>
                <w:sz w:val="18"/>
                <w:szCs w:val="18"/>
              </w:rPr>
              <w:t xml:space="preserve"> A named Compliance approver has read the rules and recorded a conclusion against each section.</w:t>
            </w:r>
          </w:p>
        </w:tc>
      </w:tr>
      <w:tr>
        <w:trPr>
          <w:cantSplit/>
        </w:trPr>
        <w:tc>
          <w:tcPr>
            <w:tcW w:type="dxa" w:w="964"/>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E3 / E4</w:t>
            </w:r>
          </w:p>
        </w:tc>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Executed</w:t>
            </w:r>
          </w:p>
        </w:tc>
        <w:tc>
          <w:tcPr>
            <w:tcW w:type="dxa" w:w="655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Comes later, at S11, when the implemented controls are tested in CI. Your signature is a precondition for that work starting, not a substitute for it.</w:t>
            </w:r>
          </w:p>
        </w:tc>
      </w:tr>
    </w:tbl>
    <w:p>
      <w:pPr>
        <w:spacing w:after="140"/>
      </w:pPr>
      <w:r>
        <w:t xml:space="preserve"/>
      </w:r>
    </w:p>
    <w:p>
      <w:pPr>
        <w:spacing w:after="120" w:before="0" w:line="276"/>
        <w:jc w:val="left"/>
      </w:pPr>
      <w:r>
        <w:rPr>
          <w:b w:val="false"/>
          <w:bCs w:val="false"/>
          <w:i w:val="false"/>
          <w:iCs w:val="false"/>
          <w:color w:val="222629"/>
          <w:sz w:val="20"/>
          <w:szCs w:val="20"/>
        </w:rPr>
        <w:t xml:space="preserve">Both packs carry the same status line, and it is deliberate: AI-DRAFTED — mandatory human signature outstanding. The Persona Authority Matrix reserves regulatory permissibility to Compliance, and gives no aggregate of other boards the ability to substitute for it. Product owns what the journey does when consent is absent; Compliance owns whether the consent is lawful. This pack does not blur that line, and the rules below are written so you can amend any one of them without disturbing the rest.</w:t>
      </w:r>
    </w:p>
    <w:p>
      <w:pPr>
        <w:pStyle w:val="Heading1"/>
        <w:pageBreakBefore/>
        <w:pBdr>
          <w:bottom w:val="single" w:color="0F6E6E" w:sz="8" w:space="6"/>
        </w:pBdr>
        <w:spacing w:after="160" w:before="0"/>
      </w:pPr>
      <w:r>
        <w:rPr>
          <w:b/>
          <w:bCs/>
          <w:color w:val="11304E"/>
          <w:sz w:val="30"/>
          <w:szCs w:val="30"/>
        </w:rPr>
        <w:t xml:space="preserve">5.  The evidence pack — what you can open yourself</w:t>
      </w:r>
    </w:p>
    <w:p>
      <w:pPr>
        <w:spacing w:after="120" w:before="0" w:line="276"/>
        <w:jc w:val="left"/>
      </w:pPr>
      <w:r>
        <w:rPr>
          <w:b w:val="false"/>
          <w:bCs w:val="false"/>
          <w:i w:val="false"/>
          <w:iCs w:val="false"/>
          <w:color w:val="222629"/>
          <w:sz w:val="20"/>
          <w:szCs w:val="20"/>
        </w:rPr>
        <w:t xml:space="preserve">Everything referenced here is in the repository and can be opened without asking Product for anything. This satisfies GS-1.</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2313"/>
        <w:gridCol w:w="3855"/>
        <w:gridCol w:w="3470"/>
      </w:tblGrid>
      <w:tr>
        <w:trPr>
          <w:cantSplit/>
          <w:tblHeader/>
        </w:trPr>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Artefact</w:t>
            </w:r>
          </w:p>
        </w:tc>
        <w:tc>
          <w:tcPr>
            <w:tcW w:type="dxa" w:w="385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Location</w:t>
            </w:r>
          </w:p>
        </w:tc>
        <w:tc>
          <w:tcPr>
            <w:tcW w:type="dxa" w:w="347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it demonstrates</w:t>
            </w:r>
          </w:p>
        </w:tc>
      </w:tr>
      <w:tr>
        <w:trPr>
          <w:cantSplit/>
        </w:trPr>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Rule Pack v1</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docs/au-bank-insurance-platform/rule-packs/consent-rule-pack.md</w:t>
            </w:r>
          </w:p>
        </w:tc>
        <w:tc>
          <w:tcPr>
            <w:tcW w:type="dxa" w:w="347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38 rules with tests, the evidence record schema, and the five open items named honestly</w:t>
            </w:r>
          </w:p>
        </w:tc>
      </w:tr>
      <w:tr>
        <w:trPr>
          <w:cantSplit/>
        </w:trPr>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Suitability Rule Pack v1</w:t>
            </w:r>
          </w:p>
        </w:tc>
        <w:tc>
          <w:tcPr>
            <w:tcW w:type="dxa" w:w="385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docs/au-bank-insurance-platform/rule-packs/suitability-rule-pack.md</w:t>
            </w:r>
          </w:p>
        </w:tc>
        <w:tc>
          <w:tcPr>
            <w:tcW w:type="dxa" w:w="347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48 rules, the full arithmetic, the outcome tables and the override policy</w:t>
            </w:r>
          </w:p>
        </w:tc>
      </w:tr>
      <w:tr>
        <w:trPr>
          <w:cantSplit/>
        </w:trPr>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Gap register</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docs/au-bank-insurance-platform/po-drive/02-GAP-REGISTER.md</w:t>
            </w:r>
          </w:p>
        </w:tc>
        <w:tc>
          <w:tcPr>
            <w:tcW w:type="dxa" w:w="347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GAP-006 and GAP-007 recorded as content-complete, ratification-pending — not closed</w:t>
            </w:r>
          </w:p>
        </w:tc>
      </w:tr>
      <w:tr>
        <w:trPr>
          <w:cantSplit/>
        </w:trPr>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S02 gate criteria</w:t>
            </w:r>
          </w:p>
        </w:tc>
        <w:tc>
          <w:tcPr>
            <w:tcW w:type="dxa" w:w="385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docs/application-lifecycle-bible/stages/S02-regulatory-framing.md</w:t>
            </w:r>
          </w:p>
        </w:tc>
        <w:tc>
          <w:tcPr>
            <w:tcW w:type="dxa" w:w="347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S02-G3 and S02-G4 both require a signed rule pack at E2</w:t>
            </w:r>
          </w:p>
        </w:tc>
      </w:tr>
      <w:tr>
        <w:trPr>
          <w:cantSplit/>
        </w:trPr>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Gate and sign-off model</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docs/application-lifecycle-bible/04-GATE-AND-SIGNOFF-MODEL.md</w:t>
            </w:r>
          </w:p>
        </w:tc>
        <w:tc>
          <w:tcPr>
            <w:tcW w:type="dxa" w:w="347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evidence ladder, the approver map, and the non-waivable list</w:t>
            </w:r>
          </w:p>
        </w:tc>
      </w:tr>
      <w:tr>
        <w:trPr>
          <w:cantSplit/>
        </w:trPr>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RM workspace reference app</w:t>
            </w:r>
          </w:p>
        </w:tc>
        <w:tc>
          <w:tcPr>
            <w:tcW w:type="dxa" w:w="385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apps/rm-workspace-app</w:t>
            </w:r>
          </w:p>
        </w:tc>
        <w:tc>
          <w:tcPr>
            <w:tcW w:type="dxa" w:w="347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Both control sets implemented against the packs as drafted</w:t>
            </w:r>
          </w:p>
        </w:tc>
      </w:tr>
      <w:tr>
        <w:trPr>
          <w:cantSplit/>
        </w:trPr>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gate tests</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apps/rm-workspace-app/test/guards/consent_gate_test.dart</w:t>
            </w:r>
          </w:p>
        </w:tc>
        <w:tc>
          <w:tcPr>
            <w:tcW w:type="dxa" w:w="347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10 executable assertions against the consent controls</w:t>
            </w:r>
          </w:p>
        </w:tc>
      </w:tr>
      <w:tr>
        <w:trPr>
          <w:cantSplit/>
        </w:trPr>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Suitability gate tests</w:t>
            </w:r>
          </w:p>
        </w:tc>
        <w:tc>
          <w:tcPr>
            <w:tcW w:type="dxa" w:w="385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apps/rm-workspace-app/test/guards/suitability_gate_test.dart</w:t>
            </w:r>
          </w:p>
        </w:tc>
        <w:tc>
          <w:tcPr>
            <w:tcW w:type="dxa" w:w="347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7 executable assertions covering the SUIT-R20 refusal cases</w:t>
            </w:r>
          </w:p>
        </w:tc>
      </w:tr>
      <w:tr>
        <w:trPr>
          <w:cantSplit/>
        </w:trPr>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Suitability algorithm tests</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apps/rm-workspace-app/test/domain/suitability_algorithm_test.dart</w:t>
            </w:r>
          </w:p>
        </w:tc>
        <w:tc>
          <w:tcPr>
            <w:tcW w:type="dxa" w:w="347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17 assertions including the reference case SUIT-TC-REF-01</w:t>
            </w:r>
          </w:p>
        </w:tc>
      </w:tr>
      <w:tr>
        <w:trPr>
          <w:cantSplit/>
        </w:trPr>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PII redaction tests</w:t>
            </w:r>
          </w:p>
        </w:tc>
        <w:tc>
          <w:tcPr>
            <w:tcW w:type="dxa" w:w="385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apps/rm-workspace-app/test/logging/pii_redaction_test.dart</w:t>
            </w:r>
          </w:p>
        </w:tc>
        <w:tc>
          <w:tcPr>
            <w:tcW w:type="dxa" w:w="347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CNS-R20 — no Restricted or Confidential consent field reaches application logs</w:t>
            </w:r>
          </w:p>
        </w:tc>
      </w:tr>
    </w:tbl>
    <w:p>
      <w:pPr>
        <w:spacing w:after="140"/>
      </w:pPr>
      <w:r>
        <w:t xml:space="preserve"/>
      </w:r>
    </w:p>
    <w:p>
      <w:pPr>
        <w:pStyle w:val="Heading3"/>
        <w:spacing w:after="100" w:before="220"/>
      </w:pPr>
      <w:r>
        <w:rPr>
          <w:b/>
          <w:bCs/>
          <w:color w:val="0F6E6E"/>
          <w:sz w:val="21"/>
          <w:szCs w:val="21"/>
        </w:rPr>
        <w:t xml:space="preserve">Two implementation details worth your attention</w:t>
      </w:r>
    </w:p>
    <w:p>
      <w:pPr>
        <w:pStyle w:val="ListParagraph"/>
        <w:numPr>
          <w:ilvl w:val="0"/>
          <w:numId w:val="2"/>
        </w:numPr>
        <w:spacing w:after="80" w:line="276"/>
      </w:pPr>
      <w:r>
        <w:rPr>
          <w:b/>
          <w:bCs/>
          <w:i w:val="false"/>
          <w:iCs w:val="false"/>
          <w:color w:val="222629"/>
          <w:sz w:val="20"/>
          <w:szCs w:val="20"/>
        </w:rPr>
        <w:t xml:space="preserve">Consent is a capability, not a boolean. </w:t>
      </w:r>
      <w:r>
        <w:rPr>
          <w:b w:val="false"/>
          <w:bCs w:val="false"/>
          <w:i w:val="false"/>
          <w:iCs w:val="false"/>
          <w:color w:val="222629"/>
          <w:sz w:val="20"/>
          <w:szCs w:val="20"/>
        </w:rPr>
        <w:t xml:space="preserve">The reference application mints a consent reference only from a granted, unexpired grant, and every downstream operation that requires consent takes that reference as a parameter. "Submit a proposal without consent" is not a runtime check that a developer can forget — it does not compile. This is INV-PRP-01, control C2, implemented at the type level.</w:t>
      </w:r>
    </w:p>
    <w:p>
      <w:pPr>
        <w:pStyle w:val="ListParagraph"/>
        <w:numPr>
          <w:ilvl w:val="0"/>
          <w:numId w:val="2"/>
        </w:numPr>
        <w:spacing w:after="80" w:line="276"/>
      </w:pPr>
      <w:r>
        <w:rPr>
          <w:b/>
          <w:bCs/>
          <w:i w:val="false"/>
          <w:iCs w:val="false"/>
          <w:color w:val="222629"/>
          <w:sz w:val="20"/>
          <w:szCs w:val="20"/>
        </w:rPr>
        <w:t xml:space="preserve">The RM cannot complete the customer’s acknowledgement. </w:t>
      </w:r>
      <w:r>
        <w:rPr>
          <w:b w:val="false"/>
          <w:bCs w:val="false"/>
          <w:i w:val="false"/>
          <w:iCs w:val="false"/>
          <w:color w:val="222629"/>
          <w:sz w:val="20"/>
          <w:szCs w:val="20"/>
        </w:rPr>
        <w:t xml:space="preserve">CNS-R13 is visible in the code as an absence: the RM surface has no OTP entry field for a customer-device OTP. It shows pending or verified status and a resend control, and nothing that can be typed into. This is the consent analogue of the RBI payment-device rule.</w:t>
      </w:r>
    </w:p>
    <w:p>
      <w:pPr>
        <w:pStyle w:val="Heading1"/>
        <w:pageBreakBefore/>
        <w:pBdr>
          <w:bottom w:val="single" w:color="0F6E6E" w:sz="8" w:space="6"/>
        </w:pBdr>
        <w:spacing w:after="160" w:before="0"/>
      </w:pPr>
      <w:r>
        <w:rPr>
          <w:b/>
          <w:bCs/>
          <w:color w:val="11304E"/>
          <w:sz w:val="30"/>
          <w:szCs w:val="30"/>
        </w:rPr>
        <w:t xml:space="preserve">6.  Decision Schedule A — Consent Rule Pack</w:t>
      </w:r>
    </w:p>
    <w:p>
      <w:pPr>
        <w:spacing w:after="120" w:before="0" w:line="276"/>
        <w:jc w:val="left"/>
      </w:pPr>
      <w:r>
        <w:rPr>
          <w:b w:val="false"/>
          <w:bCs w:val="false"/>
          <w:i w:val="false"/>
          <w:iCs w:val="false"/>
          <w:color w:val="222629"/>
          <w:sz w:val="20"/>
          <w:szCs w:val="20"/>
        </w:rPr>
        <w:t xml:space="preserve">Mark one box per section. An amendment does not reject the pack; write the amendment in the notes column and Product will reissue at v1.1 with your text. A section left blank is treated as not signed.</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675"/>
        <w:gridCol w:w="2217"/>
        <w:gridCol w:w="4433"/>
        <w:gridCol w:w="2313"/>
      </w:tblGrid>
      <w:tr>
        <w:trPr>
          <w:cantSplit/>
          <w:tblHeader/>
        </w:trPr>
        <w:tc>
          <w:tcPr>
            <w:tcW w:type="dxa" w:w="67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t>
            </w:r>
          </w:p>
        </w:tc>
        <w:tc>
          <w:tcPr>
            <w:tcW w:type="dxa" w:w="2217"/>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Subject and rules</w:t>
            </w:r>
          </w:p>
        </w:tc>
        <w:tc>
          <w:tcPr>
            <w:tcW w:type="dxa" w:w="443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you are ratifying</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Decision</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2</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Consent events</w:t>
            </w:r>
            <w:r>
              <w:rPr>
                <w:b/>
                <w:bCs/>
                <w:i w:val="false"/>
                <w:iCs w:val="false"/>
                <w:color w:val="222629"/>
                <w:sz w:val="18"/>
                <w:szCs w:val="18"/>
              </w:rPr>
              <w:br/>
              <w:t xml:space="preserve"/>
            </w:r>
            <w:r>
              <w:rPr>
                <w:b w:val="false"/>
                <w:bCs w:val="false"/>
                <w:i w:val="false"/>
                <w:iCs w:val="false"/>
                <w:color w:val="222629"/>
                <w:sz w:val="18"/>
                <w:szCs w:val="18"/>
              </w:rPr>
              <w:t xml:space="preserve">CNS-DP, CNS-SOL, CNS-SHR, CNS-COM (CNS-RDR deferred to R1)</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four consent events are the right set for R0, and that each blocks the journey at the point named.</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3</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Statement identity and versioning</w:t>
            </w:r>
            <w:r>
              <w:rPr>
                <w:b/>
                <w:bCs/>
                <w:i w:val="false"/>
                <w:iCs w:val="false"/>
                <w:color w:val="222629"/>
                <w:sz w:val="18"/>
                <w:szCs w:val="18"/>
              </w:rPr>
              <w:br/>
              <w:t xml:space="preserve"/>
            </w:r>
            <w:r>
              <w:rPr>
                <w:b w:val="false"/>
                <w:bCs w:val="false"/>
                <w:i w:val="false"/>
                <w:iCs w:val="false"/>
                <w:color w:val="222629"/>
                <w:sz w:val="18"/>
                <w:szCs w:val="18"/>
              </w:rPr>
              <w:t xml:space="preserve">CNS-R01 – CNS-R09</w:t>
            </w:r>
          </w:p>
        </w:tc>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every capture stores the statement ID, version, verbatim text and SHA-256 hash; that published text is immutable; and that only Compliance classifies a change as MAJOR or MINOR.</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3.2</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In-flight version change</w:t>
            </w:r>
            <w:r>
              <w:rPr>
                <w:b/>
                <w:bCs/>
                <w:i w:val="false"/>
                <w:iCs w:val="false"/>
                <w:color w:val="222629"/>
                <w:sz w:val="18"/>
                <w:szCs w:val="18"/>
              </w:rPr>
              <w:br/>
              <w:t xml:space="preserve"/>
            </w:r>
            <w:r>
              <w:rPr>
                <w:b w:val="false"/>
                <w:bCs w:val="false"/>
                <w:i w:val="false"/>
                <w:iCs w:val="false"/>
                <w:color w:val="222629"/>
                <w:sz w:val="18"/>
                <w:szCs w:val="18"/>
              </w:rPr>
              <w:t xml:space="preserve">CNS-R05 – CNS-R07</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a MAJOR change re-prompts only journeys that have not passed the blocking point, and journeys past it continue on the version they captured.</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4</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Capture mechanism</w:t>
            </w:r>
            <w:r>
              <w:rPr>
                <w:b/>
                <w:bCs/>
                <w:i w:val="false"/>
                <w:iCs w:val="false"/>
                <w:color w:val="222629"/>
                <w:sz w:val="18"/>
                <w:szCs w:val="18"/>
              </w:rPr>
              <w:br/>
              <w:t xml:space="preserve"/>
            </w:r>
            <w:r>
              <w:rPr>
                <w:b w:val="false"/>
                <w:bCs w:val="false"/>
                <w:i w:val="false"/>
                <w:iCs w:val="false"/>
                <w:color w:val="222629"/>
                <w:sz w:val="18"/>
                <w:szCs w:val="18"/>
              </w:rPr>
              <w:t xml:space="preserve">CNS-R10 – CNS-R15</w:t>
            </w:r>
          </w:p>
        </w:tc>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consent requires a verified OTP to the CBS-registered mobile; that no control is pre-ticked; that the RM cannot enter a customer-device OTP; and the 10-minute / 3-attempt / 5-issue limits.</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5</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The evidence record</w:t>
            </w:r>
            <w:r>
              <w:rPr>
                <w:b/>
                <w:bCs/>
                <w:i w:val="false"/>
                <w:iCs w:val="false"/>
                <w:color w:val="222629"/>
                <w:sz w:val="18"/>
                <w:szCs w:val="18"/>
              </w:rPr>
              <w:br/>
              <w:t xml:space="preserve"/>
            </w:r>
            <w:r>
              <w:rPr>
                <w:b w:val="false"/>
                <w:bCs w:val="false"/>
                <w:i w:val="false"/>
                <w:iCs w:val="false"/>
                <w:color w:val="222629"/>
                <w:sz w:val="18"/>
                <w:szCs w:val="18"/>
              </w:rPr>
              <w:t xml:space="preserve">24 fields, CNS-R16 – CNS-R20</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the 24-field record is sufficient to defend a consent at audit, and that the store is append-only by database grant with no UPDATE or DELETE available to the application role.</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6</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Validity and reuse</w:t>
            </w:r>
            <w:r>
              <w:rPr>
                <w:b/>
                <w:bCs/>
                <w:i w:val="false"/>
                <w:iCs w:val="false"/>
                <w:color w:val="222629"/>
                <w:sz w:val="18"/>
                <w:szCs w:val="18"/>
              </w:rPr>
              <w:br/>
              <w:t xml:space="preserve"/>
            </w:r>
            <w:r>
              <w:rPr>
                <w:b w:val="false"/>
                <w:bCs w:val="false"/>
                <w:i w:val="false"/>
                <w:iCs w:val="false"/>
                <w:color w:val="222629"/>
                <w:sz w:val="18"/>
                <w:szCs w:val="18"/>
              </w:rPr>
              <w:t xml:space="preserve">CNS-R21 – CNS-R26</w:t>
            </w:r>
          </w:p>
        </w:tc>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90-day window for CNS-DP and CNS-SOL, the 30-day insurer-scoped window for CNS-SHR, no expiry for CNS-COM, and reuse bounded by CIF, code, scope and window.</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7</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Withdrawal</w:t>
            </w:r>
            <w:r>
              <w:rPr>
                <w:b/>
                <w:bCs/>
                <w:i w:val="false"/>
                <w:iCs w:val="false"/>
                <w:color w:val="222629"/>
                <w:sz w:val="18"/>
                <w:szCs w:val="18"/>
              </w:rPr>
              <w:br/>
              <w:t xml:space="preserve"/>
            </w:r>
            <w:r>
              <w:rPr>
                <w:b w:val="false"/>
                <w:bCs w:val="false"/>
                <w:i w:val="false"/>
                <w:iCs w:val="false"/>
                <w:color w:val="222629"/>
                <w:sz w:val="18"/>
                <w:szCs w:val="18"/>
              </w:rPr>
              <w:t xml:space="preserve">CNS-R27 – CNS-R32</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withdrawal is available at any time on the same OTP terms as capture; that withdrawing CNS-DP or CNS-SOL halts the journey; and that post-submission withdrawal is never represented to the customer as retracting the submission.</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8</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Retention and retrieval</w:t>
            </w:r>
            <w:r>
              <w:rPr>
                <w:b/>
                <w:bCs/>
                <w:i w:val="false"/>
                <w:iCs w:val="false"/>
                <w:color w:val="222629"/>
                <w:sz w:val="18"/>
                <w:szCs w:val="18"/>
              </w:rPr>
              <w:br/>
              <w:t xml:space="preserve"/>
            </w:r>
            <w:r>
              <w:rPr>
                <w:b w:val="false"/>
                <w:bCs w:val="false"/>
                <w:i w:val="false"/>
                <w:iCs w:val="false"/>
                <w:color w:val="222629"/>
                <w:sz w:val="18"/>
                <w:szCs w:val="18"/>
              </w:rPr>
              <w:t xml:space="preserve">CNS-R33 – CNS-R36</w:t>
            </w:r>
          </w:p>
        </w:tc>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Seven years from journey terminal state, write-once storage in an AWS India region, single record retrievable in 4 business hours and a full bundle in 1 business day.</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9</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Failure behaviour</w:t>
            </w:r>
            <w:r>
              <w:rPr>
                <w:b/>
                <w:bCs/>
                <w:i w:val="false"/>
                <w:iCs w:val="false"/>
                <w:color w:val="222629"/>
                <w:sz w:val="18"/>
                <w:szCs w:val="18"/>
              </w:rPr>
              <w:br/>
              <w:t xml:space="preserve"/>
            </w:r>
            <w:r>
              <w:rPr>
                <w:b w:val="false"/>
                <w:bCs w:val="false"/>
                <w:i w:val="false"/>
                <w:iCs w:val="false"/>
                <w:color w:val="222629"/>
                <w:sz w:val="18"/>
                <w:szCs w:val="18"/>
              </w:rPr>
              <w:t xml:space="preserve">CNS-R37 – CNS-R38</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consent capture fails closed, and that a subject mismatch raises a security event rather than a business error.</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bl>
    <w:p>
      <w:pPr>
        <w:spacing w:after="140"/>
      </w:pPr>
      <w:r>
        <w:t xml:space="preserve"/>
      </w:r>
    </w:p>
    <w:tbl>
      <w:tblPr>
        <w:tblW w:type="dxa" w:w="9638"/>
        <w:tblBorders>
          <w:top w:val="none" w:color="FFFFFF" w:sz="0"/>
          <w:left w:val="single" w:color="8A5A00" w:sz="18"/>
          <w:bottom w:val="none" w:color="FFFFFF" w:sz="0"/>
          <w:right w:val="none" w:color="FFFFFF" w:sz="0"/>
          <w:insideH w:val="none" w:color="FFFFFF" w:sz="0"/>
          <w:insideV w:val="none" w:color="FFFFFF" w:sz="0"/>
        </w:tblBorders>
      </w:tblPr>
      <w:tblGrid>
        <w:gridCol w:w="9638"/>
      </w:tblGrid>
      <w:tr>
        <w:tc>
          <w:tcPr>
            <w:tcW w:type="dxa" w:w="9638"/>
            <w:shd w:fill="F1F5F8" w:color="auto" w:val="clear"/>
            <w:tcMar>
              <w:top w:type="dxa" w:w="140"/>
              <w:left w:type="dxa" w:w="200"/>
              <w:bottom w:type="dxa" w:w="140"/>
              <w:right w:type="dxa" w:w="200"/>
            </w:tcMar>
          </w:tcPr>
          <w:p>
            <w:pPr>
              <w:spacing w:after="60" w:before="0" w:line="276"/>
              <w:jc w:val="left"/>
            </w:pPr>
            <w:r>
              <w:rPr>
                <w:b/>
                <w:bCs/>
                <w:i w:val="false"/>
                <w:iCs w:val="false"/>
                <w:color w:val="8A5A00"/>
                <w:sz w:val="20"/>
                <w:szCs w:val="20"/>
              </w:rPr>
              <w:t xml:space="preserve">One point in Schedule A that Product wants tested hardest</w:t>
            </w:r>
          </w:p>
          <w:p>
            <w:pPr>
              <w:spacing w:after="0" w:before="0" w:line="276"/>
              <w:jc w:val="left"/>
            </w:pPr>
            <w:r>
              <w:rPr>
                <w:b w:val="false"/>
                <w:bCs w:val="false"/>
                <w:i w:val="false"/>
                <w:iCs w:val="false"/>
                <w:color w:val="222629"/>
                <w:sz w:val="20"/>
                <w:szCs w:val="20"/>
              </w:rPr>
              <w:t xml:space="preserve">CNS-R37 resolves, for consent specifically, the unresolved "prefer fail-open on audit" marker in BR-SEC-030. The Product position is that consent evidence is the artefact that makes the sale lawful, so a sale that proceeds without it is worse than a sale that fails. If Compliance disagrees, say so explicitly — this is a rule I do not want carried by silence.</w:t>
            </w:r>
          </w:p>
        </w:tc>
      </w:tr>
    </w:tbl>
    <w:p>
      <w:pPr>
        <w:pStyle w:val="Heading1"/>
        <w:pageBreakBefore/>
        <w:pBdr>
          <w:bottom w:val="single" w:color="0F6E6E" w:sz="8" w:space="6"/>
        </w:pBdr>
        <w:spacing w:after="160" w:before="0"/>
      </w:pPr>
      <w:r>
        <w:rPr>
          <w:b/>
          <w:bCs/>
          <w:color w:val="11304E"/>
          <w:sz w:val="30"/>
          <w:szCs w:val="30"/>
        </w:rPr>
        <w:t xml:space="preserve">7.  Decision Schedule B — Suitability Rule Pack</w:t>
      </w:r>
    </w:p>
    <w:p>
      <w:pPr>
        <w:spacing w:after="4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675"/>
        <w:gridCol w:w="2217"/>
        <w:gridCol w:w="4433"/>
        <w:gridCol w:w="2313"/>
      </w:tblGrid>
      <w:tr>
        <w:trPr>
          <w:cantSplit/>
          <w:tblHeader/>
        </w:trPr>
        <w:tc>
          <w:tcPr>
            <w:tcW w:type="dxa" w:w="67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t>
            </w:r>
          </w:p>
        </w:tc>
        <w:tc>
          <w:tcPr>
            <w:tcW w:type="dxa" w:w="2217"/>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Subject and rules</w:t>
            </w:r>
          </w:p>
        </w:tc>
        <w:tc>
          <w:tcPr>
            <w:tcW w:type="dxa" w:w="443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you are ratifying</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Decision</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2</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The question set</w:t>
            </w:r>
            <w:r>
              <w:rPr>
                <w:b/>
                <w:bCs/>
                <w:i w:val="false"/>
                <w:iCs w:val="false"/>
                <w:color w:val="222629"/>
                <w:sz w:val="18"/>
                <w:szCs w:val="18"/>
              </w:rPr>
              <w:br/>
              <w:t xml:space="preserve"/>
            </w:r>
            <w:r>
              <w:rPr>
                <w:b w:val="false"/>
                <w:bCs w:val="false"/>
                <w:i w:val="false"/>
                <w:iCs w:val="false"/>
                <w:color w:val="222629"/>
                <w:sz w:val="18"/>
                <w:szCs w:val="18"/>
              </w:rPr>
              <w:t xml:space="preserve">12 inputs, SUIT-R01 – SUIT-R04</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4 derived inputs and 8 asked questions constitute a documented need analysis; that a partial questionnaire produces no evaluation; and that where a self-declared figure is lower than the bank-known figure, the higher value is used and the discrepancy recorded.</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3</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The computation</w:t>
            </w:r>
            <w:r>
              <w:rPr>
                <w:b/>
                <w:bCs/>
                <w:i w:val="false"/>
                <w:iCs w:val="false"/>
                <w:color w:val="222629"/>
                <w:sz w:val="18"/>
                <w:szCs w:val="18"/>
              </w:rPr>
              <w:br/>
              <w:t xml:space="preserve"/>
            </w:r>
            <w:r>
              <w:rPr>
                <w:b w:val="false"/>
                <w:bCs w:val="false"/>
                <w:i w:val="false"/>
                <w:iCs w:val="false"/>
                <w:color w:val="222629"/>
                <w:sz w:val="18"/>
                <w:szCs w:val="18"/>
              </w:rPr>
              <w:t xml:space="preserve">SUIT-R05 – SUIT-R08</w:t>
            </w:r>
          </w:p>
        </w:tc>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the model is pure arithmetic — 8 income bands, 5 age factors, a stated cover formula — reproducible by hand, with the algorithm version recorded on every evaluation and immutable once published.</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4</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Product-class outcomes</w:t>
            </w:r>
            <w:r>
              <w:rPr>
                <w:b/>
                <w:bCs/>
                <w:i w:val="false"/>
                <w:iCs w:val="false"/>
                <w:color w:val="222629"/>
                <w:sz w:val="18"/>
                <w:szCs w:val="18"/>
              </w:rPr>
              <w:br/>
              <w:t xml:space="preserve"/>
            </w:r>
            <w:r>
              <w:rPr>
                <w:b w:val="false"/>
                <w:bCs w:val="false"/>
                <w:i w:val="false"/>
                <w:iCs w:val="false"/>
                <w:color w:val="222629"/>
                <w:sz w:val="18"/>
                <w:szCs w:val="18"/>
              </w:rPr>
              <w:t xml:space="preserve">SUIT-R09 – SUIT-R19a</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four-value outcome vocabulary; that an evaluation produces one outcome per product class rather than one overall; that the most restrictive outcome wins; and that every fired reason code is persisted, not only the winning one.</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5</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The evaluation record</w:t>
            </w:r>
            <w:r>
              <w:rPr>
                <w:b/>
                <w:bCs/>
                <w:i w:val="false"/>
                <w:iCs w:val="false"/>
                <w:color w:val="222629"/>
                <w:sz w:val="18"/>
                <w:szCs w:val="18"/>
              </w:rPr>
              <w:br/>
              <w:t xml:space="preserve"/>
            </w:r>
            <w:r>
              <w:rPr>
                <w:b w:val="false"/>
                <w:bCs w:val="false"/>
                <w:i w:val="false"/>
                <w:iCs w:val="false"/>
                <w:color w:val="222629"/>
                <w:sz w:val="18"/>
                <w:szCs w:val="18"/>
              </w:rPr>
              <w:t xml:space="preserve">18 fields, SUIT-R21 – SUIT-R24</w:t>
            </w:r>
          </w:p>
        </w:tc>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no evaluation exists without a valid CNS-SOL consent; that a human-readable suitability PDF is generated and stored immutably at evaluation time; and append-only storage on the same terms as consent.</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6</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The hard gate</w:t>
            </w:r>
            <w:r>
              <w:rPr>
                <w:b/>
                <w:bCs/>
                <w:i w:val="false"/>
                <w:iCs w:val="false"/>
                <w:color w:val="222629"/>
                <w:sz w:val="18"/>
                <w:szCs w:val="18"/>
              </w:rPr>
              <w:br/>
              <w:t xml:space="preserve"/>
            </w:r>
            <w:r>
              <w:rPr>
                <w:b w:val="false"/>
                <w:bCs w:val="false"/>
                <w:i w:val="false"/>
                <w:iCs w:val="false"/>
                <w:color w:val="222629"/>
                <w:sz w:val="18"/>
                <w:szCs w:val="18"/>
              </w:rPr>
              <w:t xml:space="preserve">SUIT-R20, SUIT-R25 – SUIT-R37</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the gate is enforced server-side at the quote API and not in the UI, the BFF or the aggregator; that it fails closed when the service is unavailable; 100% branch coverage with no waiver; and the seven mandatory refusal cases.</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6.3</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Invalidation triggers</w:t>
            </w:r>
            <w:r>
              <w:rPr>
                <w:b/>
                <w:bCs/>
                <w:i w:val="false"/>
                <w:iCs w:val="false"/>
                <w:color w:val="222629"/>
                <w:sz w:val="18"/>
                <w:szCs w:val="18"/>
              </w:rPr>
              <w:br/>
              <w:t xml:space="preserve"/>
            </w:r>
            <w:r>
              <w:rPr>
                <w:b w:val="false"/>
                <w:bCs w:val="false"/>
                <w:i w:val="false"/>
                <w:iCs w:val="false"/>
                <w:color w:val="222629"/>
                <w:sz w:val="18"/>
                <w:szCs w:val="18"/>
              </w:rPr>
              <w:t xml:space="preserve">SUIT-R29 – SUIT-R34</w:t>
            </w:r>
          </w:p>
        </w:tc>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30-day expiry, invalidation on consent withdrawal or model-version change, and the exception that a submitted proposal is never retroactively invalidated.</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7.1</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No override</w:t>
            </w:r>
            <w:r>
              <w:rPr>
                <w:b/>
                <w:bCs/>
                <w:i w:val="false"/>
                <w:iCs w:val="false"/>
                <w:color w:val="222629"/>
                <w:sz w:val="18"/>
                <w:szCs w:val="18"/>
              </w:rPr>
              <w:br/>
              <w:t xml:space="preserve"/>
            </w:r>
            <w:r>
              <w:rPr>
                <w:b w:val="false"/>
                <w:bCs w:val="false"/>
                <w:i w:val="false"/>
                <w:iCs w:val="false"/>
                <w:color w:val="222629"/>
                <w:sz w:val="18"/>
                <w:szCs w:val="18"/>
              </w:rPr>
              <w:t xml:space="preserve">SUIT-R38 – SUIT-R40</w:t>
            </w:r>
          </w:p>
        </w:tc>
        <w:tc>
          <w:tcPr>
            <w:tcW w:type="dxa" w:w="443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That NOT_SUITABLE cannot be overridden by any actor at any level in R0 — no override path, no approval workflow, no configuration flag — and that the gate cannot be disabled by flag, config, environment variable or header in any environment holding customer data.</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7.2</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Caution disclosure</w:t>
            </w:r>
            <w:r>
              <w:rPr>
                <w:b/>
                <w:bCs/>
                <w:i w:val="false"/>
                <w:iCs w:val="false"/>
                <w:color w:val="222629"/>
                <w:sz w:val="18"/>
                <w:szCs w:val="18"/>
              </w:rPr>
              <w:br/>
              <w:t xml:space="preserve"/>
            </w:r>
            <w:r>
              <w:rPr>
                <w:b w:val="false"/>
                <w:bCs w:val="false"/>
                <w:i w:val="false"/>
                <w:iCs w:val="false"/>
                <w:color w:val="222629"/>
                <w:sz w:val="18"/>
                <w:szCs w:val="18"/>
              </w:rPr>
              <w:t xml:space="preserve">SUIT-R41 – SUIT-R43</w:t>
            </w:r>
          </w:p>
        </w:tc>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SUITABLE_WITH_CAUTION permits the quote but obliges a specific, named, plain-language disclosure acknowledged on the customer’s own device with OTP verification.</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7.3</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Customer-initiated deviation</w:t>
            </w:r>
            <w:r>
              <w:rPr>
                <w:b/>
                <w:bCs/>
                <w:i w:val="false"/>
                <w:iCs w:val="false"/>
                <w:color w:val="222629"/>
                <w:sz w:val="18"/>
                <w:szCs w:val="18"/>
              </w:rPr>
              <w:br/>
              <w:t xml:space="preserve"/>
            </w:r>
            <w:r>
              <w:rPr>
                <w:b w:val="false"/>
                <w:bCs w:val="false"/>
                <w:i w:val="false"/>
                <w:iCs w:val="false"/>
                <w:color w:val="222629"/>
                <w:sz w:val="18"/>
                <w:szCs w:val="18"/>
              </w:rPr>
              <w:t xml:space="preserve">SUIT-R44 – SUIT-R45</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a customer may choose any product whose class outcome permits it, including one the model did not rank first, recorded as a divergence with a stated reason — and that this is not an override.</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7.4</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Replacement</w:t>
            </w:r>
            <w:r>
              <w:rPr>
                <w:b/>
                <w:bCs/>
                <w:i w:val="false"/>
                <w:iCs w:val="false"/>
                <w:color w:val="222629"/>
                <w:sz w:val="18"/>
                <w:szCs w:val="18"/>
              </w:rPr>
              <w:br/>
              <w:t xml:space="preserve"/>
            </w:r>
            <w:r>
              <w:rPr>
                <w:b w:val="false"/>
                <w:bCs w:val="false"/>
                <w:i w:val="false"/>
                <w:iCs w:val="false"/>
                <w:color w:val="222629"/>
                <w:sz w:val="18"/>
                <w:szCs w:val="18"/>
              </w:rPr>
              <w:t xml:space="preserve">SUIT-R46 – SUIT-R47</w:t>
            </w:r>
          </w:p>
        </w:tc>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a replacement case requires a disclosure covering lost accrued benefit, fresh waiting and contestability periods and re-underwriting risk, acknowledged before quote, and is flagged for post-sale operations review.</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7.5</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The one exception</w:t>
            </w:r>
            <w:r>
              <w:rPr>
                <w:b/>
                <w:bCs/>
                <w:i w:val="false"/>
                <w:iCs w:val="false"/>
                <w:color w:val="222629"/>
                <w:sz w:val="18"/>
                <w:szCs w:val="18"/>
              </w:rPr>
              <w:br/>
              <w:t xml:space="preserve"/>
            </w:r>
            <w:r>
              <w:rPr>
                <w:b w:val="false"/>
                <w:bCs w:val="false"/>
                <w:i w:val="false"/>
                <w:iCs w:val="false"/>
                <w:color w:val="222629"/>
                <w:sz w:val="18"/>
                <w:szCs w:val="18"/>
              </w:rPr>
              <w:t xml:space="preserve">SUIT-R48</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a wrong evaluation is remedied by a defect report against the algorithm version under change control, never resolved for an individual customer in flight.</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bl>
    <w:p>
      <w:pPr>
        <w:spacing w:after="140"/>
      </w:pPr>
      <w:r>
        <w:t xml:space="preserve"/>
      </w:r>
    </w:p>
    <w:tbl>
      <w:tblPr>
        <w:tblW w:type="dxa" w:w="9638"/>
        <w:tblBorders>
          <w:top w:val="none" w:color="FFFFFF" w:sz="0"/>
          <w:left w:val="single" w:color="9B2226" w:sz="18"/>
          <w:bottom w:val="none" w:color="FFFFFF" w:sz="0"/>
          <w:right w:val="none" w:color="FFFFFF" w:sz="0"/>
          <w:insideH w:val="none" w:color="FFFFFF" w:sz="0"/>
          <w:insideV w:val="none" w:color="FFFFFF" w:sz="0"/>
        </w:tblBorders>
      </w:tblPr>
      <w:tblGrid>
        <w:gridCol w:w="9638"/>
      </w:tblGrid>
      <w:tr>
        <w:tc>
          <w:tcPr>
            <w:tcW w:type="dxa" w:w="9638"/>
            <w:shd w:fill="F1F5F8" w:color="auto" w:val="clear"/>
            <w:tcMar>
              <w:top w:type="dxa" w:w="140"/>
              <w:left w:type="dxa" w:w="200"/>
              <w:bottom w:type="dxa" w:w="140"/>
              <w:right w:type="dxa" w:w="200"/>
            </w:tcMar>
          </w:tcPr>
          <w:p>
            <w:pPr>
              <w:spacing w:after="60" w:before="0" w:line="276"/>
              <w:jc w:val="left"/>
            </w:pPr>
            <w:r>
              <w:rPr>
                <w:b/>
                <w:bCs/>
                <w:i w:val="false"/>
                <w:iCs w:val="false"/>
                <w:color w:val="9B2226"/>
                <w:sz w:val="20"/>
                <w:szCs w:val="20"/>
              </w:rPr>
              <w:t xml:space="preserve">The rule Product will defend most strongly</w:t>
            </w:r>
          </w:p>
          <w:p>
            <w:pPr>
              <w:spacing w:after="0" w:before="0" w:line="276"/>
              <w:jc w:val="left"/>
            </w:pPr>
            <w:r>
              <w:rPr>
                <w:b w:val="false"/>
                <w:bCs w:val="false"/>
                <w:i w:val="false"/>
                <w:iCs w:val="false"/>
                <w:color w:val="222629"/>
                <w:sz w:val="20"/>
                <w:szCs w:val="20"/>
              </w:rPr>
              <w:t xml:space="preserve">SUIT-R38: no override of NOT_SUITABLE in R0. A bank that makes overriding easy has an advisory process with a bypass button, and per-case exceptions to a suitability model are indistinguishable, at audit, from mis-selling. If Compliance and the Sponsor want a senior-authorisation path, my position is that it belongs in R1 with its own control design and its own evidence — not as an amendment to this pack. That question is logged as OPEN-SUIT-02.</w:t>
            </w:r>
          </w:p>
        </w:tc>
      </w:tr>
    </w:tbl>
    <w:p>
      <w:pPr>
        <w:pStyle w:val="Heading1"/>
        <w:pageBreakBefore/>
        <w:pBdr>
          <w:bottom w:val="single" w:color="0F6E6E" w:sz="8" w:space="6"/>
        </w:pBdr>
        <w:spacing w:after="160" w:before="0"/>
      </w:pPr>
      <w:r>
        <w:rPr>
          <w:b/>
          <w:bCs/>
          <w:color w:val="11304E"/>
          <w:sz w:val="30"/>
          <w:szCs w:val="30"/>
        </w:rPr>
        <w:t xml:space="preserve">8.  Open items requiring a Compliance determination</w:t>
      </w:r>
    </w:p>
    <w:p>
      <w:pPr>
        <w:spacing w:after="120" w:before="0" w:line="276"/>
        <w:jc w:val="left"/>
      </w:pPr>
      <w:r>
        <w:rPr>
          <w:b w:val="false"/>
          <w:bCs w:val="false"/>
          <w:i w:val="false"/>
          <w:iCs w:val="false"/>
          <w:color w:val="222629"/>
          <w:sz w:val="20"/>
          <w:szCs w:val="20"/>
        </w:rPr>
        <w:t xml:space="preserve">Ten items where the answer is Compliance’s and not Product’s. For each, I have stated the position Product would take if asked to choose, so that you are amending a proposal rather than starting from a blank page. None of these blocks D1 or D2.</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157"/>
        <w:gridCol w:w="2891"/>
        <w:gridCol w:w="4241"/>
        <w:gridCol w:w="1349"/>
      </w:tblGrid>
      <w:tr>
        <w:trPr>
          <w:cantSplit/>
          <w:tblHeader/>
        </w:trPr>
        <w:tc>
          <w:tcPr>
            <w:tcW w:type="dxa" w:w="1157"/>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ID</w:t>
            </w:r>
          </w:p>
        </w:tc>
        <w:tc>
          <w:tcPr>
            <w:tcW w:type="dxa" w:w="289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Question</w:t>
            </w:r>
          </w:p>
        </w:tc>
        <w:tc>
          <w:tcPr>
            <w:tcW w:type="dxa" w:w="424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Product’s recommended position</w:t>
            </w:r>
          </w:p>
        </w:tc>
        <w:tc>
          <w:tcPr>
            <w:tcW w:type="dxa" w:w="1349"/>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Needed by</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OPEN-CNS-01</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May CNS-DP and CNS-SOL share a single acknowledgement action, or does each require its own affirmative act?</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acknowledgement action, three separately-recorded consents with three statement IDs. If you require separation, the change is UI-only — the data model already records them separately.</w:t>
            </w:r>
          </w:p>
        </w:tc>
        <w:tc>
          <w:tcPr>
            <w:tcW w:type="dxa" w:w="134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S11 entry</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OPEN-CNS-02</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Approved legal wording for all consent statements.</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Compliance-authored. The packs define structure, fields and versioning; Product does not draft the legal text.</w:t>
            </w:r>
          </w:p>
        </w:tc>
        <w:tc>
          <w:tcPr>
            <w:tcW w:type="dxa" w:w="134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S05 copy deck</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OPEN-CNS-03</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Are the 90-day and 30-day validity windows regulator-acceptable, or must they be shorter?</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Retain 90 / 30. Shorter windows increase re-prompt frequency, which degrades the meaning of consent without improving the evidence.</w:t>
            </w:r>
          </w:p>
        </w:tc>
        <w:tc>
          <w:tcPr>
            <w:tcW w:type="dxa" w:w="134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S11 entry</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OPEN-CNS-04</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Does withdrawal after issuance create an insurer-side obligation on the bank?</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Treat as an operations obligation until determined: record, halt further sharing, raise a task, contact the insurer.</w:t>
            </w:r>
          </w:p>
        </w:tc>
        <w:tc>
          <w:tcPr>
            <w:tcW w:type="dxa" w:w="134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S12</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OPEN-CNS-05</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DPDP Consent Manager interoperability, if notified before go-live.</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Design the evidence record to be exportable; do not build an integration against an unnotified specification.</w:t>
            </w:r>
          </w:p>
        </w:tc>
        <w:tc>
          <w:tcPr>
            <w:tcW w:type="dxa" w:w="134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S14</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OPEN-CNS-06</w:t>
            </w:r>
          </w:p>
        </w:tc>
        <w:tc>
          <w:tcPr>
            <w:tcW w:type="dxa" w:w="2891"/>
            <w:shd w:fill="F1F5F8" w:color="auto" w:val="clear"/>
            <w:tcMar>
              <w:top w:type="dxa" w:w="90"/>
              <w:left w:type="dxa" w:w="130"/>
              <w:bottom w:type="dxa" w:w="90"/>
              <w:right w:type="dxa" w:w="130"/>
            </w:tcMar>
            <w:vAlign w:val="top"/>
          </w:tcPr>
          <w:p>
            <w:pPr>
              <w:spacing w:after="40" w:before="40" w:line="252"/>
              <w:jc w:val="left"/>
            </w:pPr>
            <w:r>
              <w:rPr>
                <w:b/>
                <w:bCs/>
                <w:i w:val="false"/>
                <w:iCs w:val="false"/>
                <w:color w:val="9B2226"/>
                <w:sz w:val="18"/>
                <w:szCs w:val="18"/>
              </w:rPr>
              <w:t xml:space="preserve">New in this pack.</w:t>
            </w:r>
            <w:r>
              <w:rPr>
                <w:b w:val="false"/>
                <w:bCs w:val="false"/>
                <w:i w:val="false"/>
                <w:iCs w:val="false"/>
                <w:color w:val="222629"/>
                <w:sz w:val="18"/>
                <w:szCs w:val="18"/>
              </w:rPr>
              <w:t xml:space="preserve"> May CNS-SHR be captured up front as a panel-scoped consent that names every Group A insurer, with the customer’s later product selection binding the scope to one of them? See §9.</w:t>
            </w:r>
          </w:p>
        </w:tc>
        <w:tc>
          <w:tcPr>
            <w:tcW w:type="dxa" w:w="4241"/>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Yes, subject to the four controls proposed in §9.5.</w:t>
            </w:r>
            <w:r>
              <w:rPr>
                <w:b w:val="false"/>
                <w:bCs w:val="false"/>
                <w:i w:val="false"/>
                <w:iCs w:val="false"/>
                <w:color w:val="222629"/>
                <w:sz w:val="18"/>
                <w:szCs w:val="18"/>
              </w:rPr>
              <w:t xml:space="preserve"> This is the single change that would let the customer meet consent once instead of twice.</w:t>
            </w:r>
          </w:p>
        </w:tc>
        <w:tc>
          <w:tcPr>
            <w:tcW w:type="dxa" w:w="134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S05 / S11 entry</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OPEN-CNS-07</w:t>
            </w:r>
          </w:p>
        </w:tc>
        <w:tc>
          <w:tcPr>
            <w:tcW w:type="dxa" w:w="2891"/>
            <w:tcMar>
              <w:top w:type="dxa" w:w="90"/>
              <w:left w:type="dxa" w:w="130"/>
              <w:bottom w:type="dxa" w:w="90"/>
              <w:right w:type="dxa" w:w="130"/>
            </w:tcMar>
            <w:vAlign w:val="top"/>
          </w:tcPr>
          <w:p>
            <w:pPr>
              <w:spacing w:after="40" w:before="40" w:line="252"/>
              <w:jc w:val="left"/>
            </w:pPr>
            <w:r>
              <w:rPr>
                <w:b/>
                <w:bCs/>
                <w:i w:val="false"/>
                <w:iCs w:val="false"/>
                <w:color w:val="9B2226"/>
                <w:sz w:val="18"/>
                <w:szCs w:val="18"/>
              </w:rPr>
              <w:t xml:space="preserve">New in this pack.</w:t>
            </w:r>
            <w:r>
              <w:rPr>
                <w:b w:val="false"/>
                <w:bCs w:val="false"/>
                <w:i w:val="false"/>
                <w:iCs w:val="false"/>
                <w:color w:val="222629"/>
                <w:sz w:val="18"/>
                <w:szCs w:val="18"/>
              </w:rPr>
              <w:t xml:space="preserve"> Where several statements are presented in one ceremony, must each be separately declinable?</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 — and Product proposes to make that a rule (CNS-R12a in §9.5). It is the control that distinguishes a consolidated ceremony from a bundled consent.</w:t>
            </w:r>
          </w:p>
        </w:tc>
        <w:tc>
          <w:tcPr>
            <w:tcW w:type="dxa" w:w="134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S05 / S11 entry</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OPEN-SUIT-01</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Does the income-multiple and age-factor model discharge the IRDAI suitability obligation, or does a prescribed model apply?</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Adopt SUIT-ALGO-LIFE-v1.0 as drafted. If a prescribed model applies, the structure, storage, gate and failure behaviour are unchanged — only the arithmetic table is replaced, under a new algorithm version.</w:t>
            </w:r>
          </w:p>
        </w:tc>
        <w:tc>
          <w:tcPr>
            <w:tcW w:type="dxa" w:w="134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S11 entry</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OPEN-SUIT-02</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May NOT_SUITABLE ever be overridden with senior authorisation in a later release?</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Never in R0. Revisit at R1 only with a designed control and its own evidence obligation.</w:t>
            </w:r>
          </w:p>
        </w:tc>
        <w:tc>
          <w:tcPr>
            <w:tcW w:type="dxa" w:w="134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R1</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OPEN-SUIT-04</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Is the 30-day evaluation validity window regulator-acceptable?</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Retain 30 days. It is shorter than the consent window deliberately, because advice ages faster than permission.</w:t>
            </w:r>
          </w:p>
        </w:tc>
        <w:tc>
          <w:tcPr>
            <w:tcW w:type="dxa" w:w="134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S11 entry</w:t>
            </w:r>
          </w:p>
        </w:tc>
      </w:tr>
    </w:tbl>
    <w:p>
      <w:pPr>
        <w:spacing w:after="120"/>
      </w:pPr>
      <w:r>
        <w:t xml:space="preserve"/>
      </w:r>
    </w:p>
    <w:p>
      <w:pPr>
        <w:spacing w:after="120" w:before="0" w:line="276"/>
        <w:jc w:val="left"/>
      </w:pPr>
      <w:r>
        <w:rPr>
          <w:b w:val="false"/>
          <w:bCs w:val="false"/>
          <w:i/>
          <w:iCs/>
          <w:color w:val="5A6570"/>
          <w:sz w:val="19"/>
          <w:szCs w:val="19"/>
        </w:rPr>
        <w:t xml:space="preserve">OPEN-SUIT-03 (disclosure wording) and OPEN-SUIT-05 (insurer-specific suitability requirements exceeding this model) are also open, and sit with Compliance jointly with Legal and Bancassurance respectively. They are tracked in the packs and do not require a determination in this sitting.</w:t>
      </w:r>
    </w:p>
    <w:p>
      <w:pPr>
        <w:pStyle w:val="Heading1"/>
        <w:pageBreakBefore/>
        <w:pBdr>
          <w:bottom w:val="single" w:color="0F6E6E" w:sz="8" w:space="6"/>
        </w:pBdr>
        <w:spacing w:after="160" w:before="0"/>
      </w:pPr>
      <w:r>
        <w:rPr>
          <w:b/>
          <w:bCs/>
          <w:color w:val="11304E"/>
          <w:sz w:val="30"/>
          <w:szCs w:val="30"/>
        </w:rPr>
        <w:t xml:space="preserve">9.  Product proposal — consolidating consent into a single up-front ceremony</w:t>
      </w:r>
    </w:p>
    <w:p>
      <w:pPr>
        <w:spacing w:after="120" w:before="0" w:line="276"/>
        <w:jc w:val="left"/>
      </w:pPr>
      <w:r>
        <w:rPr>
          <w:b w:val="false"/>
          <w:bCs w:val="false"/>
          <w:i w:val="false"/>
          <w:iCs w:val="false"/>
          <w:color w:val="222629"/>
          <w:sz w:val="20"/>
          <w:szCs w:val="20"/>
        </w:rPr>
        <w:t xml:space="preserve">This section is a proposal, not a completed decision. It is included here because it changes what Compliance is signing, and it would be dishonest to ask for a signature on the current design without telling you that Product intends to change it.</w:t>
      </w:r>
    </w:p>
    <w:p>
      <w:pPr>
        <w:pStyle w:val="Heading2"/>
        <w:spacing w:after="120" w:before="300"/>
      </w:pPr>
      <w:r>
        <w:rPr>
          <w:b/>
          <w:bCs/>
          <w:color w:val="11304E"/>
          <w:sz w:val="24"/>
          <w:szCs w:val="24"/>
        </w:rPr>
        <w:t xml:space="preserve">9.1  The problem, stated plainly</w:t>
      </w:r>
    </w:p>
    <w:p>
      <w:pPr>
        <w:spacing w:after="120" w:before="0" w:line="276"/>
        <w:jc w:val="left"/>
      </w:pPr>
      <w:r>
        <w:rPr>
          <w:b w:val="false"/>
          <w:bCs w:val="false"/>
          <w:i w:val="false"/>
          <w:iCs w:val="false"/>
          <w:color w:val="222629"/>
          <w:sz w:val="20"/>
          <w:szCs w:val="20"/>
        </w:rPr>
        <w:t xml:space="preserve">Consent in the current design is correct and scattered. Every individual placement is defensible; the sum of them is not a conversation a relationship manager can hold in a branch. In the worst case an R0 customer is interrupted four times for a consent or disclosure ceremony, each of which stops the meeting while an OTP travels to their phone and back.</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482"/>
        <w:gridCol w:w="2313"/>
        <w:gridCol w:w="3470"/>
        <w:gridCol w:w="1542"/>
        <w:gridCol w:w="1831"/>
      </w:tblGrid>
      <w:tr>
        <w:trPr>
          <w:cantSplit/>
          <w:tblHeader/>
        </w:trPr>
        <w:tc>
          <w:tcPr>
            <w:tcW w:type="dxa" w:w="48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Ceremony</w:t>
            </w:r>
          </w:p>
        </w:tc>
        <w:tc>
          <w:tcPr>
            <w:tcW w:type="dxa" w:w="347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Where it fires today</w:t>
            </w:r>
          </w:p>
        </w:tc>
        <w:tc>
          <w:tcPr>
            <w:tcW w:type="dxa" w:w="154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Always?</w:t>
            </w:r>
          </w:p>
        </w:tc>
        <w:tc>
          <w:tcPr>
            <w:tcW w:type="dxa" w:w="183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Customer-device OTP</w:t>
            </w:r>
          </w:p>
        </w:tc>
      </w:tr>
      <w:tr>
        <w:trPr>
          <w:cantSplit/>
        </w:trPr>
        <w:tc>
          <w:tcPr>
            <w:tcW w:type="dxa" w:w="48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CNS-DP + CNS-SOL + CNS-COM</w:t>
            </w:r>
          </w:p>
        </w:tc>
        <w:tc>
          <w:tcPr>
            <w:tcW w:type="dxa" w:w="347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Screen SCR-06, before prefill and before the questionnaire</w:t>
            </w:r>
          </w:p>
        </w:tc>
        <w:tc>
          <w:tcPr>
            <w:tcW w:type="dxa" w:w="154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Always</w:t>
            </w:r>
          </w:p>
        </w:tc>
        <w:tc>
          <w:tcPr>
            <w:tcW w:type="dxa" w:w="183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 — 1</w:t>
            </w:r>
          </w:p>
        </w:tc>
      </w:tr>
      <w:tr>
        <w:trPr>
          <w:cantSplit/>
        </w:trPr>
        <w:tc>
          <w:tcPr>
            <w:tcW w:type="dxa" w:w="48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2</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Caution disclosure (SUIT-R41 / R42)</w:t>
            </w:r>
          </w:p>
        </w:tc>
        <w:tc>
          <w:tcPr>
            <w:tcW w:type="dxa" w:w="347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After the evaluation, before quote, when any class returns SUITABLE_WITH_CAUTION</w:t>
            </w:r>
          </w:p>
        </w:tc>
        <w:tc>
          <w:tcPr>
            <w:tcW w:type="dxa" w:w="154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Conditional</w:t>
            </w:r>
          </w:p>
        </w:tc>
        <w:tc>
          <w:tcPr>
            <w:tcW w:type="dxa" w:w="183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 — 1</w:t>
            </w:r>
          </w:p>
        </w:tc>
      </w:tr>
      <w:tr>
        <w:trPr>
          <w:cantSplit/>
        </w:trPr>
        <w:tc>
          <w:tcPr>
            <w:tcW w:type="dxa" w:w="48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3</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Replacement disclosure (SUIT-R46)</w:t>
            </w:r>
          </w:p>
        </w:tc>
        <w:tc>
          <w:tcPr>
            <w:tcW w:type="dxa" w:w="347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Before quote, when SQ-12 = true</w:t>
            </w:r>
          </w:p>
        </w:tc>
        <w:tc>
          <w:tcPr>
            <w:tcW w:type="dxa" w:w="154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Conditional</w:t>
            </w:r>
          </w:p>
        </w:tc>
        <w:tc>
          <w:tcPr>
            <w:tcW w:type="dxa" w:w="183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 — 1</w:t>
            </w:r>
          </w:p>
        </w:tc>
      </w:tr>
      <w:tr>
        <w:trPr>
          <w:cantSplit/>
        </w:trPr>
        <w:tc>
          <w:tcPr>
            <w:tcW w:type="dxa" w:w="48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4</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CNS-SHR</w:t>
            </w:r>
          </w:p>
        </w:tc>
        <w:tc>
          <w:tcPr>
            <w:tcW w:type="dxa" w:w="347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At proposal, once the insurer is known</w:t>
            </w:r>
          </w:p>
        </w:tc>
        <w:tc>
          <w:tcPr>
            <w:tcW w:type="dxa" w:w="154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Always</w:t>
            </w:r>
          </w:p>
        </w:tc>
        <w:tc>
          <w:tcPr>
            <w:tcW w:type="dxa" w:w="183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 — 1</w:t>
            </w:r>
          </w:p>
        </w:tc>
      </w:tr>
      <w:tr>
        <w:trPr>
          <w:cantSplit/>
        </w:trPr>
        <w:tc>
          <w:tcPr>
            <w:tcW w:type="dxa" w:w="48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Payment authorisation</w:t>
            </w:r>
          </w:p>
        </w:tc>
        <w:tc>
          <w:tcPr>
            <w:tcW w:type="dxa" w:w="347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At payment, on the customer device via the bank PG</w:t>
            </w:r>
          </w:p>
        </w:tc>
        <w:tc>
          <w:tcPr>
            <w:tcW w:type="dxa" w:w="154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Always</w:t>
            </w:r>
          </w:p>
        </w:tc>
        <w:tc>
          <w:tcPr>
            <w:tcW w:type="dxa" w:w="183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Outside these packs</w:t>
            </w:r>
          </w:p>
        </w:tc>
      </w:tr>
    </w:tbl>
    <w:p>
      <w:pPr>
        <w:spacing w:after="120"/>
      </w:pPr>
      <w:r>
        <w:t xml:space="preserve"/>
      </w:r>
    </w:p>
    <w:p>
      <w:pPr>
        <w:spacing w:after="120" w:before="0" w:line="276"/>
        <w:jc w:val="left"/>
      </w:pPr>
      <w:r>
        <w:rPr>
          <w:b/>
          <w:bCs/>
          <w:i w:val="false"/>
          <w:iCs w:val="false"/>
          <w:color w:val="222629"/>
          <w:sz w:val="20"/>
          <w:szCs w:val="20"/>
        </w:rPr>
        <w:t xml:space="preserve">Typical journey today: two consent ceremonies. Worst case: four. </w:t>
      </w:r>
      <w:r>
        <w:rPr>
          <w:b w:val="false"/>
          <w:bCs w:val="false"/>
          <w:i w:val="false"/>
          <w:iCs w:val="false"/>
          <w:color w:val="222629"/>
          <w:sz w:val="20"/>
          <w:szCs w:val="20"/>
        </w:rPr>
        <w:t xml:space="preserve">The typical case is already one more interruption than the design needs, and the worst case is a branch conversation that stalls four times.</w:t>
      </w:r>
    </w:p>
    <w:p>
      <w:pPr>
        <w:pStyle w:val="Heading2"/>
        <w:spacing w:after="120" w:before="300"/>
      </w:pPr>
      <w:r>
        <w:rPr>
          <w:b/>
          <w:bCs/>
          <w:color w:val="11304E"/>
          <w:sz w:val="24"/>
          <w:szCs w:val="24"/>
        </w:rPr>
        <w:t xml:space="preserve">9.2  What Product is asking for</w:t>
      </w:r>
    </w:p>
    <w:p>
      <w:pPr>
        <w:spacing w:after="120" w:before="0" w:line="276"/>
        <w:jc w:val="left"/>
      </w:pPr>
      <w:r>
        <w:rPr>
          <w:b w:val="false"/>
          <w:bCs w:val="false"/>
          <w:i w:val="false"/>
          <w:iCs w:val="false"/>
          <w:color w:val="222629"/>
          <w:sz w:val="20"/>
          <w:szCs w:val="20"/>
        </w:rPr>
        <w:t xml:space="preserve">The instinct behind this proposal is right: put the consent where the customer is already stopped, not where the journey happens to need it. But the two obvious versions of that instinct are not equally available to us, and one of them is not available at all.</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2024"/>
        <w:gridCol w:w="2699"/>
        <w:gridCol w:w="4915"/>
      </w:tblGrid>
      <w:tr>
        <w:trPr>
          <w:cantSplit/>
          <w:tblHeader/>
        </w:trPr>
        <w:tc>
          <w:tcPr>
            <w:tcW w:type="dxa" w:w="2024"/>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Option</w:t>
            </w:r>
          </w:p>
        </w:tc>
        <w:tc>
          <w:tcPr>
            <w:tcW w:type="dxa" w:w="2699"/>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Description</w:t>
            </w:r>
          </w:p>
        </w:tc>
        <w:tc>
          <w:tcPr>
            <w:tcW w:type="dxa" w:w="491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Assessment</w:t>
            </w:r>
          </w:p>
        </w:tc>
      </w:tr>
      <w:tr>
        <w:trPr>
          <w:cantSplit/>
        </w:trPr>
        <w:tc>
          <w:tcPr>
            <w:tcW w:type="dxa" w:w="2024"/>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A — Everything at the very start</w:t>
            </w:r>
          </w:p>
        </w:tc>
        <w:tc>
          <w:tcPr>
            <w:tcW w:type="dxa" w:w="269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ceremony at journey initiation covering all four consents, before any customer data is read.</w:t>
            </w:r>
          </w:p>
        </w:tc>
        <w:tc>
          <w:tcPr>
            <w:tcW w:type="dxa" w:w="4915"/>
            <w:tcMar>
              <w:top w:type="dxa" w:w="90"/>
              <w:left w:type="dxa" w:w="130"/>
              <w:bottom w:type="dxa" w:w="90"/>
              <w:right w:type="dxa" w:w="130"/>
            </w:tcMar>
            <w:vAlign w:val="top"/>
          </w:tcPr>
          <w:p>
            <w:pPr>
              <w:spacing w:after="40" w:before="40" w:line="252"/>
              <w:jc w:val="left"/>
            </w:pPr>
            <w:r>
              <w:rPr>
                <w:b/>
                <w:bCs/>
                <w:i w:val="false"/>
                <w:iCs w:val="false"/>
                <w:color w:val="8A5A00"/>
                <w:sz w:val="18"/>
                <w:szCs w:val="18"/>
              </w:rPr>
              <w:t xml:space="preserve">Partly available.</w:t>
            </w:r>
            <w:r>
              <w:rPr>
                <w:b w:val="false"/>
                <w:bCs w:val="false"/>
                <w:i w:val="false"/>
                <w:iCs w:val="false"/>
                <w:color w:val="222629"/>
                <w:sz w:val="18"/>
                <w:szCs w:val="18"/>
              </w:rPr>
              <w:t xml:space="preserve"> CNS-DP, CNS-SOL and CNS-COM belong here and already are here. CNS-SHR is the problem: at journey start no insurer has been selected, and CNS-R22 scopes sharing consent to a named insurer. A consent to share "with whoever you later choose" is a blanket consent, which fails the specificity test that CNS-R22 exists to satisfy — unless the panel is enumerated. That is OPEN-CNS-06.</w:t>
            </w:r>
          </w:p>
        </w:tc>
      </w:tr>
      <w:tr>
        <w:trPr>
          <w:cantSplit/>
        </w:trPr>
        <w:tc>
          <w:tcPr>
            <w:tcW w:type="dxa" w:w="2024"/>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B — Everything at the proposal stage</w:t>
            </w:r>
          </w:p>
        </w:tc>
        <w:tc>
          <w:tcPr>
            <w:tcW w:type="dxa" w:w="269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ceremony once the customer has chosen a product and the insurer is known.</w:t>
            </w:r>
          </w:p>
        </w:tc>
        <w:tc>
          <w:tcPr>
            <w:tcW w:type="dxa" w:w="4915"/>
            <w:shd w:fill="F1F5F8" w:color="auto" w:val="clear"/>
            <w:tcMar>
              <w:top w:type="dxa" w:w="90"/>
              <w:left w:type="dxa" w:w="130"/>
              <w:bottom w:type="dxa" w:w="90"/>
              <w:right w:type="dxa" w:w="130"/>
            </w:tcMar>
            <w:vAlign w:val="top"/>
          </w:tcPr>
          <w:p>
            <w:pPr>
              <w:spacing w:after="40" w:before="40" w:line="252"/>
              <w:jc w:val="left"/>
            </w:pPr>
            <w:r>
              <w:rPr>
                <w:b/>
                <w:bCs/>
                <w:i w:val="false"/>
                <w:iCs w:val="false"/>
                <w:color w:val="9B2226"/>
                <w:sz w:val="18"/>
                <w:szCs w:val="18"/>
              </w:rPr>
              <w:t xml:space="preserve">Not available, and I have to say so clearly.</w:t>
            </w:r>
            <w:r>
              <w:rPr>
                <w:b w:val="false"/>
                <w:bCs w:val="false"/>
                <w:i w:val="false"/>
                <w:iCs w:val="false"/>
                <w:color w:val="222629"/>
                <w:sz w:val="18"/>
                <w:szCs w:val="18"/>
              </w:rPr>
              <w:t xml:space="preserve"> CNS-DP authorises reading the customer’s CBS record for prefill, and CNS-SOL authorises the need analysis. Both acts have already happened by the proposal stage. Moving those consents to proposal means capturing permission for processing that has already occurred. That is retrospective consent, it is the specific failure a regulator looks for, and no UX benefit justifies it.</w:t>
            </w:r>
          </w:p>
        </w:tc>
      </w:tr>
      <w:tr>
        <w:trPr>
          <w:cantSplit/>
        </w:trPr>
        <w:tc>
          <w:tcPr>
            <w:tcW w:type="dxa" w:w="2024"/>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 — Two ceremonies, front-loaded </w:t>
            </w:r>
            <w:r>
              <w:rPr>
                <w:b/>
                <w:bCs/>
                <w:i w:val="false"/>
                <w:iCs w:val="false"/>
                <w:color w:val="0F6E6E"/>
                <w:sz w:val="18"/>
                <w:szCs w:val="18"/>
              </w:rPr>
              <w:t xml:space="preserve">(recommended)</w:t>
            </w:r>
          </w:p>
        </w:tc>
        <w:tc>
          <w:tcPr>
            <w:tcW w:type="dxa" w:w="269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full consent ceremony at journey start including a panel-scoped CNS-SHR; one conditional acknowledgement at offer selection that carries whatever disclosures actually fired plus the insurer scope-binding.</w:t>
            </w:r>
          </w:p>
        </w:tc>
        <w:tc>
          <w:tcPr>
            <w:tcW w:type="dxa" w:w="4915"/>
            <w:tcMar>
              <w:top w:type="dxa" w:w="90"/>
              <w:left w:type="dxa" w:w="130"/>
              <w:bottom w:type="dxa" w:w="90"/>
              <w:right w:type="dxa" w:w="130"/>
            </w:tcMar>
            <w:vAlign w:val="top"/>
          </w:tcPr>
          <w:p>
            <w:pPr>
              <w:spacing w:after="40" w:before="40" w:line="252"/>
              <w:jc w:val="left"/>
            </w:pPr>
            <w:r>
              <w:rPr>
                <w:b/>
                <w:bCs/>
                <w:i w:val="false"/>
                <w:iCs w:val="false"/>
                <w:color w:val="0F6E6E"/>
                <w:sz w:val="18"/>
                <w:szCs w:val="18"/>
              </w:rPr>
              <w:t xml:space="preserve">Recommended.</w:t>
            </w:r>
            <w:r>
              <w:rPr>
                <w:b w:val="false"/>
                <w:bCs w:val="false"/>
                <w:i w:val="false"/>
                <w:iCs w:val="false"/>
                <w:color w:val="222629"/>
                <w:sz w:val="18"/>
                <w:szCs w:val="18"/>
              </w:rPr>
              <w:t xml:space="preserve"> Delivers the intent of Option A — the customer consents once, at the start, before anything happens — while keeping every consent specific at the moment it is relied upon. Typical journey drops to one ceremony; worst case drops to two.</w:t>
            </w:r>
          </w:p>
        </w:tc>
      </w:tr>
      <w:tr>
        <w:trPr>
          <w:cantSplit/>
        </w:trPr>
        <w:tc>
          <w:tcPr>
            <w:tcW w:type="dxa" w:w="2024"/>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D — Status quo</w:t>
            </w:r>
          </w:p>
        </w:tc>
        <w:tc>
          <w:tcPr>
            <w:tcW w:type="dxa" w:w="269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Keep the current placements.</w:t>
            </w:r>
          </w:p>
        </w:tc>
        <w:tc>
          <w:tcPr>
            <w:tcW w:type="dxa" w:w="491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Compliant, and the fallback if OPEN-CNS-06 is declined. Costs the customer one avoidable interruption on every journey and up to three on a replacement-with-caution case.</w:t>
            </w:r>
          </w:p>
        </w:tc>
      </w:tr>
    </w:tbl>
    <w:p>
      <w:pPr>
        <w:pStyle w:val="Heading2"/>
        <w:spacing w:after="120" w:before="300"/>
      </w:pPr>
      <w:r>
        <w:rPr>
          <w:b/>
          <w:bCs/>
          <w:color w:val="11304E"/>
          <w:sz w:val="24"/>
          <w:szCs w:val="24"/>
        </w:rPr>
        <w:t xml:space="preserve">9.3  The recommended design</w:t>
      </w:r>
    </w:p>
    <w:p>
      <w:pPr>
        <w:spacing w:after="120" w:before="0" w:line="276"/>
        <w:jc w:val="left"/>
      </w:pPr>
      <w:r>
        <w:rPr>
          <w:b w:val="false"/>
          <w:bCs w:val="false"/>
          <w:i w:val="false"/>
          <w:iCs w:val="false"/>
          <w:color w:val="222629"/>
          <w:sz w:val="20"/>
          <w:szCs w:val="20"/>
        </w:rPr>
        <w:t xml:space="preserve">Two named ceremonies, and nothing else asks the customer for anything.</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542"/>
        <w:gridCol w:w="4048"/>
        <w:gridCol w:w="4048"/>
      </w:tblGrid>
      <w:tr>
        <w:trPr>
          <w:cantSplit/>
          <w:tblHeader/>
        </w:trPr>
        <w:tc>
          <w:tcPr>
            <w:tcW w:type="dxa" w:w="154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
            </w:r>
          </w:p>
        </w:tc>
        <w:tc>
          <w:tcPr>
            <w:tcW w:type="dxa" w:w="404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Ceremony 1 — Advice and Data Consent</w:t>
            </w:r>
          </w:p>
        </w:tc>
        <w:tc>
          <w:tcPr>
            <w:tcW w:type="dxa" w:w="404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Ceremony 2 — Recommendation Acknowledgement</w:t>
            </w:r>
          </w:p>
        </w:tc>
      </w:tr>
      <w:tr>
        <w:trPr>
          <w:cantSplit/>
        </w:trPr>
        <w:tc>
          <w:tcPr>
            <w:tcW w:type="dxa" w:w="1542"/>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When</w:t>
            </w:r>
          </w:p>
        </w:tc>
        <w:tc>
          <w:tcPr>
            <w:tcW w:type="dxa" w:w="404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At journey initiation, before any CBS record is read and before the questionnaire is presented.</w:t>
            </w:r>
          </w:p>
        </w:tc>
        <w:tc>
          <w:tcPr>
            <w:tcW w:type="dxa" w:w="404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At offer selection, after the evaluation and before the proposal is drafted.</w:t>
            </w:r>
          </w:p>
        </w:tc>
      </w:tr>
      <w:tr>
        <w:trPr>
          <w:cantSplit/>
        </w:trPr>
        <w:tc>
          <w:tcPr>
            <w:tcW w:type="dxa" w:w="1542"/>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Carries</w:t>
            </w:r>
          </w:p>
        </w:tc>
        <w:tc>
          <w:tcPr>
            <w:tcW w:type="dxa" w:w="404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CNS-DP, CNS-SOL, CNS-COM, and CNS-SHR scoped to the named Group A panel.</w:t>
            </w:r>
          </w:p>
        </w:tc>
        <w:tc>
          <w:tcPr>
            <w:tcW w:type="dxa" w:w="404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SUIT-R41 caution disclosure if any class fired one; the SUIT-R46 replacement disclosure if SQ-12 is true; and the CNS-SHR scope-binding to the selected insurer.</w:t>
            </w:r>
          </w:p>
        </w:tc>
      </w:tr>
      <w:tr>
        <w:trPr>
          <w:cantSplit/>
        </w:trPr>
        <w:tc>
          <w:tcPr>
            <w:tcW w:type="dxa" w:w="1542"/>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Evidence written</w:t>
            </w:r>
          </w:p>
        </w:tc>
        <w:tc>
          <w:tcPr>
            <w:tcW w:type="dxa" w:w="404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Four separate rows, four statement IDs, four withdrawal handles — one OTP transaction referenced by all four.</w:t>
            </w:r>
          </w:p>
        </w:tc>
        <w:tc>
          <w:tcPr>
            <w:tcW w:type="dxa" w:w="404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acknowledgement record per disclosure, plus one scope-binding row referencing the Ceremony 1 sharing consent.</w:t>
            </w:r>
          </w:p>
        </w:tc>
      </w:tr>
      <w:tr>
        <w:trPr>
          <w:cantSplit/>
        </w:trPr>
        <w:tc>
          <w:tcPr>
            <w:tcW w:type="dxa" w:w="1542"/>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Fires</w:t>
            </w:r>
          </w:p>
        </w:tc>
        <w:tc>
          <w:tcPr>
            <w:tcW w:type="dxa" w:w="404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Always — unless a valid consent already exists for this CIF under CNS-R25 reuse, in which case it does not fire at all.</w:t>
            </w:r>
          </w:p>
        </w:tc>
        <w:tc>
          <w:tcPr>
            <w:tcW w:type="dxa" w:w="404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Only when a disclosure actually applies. On a clean profile with a straightforward term product, it does not fire.</w:t>
            </w:r>
          </w:p>
        </w:tc>
      </w:tr>
      <w:tr>
        <w:trPr>
          <w:cantSplit/>
        </w:trPr>
        <w:tc>
          <w:tcPr>
            <w:tcW w:type="dxa" w:w="1542"/>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Customer-device OTP</w:t>
            </w:r>
          </w:p>
        </w:tc>
        <w:tc>
          <w:tcPr>
            <w:tcW w:type="dxa" w:w="404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w:t>
            </w:r>
          </w:p>
        </w:tc>
        <w:tc>
          <w:tcPr>
            <w:tcW w:type="dxa" w:w="404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or none.</w:t>
            </w:r>
          </w:p>
        </w:tc>
      </w:tr>
    </w:tbl>
    <w:p>
      <w:pPr>
        <w:spacing w:after="140"/>
      </w:pPr>
      <w:r>
        <w:t xml:space="preserve"/>
      </w:r>
    </w:p>
    <w:p>
      <w:pPr>
        <w:pStyle w:val="Heading3"/>
        <w:spacing w:after="100" w:before="220"/>
      </w:pPr>
      <w:r>
        <w:rPr>
          <w:b/>
          <w:bCs/>
          <w:color w:val="0F6E6E"/>
          <w:sz w:val="21"/>
          <w:szCs w:val="21"/>
        </w:rPr>
        <w:t xml:space="preserve">What this changes for the customer</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4433"/>
        <w:gridCol w:w="2602"/>
        <w:gridCol w:w="2603"/>
      </w:tblGrid>
      <w:tr>
        <w:trPr>
          <w:cantSplit/>
          <w:tblHeader/>
        </w:trPr>
        <w:tc>
          <w:tcPr>
            <w:tcW w:type="dxa" w:w="443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Scenario</w:t>
            </w:r>
          </w:p>
        </w:tc>
        <w:tc>
          <w:tcPr>
            <w:tcW w:type="dxa" w:w="2602"/>
            <w:shd w:fill="11304E" w:color="auto" w:val="clear"/>
            <w:tcMar>
              <w:top w:type="dxa" w:w="90"/>
              <w:left w:type="dxa" w:w="130"/>
              <w:bottom w:type="dxa" w:w="90"/>
              <w:right w:type="dxa" w:w="130"/>
            </w:tcMar>
            <w:vAlign w:val="center"/>
          </w:tcPr>
          <w:p>
            <w:pPr>
              <w:spacing w:after="40" w:before="40" w:line="252"/>
              <w:jc w:val="center"/>
            </w:pPr>
            <w:r>
              <w:rPr>
                <w:b/>
                <w:bCs/>
                <w:i w:val="false"/>
                <w:iCs w:val="false"/>
                <w:color w:val="FFFFFF"/>
                <w:sz w:val="18"/>
                <w:szCs w:val="18"/>
              </w:rPr>
              <w:t xml:space="preserve">Today</w:t>
            </w:r>
          </w:p>
        </w:tc>
        <w:tc>
          <w:tcPr>
            <w:tcW w:type="dxa" w:w="2603"/>
            <w:shd w:fill="11304E" w:color="auto" w:val="clear"/>
            <w:tcMar>
              <w:top w:type="dxa" w:w="90"/>
              <w:left w:type="dxa" w:w="130"/>
              <w:bottom w:type="dxa" w:w="90"/>
              <w:right w:type="dxa" w:w="130"/>
            </w:tcMar>
            <w:vAlign w:val="center"/>
          </w:tcPr>
          <w:p>
            <w:pPr>
              <w:spacing w:after="40" w:before="40" w:line="252"/>
              <w:jc w:val="center"/>
            </w:pPr>
            <w:r>
              <w:rPr>
                <w:b/>
                <w:bCs/>
                <w:i w:val="false"/>
                <w:iCs w:val="false"/>
                <w:color w:val="FFFFFF"/>
                <w:sz w:val="18"/>
                <w:szCs w:val="18"/>
              </w:rPr>
              <w:t xml:space="preserve">Proposed</w:t>
            </w:r>
          </w:p>
        </w:tc>
      </w:tr>
      <w:tr>
        <w:trPr>
          <w:cantSplit/>
        </w:trPr>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New ETB customer, clean profile, term product</w:t>
            </w:r>
          </w:p>
        </w:tc>
        <w:tc>
          <w:tcPr>
            <w:tcW w:type="dxa" w:w="2602"/>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2 ceremonies</w:t>
            </w:r>
          </w:p>
        </w:tc>
        <w:tc>
          <w:tcPr>
            <w:tcW w:type="dxa" w:w="2603"/>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1 ceremony</w:t>
            </w:r>
          </w:p>
        </w:tc>
      </w:tr>
      <w:tr>
        <w:trPr>
          <w:cantSplit/>
        </w:trPr>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Customer with an affordability caution</w:t>
            </w:r>
          </w:p>
        </w:tc>
        <w:tc>
          <w:tcPr>
            <w:tcW w:type="dxa" w:w="2602"/>
            <w:shd w:fill="F1F5F8" w:color="auto" w:val="clear"/>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3 ceremonies</w:t>
            </w:r>
          </w:p>
        </w:tc>
        <w:tc>
          <w:tcPr>
            <w:tcW w:type="dxa" w:w="2603"/>
            <w:shd w:fill="F1F5F8" w:color="auto" w:val="clear"/>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2 ceremonies</w:t>
            </w:r>
          </w:p>
        </w:tc>
      </w:tr>
      <w:tr>
        <w:trPr>
          <w:cantSplit/>
        </w:trPr>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Replacement case with a caution</w:t>
            </w:r>
          </w:p>
        </w:tc>
        <w:tc>
          <w:tcPr>
            <w:tcW w:type="dxa" w:w="2602"/>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4 ceremonies</w:t>
            </w:r>
          </w:p>
        </w:tc>
        <w:tc>
          <w:tcPr>
            <w:tcW w:type="dxa" w:w="2603"/>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2 ceremonies</w:t>
            </w:r>
          </w:p>
        </w:tc>
      </w:tr>
      <w:tr>
        <w:trPr>
          <w:cantSplit/>
        </w:trPr>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Returning ETB customer within the 90-day window, clean profile</w:t>
            </w:r>
          </w:p>
        </w:tc>
        <w:tc>
          <w:tcPr>
            <w:tcW w:type="dxa" w:w="2602"/>
            <w:shd w:fill="F1F5F8" w:color="auto" w:val="clear"/>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1–2 ceremonies</w:t>
            </w:r>
          </w:p>
        </w:tc>
        <w:tc>
          <w:tcPr>
            <w:tcW w:type="dxa" w:w="2603"/>
            <w:shd w:fill="F1F5F8" w:color="auto" w:val="clear"/>
            <w:tcMar>
              <w:top w:type="dxa" w:w="90"/>
              <w:left w:type="dxa" w:w="130"/>
              <w:bottom w:type="dxa" w:w="90"/>
              <w:right w:type="dxa" w:w="130"/>
            </w:tcMar>
            <w:vAlign w:val="top"/>
          </w:tcPr>
          <w:p>
            <w:pPr>
              <w:spacing w:after="40" w:before="40" w:line="252"/>
              <w:jc w:val="center"/>
            </w:pPr>
            <w:r>
              <w:rPr>
                <w:b/>
                <w:bCs/>
                <w:i w:val="false"/>
                <w:iCs w:val="false"/>
                <w:color w:val="0F6E6E"/>
                <w:sz w:val="18"/>
                <w:szCs w:val="18"/>
              </w:rPr>
              <w:t xml:space="preserve">0 ceremonies</w:t>
            </w:r>
          </w:p>
        </w:tc>
      </w:tr>
    </w:tbl>
    <w:p>
      <w:pPr>
        <w:spacing w:after="120"/>
      </w:pPr>
      <w:r>
        <w:t xml:space="preserve"/>
      </w:r>
    </w:p>
    <w:p>
      <w:pPr>
        <w:spacing w:after="120" w:before="0" w:line="276"/>
        <w:jc w:val="left"/>
      </w:pPr>
      <w:r>
        <w:rPr>
          <w:b w:val="false"/>
          <w:bCs w:val="false"/>
          <w:i w:val="false"/>
          <w:iCs w:val="false"/>
          <w:color w:val="222629"/>
          <w:sz w:val="20"/>
          <w:szCs w:val="20"/>
        </w:rPr>
        <w:t xml:space="preserve">The last row is the one Product cares about most, and it is already in the pack: CNS-R25 permits reuse across journeys for the same CIF within the validity window, bounded by CIF, code, scope and window. Consolidation makes that reuse visible as a single skipped ceremony instead of a partial one.</w:t>
      </w:r>
    </w:p>
    <w:p>
      <w:pPr>
        <w:pStyle w:val="Heading2"/>
        <w:pageBreakBefore/>
        <w:spacing w:after="120" w:before="0"/>
      </w:pPr>
      <w:r>
        <w:rPr>
          <w:b/>
          <w:bCs/>
          <w:color w:val="11304E"/>
          <w:sz w:val="24"/>
          <w:szCs w:val="24"/>
        </w:rPr>
        <w:t xml:space="preserve">9.4  Why this is a compliance improvement, not only a UX one</w:t>
      </w:r>
    </w:p>
    <w:p>
      <w:pPr>
        <w:pStyle w:val="ListParagraph"/>
        <w:numPr>
          <w:ilvl w:val="0"/>
          <w:numId w:val="2"/>
        </w:numPr>
        <w:spacing w:after="80" w:line="276"/>
      </w:pPr>
      <w:r>
        <w:rPr>
          <w:b/>
          <w:bCs/>
          <w:i w:val="false"/>
          <w:iCs w:val="false"/>
          <w:color w:val="222629"/>
          <w:sz w:val="20"/>
          <w:szCs w:val="20"/>
        </w:rPr>
        <w:t xml:space="preserve">Consent precedes processing, visibly. </w:t>
      </w:r>
      <w:r>
        <w:rPr>
          <w:b w:val="false"/>
          <w:bCs w:val="false"/>
          <w:i w:val="false"/>
          <w:iCs w:val="false"/>
          <w:color w:val="222629"/>
          <w:sz w:val="20"/>
          <w:szCs w:val="20"/>
        </w:rPr>
        <w:t xml:space="preserve">Every consent in Ceremony 1 is captured before the act it authorises. A regulator testing the journey sees permission first and processing second, with no ordering argument required.</w:t>
      </w:r>
    </w:p>
    <w:p>
      <w:pPr>
        <w:pStyle w:val="ListParagraph"/>
        <w:numPr>
          <w:ilvl w:val="0"/>
          <w:numId w:val="2"/>
        </w:numPr>
        <w:spacing w:after="80" w:line="276"/>
      </w:pPr>
      <w:r>
        <w:rPr>
          <w:b/>
          <w:bCs/>
          <w:i w:val="false"/>
          <w:iCs w:val="false"/>
          <w:color w:val="222629"/>
          <w:sz w:val="20"/>
          <w:szCs w:val="20"/>
        </w:rPr>
        <w:t xml:space="preserve">One OTP transaction, four evidence rows. </w:t>
      </w:r>
      <w:r>
        <w:rPr>
          <w:b w:val="false"/>
          <w:bCs w:val="false"/>
          <w:i w:val="false"/>
          <w:iCs w:val="false"/>
          <w:color w:val="222629"/>
          <w:sz w:val="20"/>
          <w:szCs w:val="20"/>
        </w:rPr>
        <w:t xml:space="preserve">The evidence record does not degrade. Each consent keeps its own statement ID, version, verbatim text, hash, validity window and withdrawal handle. What is shared is the verification event, not the grant.</w:t>
      </w:r>
    </w:p>
    <w:p>
      <w:pPr>
        <w:pStyle w:val="ListParagraph"/>
        <w:numPr>
          <w:ilvl w:val="0"/>
          <w:numId w:val="2"/>
        </w:numPr>
        <w:spacing w:after="80" w:line="276"/>
      </w:pPr>
      <w:r>
        <w:rPr>
          <w:b/>
          <w:bCs/>
          <w:i w:val="false"/>
          <w:iCs w:val="false"/>
          <w:color w:val="222629"/>
          <w:sz w:val="20"/>
          <w:szCs w:val="20"/>
        </w:rPr>
        <w:t xml:space="preserve">Fewer ceremonies means fewer workarounds. </w:t>
      </w:r>
      <w:r>
        <w:rPr>
          <w:b w:val="false"/>
          <w:bCs w:val="false"/>
          <w:i w:val="false"/>
          <w:iCs w:val="false"/>
          <w:color w:val="222629"/>
          <w:sz w:val="20"/>
          <w:szCs w:val="20"/>
        </w:rPr>
        <w:t xml:space="preserve">A control that interrupts a branch conversation four times trains relationship managers to find ways around it — to pre-warm the OTP, to hold the customer’s phone, to run the ceremony before the customer has arrived. Control integrity and interaction cost are the same problem.</w:t>
      </w:r>
    </w:p>
    <w:p>
      <w:pPr>
        <w:pStyle w:val="ListParagraph"/>
        <w:numPr>
          <w:ilvl w:val="0"/>
          <w:numId w:val="2"/>
        </w:numPr>
        <w:spacing w:after="80" w:line="276"/>
      </w:pPr>
      <w:r>
        <w:rPr>
          <w:b/>
          <w:bCs/>
          <w:i w:val="false"/>
          <w:iCs w:val="false"/>
          <w:color w:val="222629"/>
          <w:sz w:val="20"/>
          <w:szCs w:val="20"/>
        </w:rPr>
        <w:t xml:space="preserve">Disclosures land where the decision is. </w:t>
      </w:r>
      <w:r>
        <w:rPr>
          <w:b w:val="false"/>
          <w:bCs w:val="false"/>
          <w:i w:val="false"/>
          <w:iCs w:val="false"/>
          <w:color w:val="222629"/>
          <w:sz w:val="20"/>
          <w:szCs w:val="20"/>
        </w:rPr>
        <w:t xml:space="preserve">A caution about affordability is more meaningful at the moment the customer picks a premium than earlier in the abstract.</w:t>
      </w:r>
    </w:p>
    <w:p>
      <w:pPr>
        <w:spacing w:after="100"/>
      </w:pPr>
      <w:r>
        <w:t xml:space="preserve"/>
      </w:r>
    </w:p>
    <w:tbl>
      <w:tblPr>
        <w:tblW w:type="dxa" w:w="9638"/>
        <w:tblBorders>
          <w:top w:val="none" w:color="FFFFFF" w:sz="0"/>
          <w:left w:val="single" w:color="8A5A00" w:sz="18"/>
          <w:bottom w:val="none" w:color="FFFFFF" w:sz="0"/>
          <w:right w:val="none" w:color="FFFFFF" w:sz="0"/>
          <w:insideH w:val="none" w:color="FFFFFF" w:sz="0"/>
          <w:insideV w:val="none" w:color="FFFFFF" w:sz="0"/>
        </w:tblBorders>
      </w:tblPr>
      <w:tblGrid>
        <w:gridCol w:w="9638"/>
      </w:tblGrid>
      <w:tr>
        <w:tc>
          <w:tcPr>
            <w:tcW w:type="dxa" w:w="9638"/>
            <w:shd w:fill="F1F5F8" w:color="auto" w:val="clear"/>
            <w:tcMar>
              <w:top w:type="dxa" w:w="140"/>
              <w:left w:type="dxa" w:w="200"/>
              <w:bottom w:type="dxa" w:w="140"/>
              <w:right w:type="dxa" w:w="200"/>
            </w:tcMar>
          </w:tcPr>
          <w:p>
            <w:pPr>
              <w:spacing w:after="60" w:before="0" w:line="276"/>
              <w:jc w:val="left"/>
            </w:pPr>
            <w:r>
              <w:rPr>
                <w:b/>
                <w:bCs/>
                <w:i w:val="false"/>
                <w:iCs w:val="false"/>
                <w:color w:val="8A5A00"/>
                <w:sz w:val="20"/>
                <w:szCs w:val="20"/>
              </w:rPr>
              <w:t xml:space="preserve">The risk this creates, named</w:t>
            </w:r>
          </w:p>
          <w:p>
            <w:pPr>
              <w:spacing w:after="0" w:before="0" w:line="276"/>
              <w:jc w:val="left"/>
            </w:pPr>
            <w:r>
              <w:rPr>
                <w:b w:val="false"/>
                <w:bCs w:val="false"/>
                <w:i w:val="false"/>
                <w:iCs w:val="false"/>
                <w:color w:val="222629"/>
                <w:sz w:val="20"/>
                <w:szCs w:val="20"/>
              </w:rPr>
              <w:t xml:space="preserve">Consolidation moves us closer to a bundled consent, which is the thing the separate-capture design was protecting against. Product’s answer is not "it will be fine" — it is CNS-R12a below, which makes each statement independently declinable. If that rule is not ratified, the consolidation should not proceed, and Option D stands.</w:t>
            </w:r>
          </w:p>
        </w:tc>
      </w:tr>
    </w:tbl>
    <w:p>
      <w:pPr>
        <w:pStyle w:val="Heading2"/>
        <w:spacing w:after="120" w:before="300"/>
      </w:pPr>
      <w:r>
        <w:rPr>
          <w:b/>
          <w:bCs/>
          <w:color w:val="11304E"/>
          <w:sz w:val="24"/>
          <w:szCs w:val="24"/>
        </w:rPr>
        <w:t xml:space="preserve">9.5  Rule changes required, if ratified</w:t>
      </w:r>
    </w:p>
    <w:p>
      <w:pPr>
        <w:spacing w:after="120" w:before="0" w:line="276"/>
        <w:jc w:val="left"/>
      </w:pPr>
      <w:r>
        <w:rPr>
          <w:b w:val="false"/>
          <w:bCs w:val="false"/>
          <w:i w:val="false"/>
          <w:iCs w:val="false"/>
          <w:color w:val="222629"/>
          <w:sz w:val="20"/>
          <w:szCs w:val="20"/>
        </w:rPr>
        <w:t xml:space="preserve">Five deltas. Four are new rules; one amends an existing rule. All are drafted so that Compliance rules on them individually.</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3662"/>
        <w:gridCol w:w="2988"/>
        <w:gridCol w:w="1735"/>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Statement</w:t>
            </w:r>
          </w:p>
        </w:tc>
        <w:tc>
          <w:tcPr>
            <w:tcW w:type="dxa" w:w="298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Test</w:t>
            </w:r>
          </w:p>
        </w:tc>
        <w:tc>
          <w:tcPr>
            <w:tcW w:type="dxa" w:w="173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Decision</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CNS-R12a</w:t>
            </w:r>
            <w:r>
              <w:rPr>
                <w:b/>
                <w:bCs/>
                <w:i w:val="false"/>
                <w:iCs w:val="false"/>
                <w:color w:val="222629"/>
                <w:sz w:val="18"/>
                <w:szCs w:val="18"/>
              </w:rPr>
              <w:br/>
              <w:t xml:space="preserve"/>
            </w:r>
            <w:r>
              <w:rPr>
                <w:b w:val="false"/>
                <w:bCs w:val="false"/>
                <w:i/>
                <w:iCs/>
                <w:color w:val="0F6E6E"/>
                <w:sz w:val="18"/>
                <w:szCs w:val="18"/>
              </w:rPr>
              <w:t xml:space="preserve">new</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Where more than one consent statement is presented in a single ceremony, each statement MUST be independently declinable. Declining CNS-COM MUST NOT block the journey. Declining CNS-DP or CNS-SOL MUST stop it, with the reason named.</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Decline one statement in the ceremony and accept the rest. Three grants exist in the expected states; the declined statement has no grant; the journey behaves per the decline matrix.</w:t>
            </w:r>
          </w:p>
        </w:tc>
        <w:tc>
          <w:tcPr>
            <w:tcW w:type="dxa" w:w="173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CNS-R22</w:t>
            </w:r>
            <w:r>
              <w:rPr>
                <w:b/>
                <w:bCs/>
                <w:i w:val="false"/>
                <w:iCs w:val="false"/>
                <w:color w:val="222629"/>
                <w:sz w:val="18"/>
                <w:szCs w:val="18"/>
              </w:rPr>
              <w:br/>
              <w:t xml:space="preserve"/>
            </w:r>
            <w:r>
              <w:rPr>
                <w:b w:val="false"/>
                <w:bCs w:val="false"/>
                <w:i/>
                <w:iCs/>
                <w:color w:val="8A5A00"/>
                <w:sz w:val="18"/>
                <w:szCs w:val="18"/>
              </w:rPr>
              <w:t xml:space="preserve">amended</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CNS-SHR MAY be captured as a panel-scoped consent that enumerates every insurer in the R0 Group A panel by legal entity name in the statement text, provided the scope is later bound to exactly one of them by an explicit customer selection act.</w:t>
            </w:r>
          </w:p>
        </w:tc>
        <w:tc>
          <w:tcPr>
            <w:tcW w:type="dxa" w:w="298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rendered statement text contains each panel entity name verbatim. Adding an insurer to the panel requires a MAJOR statement version and does not extend the scope of consents already captured.</w:t>
            </w:r>
          </w:p>
        </w:tc>
        <w:tc>
          <w:tcPr>
            <w:tcW w:type="dxa" w:w="173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CNS-R22b</w:t>
            </w:r>
            <w:r>
              <w:rPr>
                <w:b/>
                <w:bCs/>
                <w:i w:val="false"/>
                <w:iCs w:val="false"/>
                <w:color w:val="222629"/>
                <w:sz w:val="18"/>
                <w:szCs w:val="18"/>
              </w:rPr>
              <w:br/>
              <w:t xml:space="preserve"/>
            </w:r>
            <w:r>
              <w:rPr>
                <w:b w:val="false"/>
                <w:bCs w:val="false"/>
                <w:i/>
                <w:iCs/>
                <w:color w:val="0F6E6E"/>
                <w:sz w:val="18"/>
                <w:szCs w:val="18"/>
              </w:rPr>
              <w:t xml:space="preserve">new</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Customer data MUST NOT be transmitted to any panel insurer other than the one bound by the selection event, even though the consent enumerates several.</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Bind the scope to insurer A; attempt a submission to insurer B. Rejected with CONSENT_SCOPE_MISMATCH. Assert no outbound call was made.</w:t>
            </w:r>
          </w:p>
        </w:tc>
        <w:tc>
          <w:tcPr>
            <w:tcW w:type="dxa" w:w="173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CNS-R22c</w:t>
            </w:r>
            <w:r>
              <w:rPr>
                <w:b/>
                <w:bCs/>
                <w:i w:val="false"/>
                <w:iCs w:val="false"/>
                <w:color w:val="222629"/>
                <w:sz w:val="18"/>
                <w:szCs w:val="18"/>
              </w:rPr>
              <w:br/>
              <w:t xml:space="preserve"/>
            </w:r>
            <w:r>
              <w:rPr>
                <w:b w:val="false"/>
                <w:bCs w:val="false"/>
                <w:i/>
                <w:iCs/>
                <w:color w:val="0F6E6E"/>
                <w:sz w:val="18"/>
                <w:szCs w:val="18"/>
              </w:rPr>
              <w:t xml:space="preserve">new</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scope-binding MUST be recorded as an append-only row referencing the panel consent, carrying the selected insurer, the offer ID, the timestamp, the acting identity and a reference to the customer’s selection act. No new OTP is required for the binding itself.</w:t>
            </w:r>
          </w:p>
        </w:tc>
        <w:tc>
          <w:tcPr>
            <w:tcW w:type="dxa" w:w="298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Bind a scope; one new row exists with all six fields, chained to the original consent ID, and the original row is unmutated.</w:t>
            </w:r>
          </w:p>
        </w:tc>
        <w:tc>
          <w:tcPr>
            <w:tcW w:type="dxa" w:w="173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CNS-R22d</w:t>
            </w:r>
            <w:r>
              <w:rPr>
                <w:b/>
                <w:bCs/>
                <w:i w:val="false"/>
                <w:iCs w:val="false"/>
                <w:color w:val="222629"/>
                <w:sz w:val="18"/>
                <w:szCs w:val="18"/>
              </w:rPr>
              <w:br/>
              <w:t xml:space="preserve"/>
            </w:r>
            <w:r>
              <w:rPr>
                <w:b w:val="false"/>
                <w:bCs w:val="false"/>
                <w:i/>
                <w:iCs/>
                <w:color w:val="0F6E6E"/>
                <w:sz w:val="18"/>
                <w:szCs w:val="18"/>
              </w:rPr>
              <w:t xml:space="preserve">new</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Before any data reaches the insurer, the customer MUST be shown on their own device the legal entity name of the insurer their data will be sent to, together with an instruction on how to stop the submission.</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Trigger a binding; assert a customer-device message naming the insurer is dispatched, and that the submission is held for the stated interval before proceeding.</w:t>
            </w:r>
          </w:p>
        </w:tc>
        <w:tc>
          <w:tcPr>
            <w:tcW w:type="dxa" w:w="173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bl>
    <w:p>
      <w:pPr>
        <w:spacing w:after="120"/>
      </w:pPr>
      <w:r>
        <w:t xml:space="preserve"/>
      </w:r>
    </w:p>
    <w:tbl>
      <w:tblPr>
        <w:tblW w:type="dxa" w:w="9638"/>
        <w:tblBorders>
          <w:top w:val="none" w:color="FFFFFF" w:sz="0"/>
          <w:left w:val="single" w:color="9B2226" w:sz="18"/>
          <w:bottom w:val="none" w:color="FFFFFF" w:sz="0"/>
          <w:right w:val="none" w:color="FFFFFF" w:sz="0"/>
          <w:insideH w:val="none" w:color="FFFFFF" w:sz="0"/>
          <w:insideV w:val="none" w:color="FFFFFF" w:sz="0"/>
        </w:tblBorders>
      </w:tblPr>
      <w:tblGrid>
        <w:gridCol w:w="9638"/>
      </w:tblGrid>
      <w:tr>
        <w:tc>
          <w:tcPr>
            <w:tcW w:type="dxa" w:w="9638"/>
            <w:shd w:fill="F1F5F8" w:color="auto" w:val="clear"/>
            <w:tcMar>
              <w:top w:type="dxa" w:w="140"/>
              <w:left w:type="dxa" w:w="200"/>
              <w:bottom w:type="dxa" w:w="140"/>
              <w:right w:type="dxa" w:w="200"/>
            </w:tcMar>
          </w:tcPr>
          <w:p>
            <w:pPr>
              <w:spacing w:after="60" w:before="0" w:line="276"/>
              <w:jc w:val="left"/>
            </w:pPr>
            <w:r>
              <w:rPr>
                <w:b/>
                <w:bCs/>
                <w:i w:val="false"/>
                <w:iCs w:val="false"/>
                <w:color w:val="9B2226"/>
                <w:sz w:val="20"/>
                <w:szCs w:val="20"/>
              </w:rPr>
              <w:t xml:space="preserve">CNS-R22d is the rule I expect Compliance to push on</w:t>
            </w:r>
          </w:p>
          <w:p>
            <w:pPr>
              <w:spacing w:after="0" w:before="0" w:line="276"/>
              <w:jc w:val="left"/>
            </w:pPr>
            <w:r>
              <w:rPr>
                <w:b w:val="false"/>
                <w:bCs w:val="false"/>
                <w:i w:val="false"/>
                <w:iCs w:val="false"/>
                <w:color w:val="222629"/>
                <w:sz w:val="20"/>
                <w:szCs w:val="20"/>
              </w:rPr>
              <w:t xml:space="preserve">It is the point where the design is thinnest. A named-insurer notice with a stop instruction is not the same as a fresh affirmative act, and reasonable people will differ on whether the enumerated-panel consent plus the customer’s own product selection together carry the specificity that a separate CNS-SHR capture carries today. Product’s view is that they do, because the customer selected the insurer themselves and the panel was named to them in writing at capture. If Compliance’s view is that they do not, the fallback in §9.6 costs the customer very little.</w:t>
            </w:r>
          </w:p>
        </w:tc>
      </w:tr>
    </w:tbl>
    <w:p>
      <w:pPr>
        <w:pStyle w:val="Heading2"/>
        <w:spacing w:after="120" w:before="300"/>
      </w:pPr>
      <w:r>
        <w:rPr>
          <w:b/>
          <w:bCs/>
          <w:color w:val="11304E"/>
          <w:sz w:val="24"/>
          <w:szCs w:val="24"/>
        </w:rPr>
        <w:t xml:space="preserve">9.6  If Compliance declines the panel-scoped consent</w:t>
      </w:r>
    </w:p>
    <w:p>
      <w:pPr>
        <w:spacing w:after="120" w:before="0" w:line="276"/>
        <w:jc w:val="left"/>
      </w:pPr>
      <w:r>
        <w:rPr>
          <w:b w:val="false"/>
          <w:bCs w:val="false"/>
          <w:i w:val="false"/>
          <w:iCs w:val="false"/>
          <w:color w:val="222629"/>
          <w:sz w:val="20"/>
          <w:szCs w:val="20"/>
        </w:rPr>
        <w:t xml:space="preserve">The proposal degrades gracefully, and Product will implement the fallback without further debate.</w:t>
      </w:r>
    </w:p>
    <w:p>
      <w:pPr>
        <w:pStyle w:val="ListParagraph"/>
        <w:numPr>
          <w:ilvl w:val="0"/>
          <w:numId w:val="3"/>
        </w:numPr>
        <w:spacing w:after="80" w:line="276"/>
      </w:pPr>
      <w:r>
        <w:rPr>
          <w:sz w:val="20"/>
          <w:szCs w:val="20"/>
        </w:rPr>
        <w:t xml:space="preserve">CNS-SHR reverts to capture at the point the insurer is known, with its own OTP, exactly as CNS-R22 specifies today.</w:t>
      </w:r>
    </w:p>
    <w:p>
      <w:pPr>
        <w:pStyle w:val="ListParagraph"/>
        <w:numPr>
          <w:ilvl w:val="0"/>
          <w:numId w:val="3"/>
        </w:numPr>
        <w:spacing w:after="80" w:line="276"/>
      </w:pPr>
      <w:r>
        <w:rPr>
          <w:sz w:val="20"/>
          <w:szCs w:val="20"/>
        </w:rPr>
        <w:t xml:space="preserve">That capture is merged into Ceremony 2 rather than held as a separate step at proposal — the same screen, the same OTP transaction, alongside whatever disclosures fired.</w:t>
      </w:r>
    </w:p>
    <w:p>
      <w:pPr>
        <w:pStyle w:val="ListParagraph"/>
        <w:numPr>
          <w:ilvl w:val="0"/>
          <w:numId w:val="3"/>
        </w:numPr>
        <w:spacing w:after="80" w:line="276"/>
      </w:pPr>
      <w:r>
        <w:rPr>
          <w:sz w:val="20"/>
          <w:szCs w:val="20"/>
        </w:rPr>
        <w:t xml:space="preserve">Ceremony 1 keeps CNS-DP, CNS-SOL and CNS-COM as one interaction with three separately-recorded, independently-declinable consents.</w:t>
      </w:r>
    </w:p>
    <w:p>
      <w:pPr>
        <w:spacing w:after="100"/>
      </w:pPr>
      <w:r>
        <w:t xml:space="preserve"/>
      </w:r>
    </w:p>
    <w:p>
      <w:pPr>
        <w:spacing w:after="120" w:before="0" w:line="276"/>
        <w:jc w:val="left"/>
      </w:pPr>
      <w:r>
        <w:rPr>
          <w:b/>
          <w:bCs/>
          <w:i w:val="false"/>
          <w:iCs w:val="false"/>
          <w:color w:val="222629"/>
          <w:sz w:val="20"/>
          <w:szCs w:val="20"/>
        </w:rPr>
        <w:t xml:space="preserve">Net effect of the fallback: exactly two ceremonies in every case, instead of two to four. </w:t>
      </w:r>
      <w:r>
        <w:rPr>
          <w:b w:val="false"/>
          <w:bCs w:val="false"/>
          <w:i w:val="false"/>
          <w:iCs w:val="false"/>
          <w:color w:val="222629"/>
          <w:sz w:val="20"/>
          <w:szCs w:val="20"/>
        </w:rPr>
        <w:t xml:space="preserve">That is still an improvement on the status quo, and it needs only CNS-R12a — not the panel-scoping rules. If you are minded to decline OPEN-CNS-06, please still rule on CNS-R12a, because the fallback depends on it.</w:t>
      </w:r>
    </w:p>
    <w:p>
      <w:pPr>
        <w:pStyle w:val="Heading2"/>
        <w:spacing w:after="120" w:before="300"/>
      </w:pPr>
      <w:r>
        <w:rPr>
          <w:b/>
          <w:bCs/>
          <w:color w:val="11304E"/>
          <w:sz w:val="24"/>
          <w:szCs w:val="24"/>
        </w:rPr>
        <w:t xml:space="preserve">9.7  Delivery impact</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928"/>
        <w:gridCol w:w="7710"/>
      </w:tblGrid>
      <w:tr>
        <w:trPr>
          <w:cantSplit/>
          <w:tblHeader/>
        </w:trPr>
        <w:tc>
          <w:tcPr>
            <w:tcW w:type="dxa" w:w="192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Area</w:t>
            </w:r>
          </w:p>
        </w:tc>
        <w:tc>
          <w:tcPr>
            <w:tcW w:type="dxa" w:w="771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Impact if §9 is ratified</w:t>
            </w:r>
          </w:p>
        </w:tc>
      </w:tr>
      <w:tr>
        <w:trPr>
          <w:cantSplit/>
        </w:trPr>
        <w:tc>
          <w:tcPr>
            <w:tcW w:type="dxa" w:w="192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Data model</w:t>
            </w:r>
          </w:p>
        </w:tc>
        <w:tc>
          <w:tcPr>
            <w:tcW w:type="dxa" w:w="771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None. The consent evidence record already carries statement-level identity, and reuse and supersession chains already exist. The scope-binding row is a new row type, not a schema redesign.</w:t>
            </w:r>
          </w:p>
        </w:tc>
      </w:tr>
      <w:tr>
        <w:trPr>
          <w:cantSplit/>
        </w:trPr>
        <w:tc>
          <w:tcPr>
            <w:tcW w:type="dxa" w:w="192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Consent Service</w:t>
            </w:r>
          </w:p>
        </w:tc>
        <w:tc>
          <w:tcPr>
            <w:tcW w:type="dxa" w:w="771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Small. One new operation (bind scope) and one new validation (bound insurer must match the submission target).</w:t>
            </w:r>
          </w:p>
        </w:tc>
      </w:tr>
      <w:tr>
        <w:trPr>
          <w:cantSplit/>
        </w:trPr>
        <w:tc>
          <w:tcPr>
            <w:tcW w:type="dxa" w:w="192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Journey orchestration</w:t>
            </w:r>
          </w:p>
        </w:tc>
        <w:tc>
          <w:tcPr>
            <w:tcW w:type="dxa" w:w="771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Moderate. Ceremony 2 becomes conditional, which means the journey needs to evaluate whether any disclosure fired before deciding to present it.</w:t>
            </w:r>
          </w:p>
        </w:tc>
      </w:tr>
      <w:tr>
        <w:trPr>
          <w:cantSplit/>
        </w:trPr>
        <w:tc>
          <w:tcPr>
            <w:tcW w:type="dxa" w:w="192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Reference application</w:t>
            </w:r>
          </w:p>
        </w:tc>
        <w:tc>
          <w:tcPr>
            <w:tcW w:type="dxa" w:w="771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Two screens change: SCR-06 gains the sharing statement, and the proposal step loses its consent capture. The type-level guard is unaffected — the sharing reference is still required to submit.</w:t>
            </w:r>
          </w:p>
        </w:tc>
      </w:tr>
      <w:tr>
        <w:trPr>
          <w:cantSplit/>
        </w:trPr>
        <w:tc>
          <w:tcPr>
            <w:tcW w:type="dxa" w:w="192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S05 copy deck</w:t>
            </w:r>
          </w:p>
        </w:tc>
        <w:tc>
          <w:tcPr>
            <w:tcW w:type="dxa" w:w="771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Direct dependency. The panel statement text cannot be drafted until OPEN-CNS-06 is answered, because the statement either enumerates the panel or names one insurer.</w:t>
            </w:r>
          </w:p>
        </w:tc>
      </w:tr>
      <w:tr>
        <w:trPr>
          <w:cantSplit/>
        </w:trPr>
        <w:tc>
          <w:tcPr>
            <w:tcW w:type="dxa" w:w="192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Schedule</w:t>
            </w:r>
          </w:p>
        </w:tc>
        <w:tc>
          <w:tcPr>
            <w:tcW w:type="dxa" w:w="771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Absorbed within the current S05 window if the determination lands by 29 August. After that it becomes rework on built screens.</w:t>
            </w:r>
          </w:p>
        </w:tc>
      </w:tr>
    </w:tbl>
    <w:p>
      <w:pPr>
        <w:pStyle w:val="Heading1"/>
        <w:pageBreakBefore/>
        <w:pBdr>
          <w:bottom w:val="single" w:color="0F6E6E" w:sz="8" w:space="6"/>
        </w:pBdr>
        <w:spacing w:after="160" w:before="0"/>
      </w:pPr>
      <w:r>
        <w:rPr>
          <w:b/>
          <w:bCs/>
          <w:color w:val="11304E"/>
          <w:sz w:val="30"/>
          <w:szCs w:val="30"/>
        </w:rPr>
        <w:t xml:space="preserve">10.  Conditions, dependencies and non-waivables</w:t>
      </w:r>
    </w:p>
    <w:p>
      <w:pPr>
        <w:spacing w:after="120" w:before="0" w:line="276"/>
        <w:jc w:val="left"/>
      </w:pPr>
      <w:r>
        <w:rPr>
          <w:b w:val="false"/>
          <w:bCs w:val="false"/>
          <w:i w:val="false"/>
          <w:iCs w:val="false"/>
          <w:color w:val="222629"/>
          <w:sz w:val="20"/>
          <w:szCs w:val="20"/>
        </w:rPr>
        <w:t xml:space="preserve">Your signature on D1 and D2 does not close every obligation in the two packs. Three carry forward as conditions on later gates, and Product records them here so they are not lost in the closure of GAP-006 and GAP-007.</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4433"/>
        <w:gridCol w:w="1735"/>
        <w:gridCol w:w="1735"/>
        <w:gridCol w:w="1735"/>
      </w:tblGrid>
      <w:tr>
        <w:trPr>
          <w:cantSplit/>
          <w:tblHeader/>
        </w:trPr>
        <w:tc>
          <w:tcPr>
            <w:tcW w:type="dxa" w:w="443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Condition</w:t>
            </w:r>
          </w:p>
        </w:tc>
        <w:tc>
          <w:tcPr>
            <w:tcW w:type="dxa" w:w="173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173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Owner</w:t>
            </w:r>
          </w:p>
        </w:tc>
        <w:tc>
          <w:tcPr>
            <w:tcW w:type="dxa" w:w="173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Gate it binds</w:t>
            </w:r>
          </w:p>
        </w:tc>
      </w:tr>
      <w:tr>
        <w:trPr>
          <w:cantSplit/>
        </w:trPr>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Append-only enforced by database grant, not application code. The application role must hold no UPDATE or DELETE privilege on the consent or evaluation stores.</w:t>
            </w:r>
          </w:p>
        </w:tc>
        <w:tc>
          <w:tcPr>
            <w:tcW w:type="dxa" w:w="173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CNS-R16 – R18, SUIT-R23</w:t>
            </w:r>
          </w:p>
        </w:tc>
        <w:tc>
          <w:tcPr>
            <w:tcW w:type="dxa" w:w="173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Aarti (Database)</w:t>
            </w:r>
          </w:p>
        </w:tc>
        <w:tc>
          <w:tcPr>
            <w:tcW w:type="dxa" w:w="173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S09</w:t>
            </w:r>
          </w:p>
        </w:tc>
      </w:tr>
      <w:tr>
        <w:trPr>
          <w:cantSplit/>
        </w:trPr>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Write-once retention for seven years, in an AWS India region, not shortenable by application configuration. Data residency is on the non-waivable list.</w:t>
            </w:r>
          </w:p>
        </w:tc>
        <w:tc>
          <w:tcPr>
            <w:tcW w:type="dxa" w:w="173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CNS-R33 – R36, SUIT-R24</w:t>
            </w:r>
          </w:p>
        </w:tc>
        <w:tc>
          <w:tcPr>
            <w:tcW w:type="dxa" w:w="173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Deepali + Infrastructure</w:t>
            </w:r>
          </w:p>
        </w:tc>
        <w:tc>
          <w:tcPr>
            <w:tcW w:type="dxa" w:w="1735"/>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S09 — cannot be closed at S11</w:t>
            </w:r>
          </w:p>
        </w:tc>
      </w:tr>
      <w:tr>
        <w:trPr>
          <w:cantSplit/>
        </w:trPr>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100% branch coverage on the control-path code implementing the suitability gate, with no waiver available.</w:t>
            </w:r>
          </w:p>
        </w:tc>
        <w:tc>
          <w:tcPr>
            <w:tcW w:type="dxa" w:w="173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SUIT-R27</w:t>
            </w:r>
          </w:p>
        </w:tc>
        <w:tc>
          <w:tcPr>
            <w:tcW w:type="dxa" w:w="173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Swapnali (QA)</w:t>
            </w:r>
          </w:p>
        </w:tc>
        <w:tc>
          <w:tcPr>
            <w:tcW w:type="dxa" w:w="173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S08 / S11</w:t>
            </w:r>
          </w:p>
        </w:tc>
      </w:tr>
    </w:tbl>
    <w:p>
      <w:pPr>
        <w:spacing w:after="140"/>
      </w:pPr>
      <w:r>
        <w:t xml:space="preserve"/>
      </w:r>
    </w:p>
    <w:p>
      <w:pPr>
        <w:pStyle w:val="Heading3"/>
        <w:spacing w:after="100" w:before="220"/>
      </w:pPr>
      <w:r>
        <w:rPr>
          <w:b/>
          <w:bCs/>
          <w:color w:val="0F6E6E"/>
          <w:sz w:val="21"/>
          <w:szCs w:val="21"/>
        </w:rPr>
        <w:t xml:space="preserve">Other approvals still required</w:t>
      </w:r>
    </w:p>
    <w:p>
      <w:pPr>
        <w:spacing w:after="120" w:before="0" w:line="276"/>
        <w:jc w:val="left"/>
      </w:pPr>
      <w:r>
        <w:rPr>
          <w:b w:val="false"/>
          <w:bCs w:val="false"/>
          <w:i w:val="false"/>
          <w:iCs w:val="false"/>
          <w:color w:val="222629"/>
          <w:sz w:val="20"/>
          <w:szCs w:val="20"/>
        </w:rPr>
        <w:t xml:space="preserve">Compliance ratification is necessary and not sufficient. The following are outstanding and are being pursued in parallel; none of them blocks your signature.</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2313"/>
        <w:gridCol w:w="5590"/>
        <w:gridCol w:w="1735"/>
      </w:tblGrid>
      <w:tr>
        <w:trPr>
          <w:cantSplit/>
          <w:tblHeader/>
        </w:trPr>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Approver</w:t>
            </w:r>
          </w:p>
        </w:tc>
        <w:tc>
          <w:tcPr>
            <w:tcW w:type="dxa" w:w="559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Scope of their conclusion</w:t>
            </w:r>
          </w:p>
        </w:tc>
        <w:tc>
          <w:tcPr>
            <w:tcW w:type="dxa" w:w="173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Status</w:t>
            </w:r>
          </w:p>
        </w:tc>
      </w:tr>
      <w:tr>
        <w:trPr>
          <w:cantSplit/>
        </w:trPr>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Deepali — Security (Board 4)</w:t>
            </w:r>
          </w:p>
        </w:tc>
        <w:tc>
          <w:tcPr>
            <w:tcW w:type="dxa" w:w="559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OTP handling, confidentiality of IP address and SP licence identifiers, security-event routing (CNS-R38), server-side enforcement and fail-closed behaviour (SUIT-R25, R26, R40)</w:t>
            </w:r>
          </w:p>
        </w:tc>
        <w:tc>
          <w:tcPr>
            <w:tcW w:type="dxa" w:w="173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Pending</w:t>
            </w:r>
          </w:p>
        </w:tc>
      </w:tr>
      <w:tr>
        <w:trPr>
          <w:cantSplit/>
        </w:trPr>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Aarti — Database</w:t>
            </w:r>
          </w:p>
        </w:tc>
        <w:tc>
          <w:tcPr>
            <w:tcW w:type="dxa" w:w="559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Append-only enforcement by grant for both stores</w:t>
            </w:r>
          </w:p>
        </w:tc>
        <w:tc>
          <w:tcPr>
            <w:tcW w:type="dxa" w:w="173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Pending</w:t>
            </w:r>
          </w:p>
        </w:tc>
      </w:tr>
      <w:tr>
        <w:trPr>
          <w:cantSplit/>
        </w:trPr>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Swapnali — QA (Board 5)</w:t>
            </w:r>
          </w:p>
        </w:tc>
        <w:tc>
          <w:tcPr>
            <w:tcW w:type="dxa" w:w="559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every rule’s test is executable as written, and that the seven SUIT-R20 refusal cases are automatable</w:t>
            </w:r>
          </w:p>
        </w:tc>
        <w:tc>
          <w:tcPr>
            <w:tcW w:type="dxa" w:w="173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Pending</w:t>
            </w:r>
          </w:p>
        </w:tc>
      </w:tr>
      <w:tr>
        <w:trPr>
          <w:cantSplit/>
        </w:trPr>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Mahesh — Architecture (Board 1)</w:t>
            </w:r>
          </w:p>
        </w:tc>
        <w:tc>
          <w:tcPr>
            <w:tcW w:type="dxa" w:w="559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Gate placement at the quote API boundary and the service-availability coupling implied by SUIT-R26</w:t>
            </w:r>
          </w:p>
        </w:tc>
        <w:tc>
          <w:tcPr>
            <w:tcW w:type="dxa" w:w="173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Pending</w:t>
            </w:r>
          </w:p>
        </w:tc>
      </w:tr>
    </w:tbl>
    <w:p>
      <w:pPr>
        <w:pStyle w:val="Heading1"/>
        <w:pBdr>
          <w:bottom w:val="single" w:color="0F6E6E" w:sz="8" w:space="6"/>
        </w:pBdr>
        <w:spacing w:after="160" w:before="400"/>
      </w:pPr>
      <w:r>
        <w:rPr>
          <w:b/>
          <w:bCs/>
          <w:color w:val="11304E"/>
          <w:sz w:val="30"/>
          <w:szCs w:val="30"/>
        </w:rPr>
        <w:t xml:space="preserve">11.  What happens after signature</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867"/>
        <w:gridCol w:w="5108"/>
        <w:gridCol w:w="2120"/>
        <w:gridCol w:w="1543"/>
      </w:tblGrid>
      <w:tr>
        <w:trPr>
          <w:cantSplit/>
          <w:tblHeader/>
        </w:trPr>
        <w:tc>
          <w:tcPr>
            <w:tcW w:type="dxa" w:w="867"/>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Step</w:t>
            </w:r>
          </w:p>
        </w:tc>
        <w:tc>
          <w:tcPr>
            <w:tcW w:type="dxa" w:w="510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Action</w:t>
            </w:r>
          </w:p>
        </w:tc>
        <w:tc>
          <w:tcPr>
            <w:tcW w:type="dxa" w:w="212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Owner</w:t>
            </w:r>
          </w:p>
        </w:tc>
        <w:tc>
          <w:tcPr>
            <w:tcW w:type="dxa" w:w="154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Timing</w:t>
            </w:r>
          </w:p>
        </w:tc>
      </w:tr>
      <w:tr>
        <w:trPr>
          <w:cantSplit/>
        </w:trPr>
        <w:tc>
          <w:tcPr>
            <w:tcW w:type="dxa" w:w="86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1</w:t>
            </w:r>
          </w:p>
        </w:tc>
        <w:tc>
          <w:tcPr>
            <w:tcW w:type="dxa" w:w="510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Schedules A and B returned with a decision recorded against every row</w:t>
            </w:r>
          </w:p>
        </w:tc>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Shailja</w:t>
            </w:r>
          </w:p>
        </w:tc>
        <w:tc>
          <w:tcPr>
            <w:tcW w:type="dxa" w:w="154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By 29 Aug 2026</w:t>
            </w:r>
          </w:p>
        </w:tc>
      </w:tr>
      <w:tr>
        <w:trPr>
          <w:cantSplit/>
        </w:trPr>
        <w:tc>
          <w:tcPr>
            <w:tcW w:type="dxa" w:w="86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2</w:t>
            </w:r>
          </w:p>
        </w:tc>
        <w:tc>
          <w:tcPr>
            <w:tcW w:type="dxa" w:w="510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Any amendments incorporated; packs reissued as v1.1 with a change log naming the amending authority</w:t>
            </w:r>
          </w:p>
        </w:tc>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Rajal</w:t>
            </w:r>
          </w:p>
        </w:tc>
        <w:tc>
          <w:tcPr>
            <w:tcW w:type="dxa" w:w="154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Within 2 working days of return</w:t>
            </w:r>
          </w:p>
        </w:tc>
      </w:tr>
      <w:tr>
        <w:trPr>
          <w:cantSplit/>
        </w:trPr>
        <w:tc>
          <w:tcPr>
            <w:tcW w:type="dxa" w:w="86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3</w:t>
            </w:r>
          </w:p>
        </w:tc>
        <w:tc>
          <w:tcPr>
            <w:tcW w:type="dxa" w:w="510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GAP-006 and GAP-007 moved from content-complete, ratification-pending to Closed in the gap register</w:t>
            </w:r>
          </w:p>
        </w:tc>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Rajal</w:t>
            </w:r>
          </w:p>
        </w:tc>
        <w:tc>
          <w:tcPr>
            <w:tcW w:type="dxa" w:w="154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Same day as v1.1</w:t>
            </w:r>
          </w:p>
        </w:tc>
      </w:tr>
      <w:tr>
        <w:trPr>
          <w:cantSplit/>
        </w:trPr>
        <w:tc>
          <w:tcPr>
            <w:tcW w:type="dxa" w:w="86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4</w:t>
            </w:r>
          </w:p>
        </w:tc>
        <w:tc>
          <w:tcPr>
            <w:tcW w:type="dxa" w:w="510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S02-G3 and S02-G4 evidence rows completed at E2 and attached to the S02 evidence table</w:t>
            </w:r>
          </w:p>
        </w:tc>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Kalpana</w:t>
            </w:r>
          </w:p>
        </w:tc>
        <w:tc>
          <w:tcPr>
            <w:tcW w:type="dxa" w:w="154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Same week</w:t>
            </w:r>
          </w:p>
        </w:tc>
      </w:tr>
      <w:tr>
        <w:trPr>
          <w:cantSplit/>
        </w:trPr>
        <w:tc>
          <w:tcPr>
            <w:tcW w:type="dxa" w:w="86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5</w:t>
            </w:r>
          </w:p>
        </w:tc>
        <w:tc>
          <w:tcPr>
            <w:tcW w:type="dxa" w:w="510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Service and Suitability Service released from the build freeze into construction</w:t>
            </w:r>
          </w:p>
        </w:tc>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Amit + Mahesh</w:t>
            </w:r>
          </w:p>
        </w:tc>
        <w:tc>
          <w:tcPr>
            <w:tcW w:type="dxa" w:w="154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 S02 gate transition</w:t>
            </w:r>
          </w:p>
        </w:tc>
      </w:tr>
      <w:tr>
        <w:trPr>
          <w:cantSplit/>
        </w:trPr>
        <w:tc>
          <w:tcPr>
            <w:tcW w:type="dxa" w:w="86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6</w:t>
            </w:r>
          </w:p>
        </w:tc>
        <w:tc>
          <w:tcPr>
            <w:tcW w:type="dxa" w:w="510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Statement and disclosure wording drafted against the ratified structure and folded into the S05 copy deck</w:t>
            </w:r>
          </w:p>
        </w:tc>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Shailja + Legal, with Product</w:t>
            </w:r>
          </w:p>
        </w:tc>
        <w:tc>
          <w:tcPr>
            <w:tcW w:type="dxa" w:w="154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S05</w:t>
            </w:r>
          </w:p>
        </w:tc>
      </w:tr>
      <w:tr>
        <w:trPr>
          <w:cantSplit/>
        </w:trPr>
        <w:tc>
          <w:tcPr>
            <w:tcW w:type="dxa" w:w="86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7</w:t>
            </w:r>
          </w:p>
        </w:tc>
        <w:tc>
          <w:tcPr>
            <w:tcW w:type="dxa" w:w="510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Rules re-proven as executed evidence (E3 / E4) in CI at S11</w:t>
            </w:r>
          </w:p>
        </w:tc>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Swapnali</w:t>
            </w:r>
          </w:p>
        </w:tc>
        <w:tc>
          <w:tcPr>
            <w:tcW w:type="dxa" w:w="154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S11</w:t>
            </w:r>
          </w:p>
        </w:tc>
      </w:tr>
    </w:tbl>
    <w:p>
      <w:pPr>
        <w:spacing w:after="120"/>
      </w:pPr>
      <w:r>
        <w:t xml:space="preserve"/>
      </w:r>
    </w:p>
    <w:tbl>
      <w:tblPr>
        <w:tblW w:type="dxa" w:w="9638"/>
        <w:tblBorders>
          <w:top w:val="none" w:color="FFFFFF" w:sz="0"/>
          <w:left w:val="single" w:color="0F6E6E" w:sz="18"/>
          <w:bottom w:val="none" w:color="FFFFFF" w:sz="0"/>
          <w:right w:val="none" w:color="FFFFFF" w:sz="0"/>
          <w:insideH w:val="none" w:color="FFFFFF" w:sz="0"/>
          <w:insideV w:val="none" w:color="FFFFFF" w:sz="0"/>
        </w:tblBorders>
      </w:tblPr>
      <w:tblGrid>
        <w:gridCol w:w="9638"/>
      </w:tblGrid>
      <w:tr>
        <w:tc>
          <w:tcPr>
            <w:tcW w:type="dxa" w:w="9638"/>
            <w:shd w:fill="F1F5F8" w:color="auto" w:val="clear"/>
            <w:tcMar>
              <w:top w:type="dxa" w:w="140"/>
              <w:left w:type="dxa" w:w="200"/>
              <w:bottom w:type="dxa" w:w="140"/>
              <w:right w:type="dxa" w:w="200"/>
            </w:tcMar>
          </w:tcPr>
          <w:p>
            <w:pPr>
              <w:spacing w:after="60" w:before="0" w:line="276"/>
              <w:jc w:val="left"/>
            </w:pPr>
            <w:r>
              <w:rPr>
                <w:b/>
                <w:bCs/>
                <w:i w:val="false"/>
                <w:iCs w:val="false"/>
                <w:color w:val="0F6E6E"/>
                <w:sz w:val="20"/>
                <w:szCs w:val="20"/>
              </w:rPr>
              <w:t xml:space="preserve">One procedural point</w:t>
            </w:r>
          </w:p>
          <w:p>
            <w:pPr>
              <w:spacing w:after="0" w:before="0" w:line="276"/>
              <w:jc w:val="left"/>
            </w:pPr>
            <w:r>
              <w:rPr>
                <w:b w:val="false"/>
                <w:bCs w:val="false"/>
                <w:i w:val="false"/>
                <w:iCs w:val="false"/>
                <w:color w:val="222629"/>
                <w:sz w:val="20"/>
                <w:szCs w:val="20"/>
              </w:rPr>
              <w:t xml:space="preserve">Under the gate model, an AI agent may mark a gate CANDIDATE with a full evidence table but may never mark it PASSED, and may never edit the current-state file. Steps 4 and 5 above require Mahesh and Rajal jointly, as humans. This pack does not shortcut that.</w:t>
            </w:r>
          </w:p>
        </w:tc>
      </w:tr>
    </w:tbl>
    <w:p>
      <w:pPr>
        <w:pStyle w:val="Heading1"/>
        <w:pageBreakBefore/>
        <w:pBdr>
          <w:bottom w:val="single" w:color="0F6E6E" w:sz="8" w:space="6"/>
        </w:pBdr>
        <w:spacing w:after="160" w:before="0"/>
      </w:pPr>
      <w:r>
        <w:rPr>
          <w:b/>
          <w:bCs/>
          <w:color w:val="11304E"/>
          <w:sz w:val="30"/>
          <w:szCs w:val="30"/>
        </w:rPr>
        <w:t xml:space="preserve">12.  Sign-off sheet</w:t>
      </w:r>
    </w:p>
    <w:p>
      <w:pPr>
        <w:spacing w:after="120" w:before="0" w:line="276"/>
        <w:jc w:val="left"/>
      </w:pPr>
      <w:r>
        <w:rPr>
          <w:b w:val="false"/>
          <w:bCs w:val="false"/>
          <w:i w:val="false"/>
          <w:iCs w:val="false"/>
          <w:color w:val="222629"/>
          <w:sz w:val="20"/>
          <w:szCs w:val="20"/>
        </w:rPr>
        <w:t xml:space="preserve">Signature here records a conclusion on the pack as a whole. Section-level conclusions belong in Schedules A and B, which form part of this signature.</w:t>
      </w:r>
    </w:p>
    <w:p>
      <w:pPr>
        <w:spacing w:after="100"/>
      </w:pPr>
      <w:r>
        <w:t xml:space="preserve"/>
      </w:r>
    </w:p>
    <w:p>
      <w:pPr>
        <w:pStyle w:val="Heading3"/>
        <w:spacing w:after="100" w:before="220"/>
      </w:pPr>
      <w:r>
        <w:rPr>
          <w:b/>
          <w:bCs/>
          <w:color w:val="0F6E6E"/>
          <w:sz w:val="21"/>
          <w:szCs w:val="21"/>
        </w:rPr>
        <w:t xml:space="preserve">Primary decision — human signature mandatory</w:t>
      </w:r>
    </w:p>
    <w:tbl>
      <w:tblPr>
        <w:tblW w:type="dxa" w:w="9638"/>
        <w:tblBorders>
          <w:top w:val="single" w:color="C7D2DC" w:sz="4"/>
          <w:left w:val="single" w:color="C7D2DC" w:sz="4"/>
          <w:bottom w:val="single" w:color="C7D2DC" w:sz="4"/>
          <w:right w:val="single" w:color="C7D2DC" w:sz="4"/>
          <w:insideH w:val="single" w:color="C7D2DC" w:sz="4"/>
          <w:insideV w:val="single" w:color="C7D2DC" w:sz="4"/>
        </w:tblBorders>
      </w:tblPr>
      <w:tblGrid>
        <w:gridCol w:w="2506"/>
        <w:gridCol w:w="7132"/>
      </w:tblGrid>
      <w:tr>
        <w:trPr>
          <w:cantSplit/>
        </w:trPr>
        <w:tc>
          <w:tcPr>
            <w:tcW w:type="dxa" w:w="2506"/>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Compliance &amp; Risk, Board 6</w:t>
            </w:r>
          </w:p>
        </w:tc>
        <w:tc>
          <w:tcPr>
            <w:tcW w:type="dxa" w:w="7132"/>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Shailja S — Compliance &amp; Risk Head</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Scope of 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Regulatory permissibility of both packs; statement wording basis; sequencing; retention basis; the ten open determinations in §8; the consent-consolidation proposal in §9 (OPEN-CNS-06, OPEN-CNS-07).</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Ratified as drafted</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Ratified with the amendments recorded in Schedules A and B</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Not ratified — reasons recorded below</w:t>
            </w:r>
          </w:p>
        </w:tc>
      </w:tr>
      <w:tr>
        <w:trPr>
          <w:cantSplit/>
          <w:trHeight w:val="13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Amendments and conditions</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9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Signature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5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Date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bl>
    <w:p>
      <w:r>
        <w:br w:type="page"/>
      </w:r>
    </w:p>
    <w:p>
      <w:pPr>
        <w:pStyle w:val="Heading3"/>
        <w:spacing w:after="100" w:before="220"/>
      </w:pPr>
      <w:r>
        <w:rPr>
          <w:b/>
          <w:bCs/>
          <w:color w:val="0F6E6E"/>
          <w:sz w:val="21"/>
          <w:szCs w:val="21"/>
        </w:rPr>
        <w:t xml:space="preserve">Supporting conclusions</w:t>
      </w:r>
    </w:p>
    <w:tbl>
      <w:tblPr>
        <w:tblW w:type="dxa" w:w="9638"/>
        <w:tblBorders>
          <w:top w:val="single" w:color="C7D2DC" w:sz="4"/>
          <w:left w:val="single" w:color="C7D2DC" w:sz="4"/>
          <w:bottom w:val="single" w:color="C7D2DC" w:sz="4"/>
          <w:right w:val="single" w:color="C7D2DC" w:sz="4"/>
          <w:insideH w:val="single" w:color="C7D2DC" w:sz="4"/>
          <w:insideV w:val="single" w:color="C7D2DC" w:sz="4"/>
        </w:tblBorders>
      </w:tblPr>
      <w:tblGrid>
        <w:gridCol w:w="2506"/>
        <w:gridCol w:w="7132"/>
      </w:tblGrid>
      <w:tr>
        <w:trPr>
          <w:cantSplit/>
        </w:trPr>
        <w:tc>
          <w:tcPr>
            <w:tcW w:type="dxa" w:w="2506"/>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Security, Board 4</w:t>
            </w:r>
          </w:p>
        </w:tc>
        <w:tc>
          <w:tcPr>
            <w:tcW w:type="dxa" w:w="7132"/>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Deepali</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Scope of 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CNS-R10 – R15, CNS-R20, CNS-R38, SUIT-R25, SUIT-R26, SUIT-R40.</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Ratified as drafted</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Ratified with the amendments recorded in Schedules A and B</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Not ratified — reasons recorded below</w:t>
            </w:r>
          </w:p>
        </w:tc>
      </w:tr>
      <w:tr>
        <w:trPr>
          <w:cantSplit/>
          <w:trHeight w:val="13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Amendments and conditions</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9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Signature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5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Date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bl>
    <w:p>
      <w:pPr>
        <w:spacing w:after="140"/>
      </w:pPr>
      <w:r>
        <w:t xml:space="preserve"/>
      </w:r>
    </w:p>
    <w:tbl>
      <w:tblPr>
        <w:tblW w:type="dxa" w:w="9638"/>
        <w:tblBorders>
          <w:top w:val="single" w:color="C7D2DC" w:sz="4"/>
          <w:left w:val="single" w:color="C7D2DC" w:sz="4"/>
          <w:bottom w:val="single" w:color="C7D2DC" w:sz="4"/>
          <w:right w:val="single" w:color="C7D2DC" w:sz="4"/>
          <w:insideH w:val="single" w:color="C7D2DC" w:sz="4"/>
          <w:insideV w:val="single" w:color="C7D2DC" w:sz="4"/>
        </w:tblBorders>
      </w:tblPr>
      <w:tblGrid>
        <w:gridCol w:w="2506"/>
        <w:gridCol w:w="7132"/>
      </w:tblGrid>
      <w:tr>
        <w:trPr>
          <w:cantSplit/>
        </w:trPr>
        <w:tc>
          <w:tcPr>
            <w:tcW w:type="dxa" w:w="2506"/>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Database</w:t>
            </w:r>
          </w:p>
        </w:tc>
        <w:tc>
          <w:tcPr>
            <w:tcW w:type="dxa" w:w="7132"/>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Aarti</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Scope of 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CNS-R16 – R18, SUIT-R23 — append-only enforced by grant.</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Ratified as drafted</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Ratified with the amendments recorded in Schedules A and B</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Not ratified — reasons recorded below</w:t>
            </w:r>
          </w:p>
        </w:tc>
      </w:tr>
      <w:tr>
        <w:trPr>
          <w:cantSplit/>
          <w:trHeight w:val="13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Amendments and conditions</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9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Signature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5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Date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bl>
    <w:p>
      <w:pPr>
        <w:spacing w:after="140"/>
      </w:pPr>
      <w:r>
        <w:t xml:space="preserve"/>
      </w:r>
    </w:p>
    <w:tbl>
      <w:tblPr>
        <w:tblW w:type="dxa" w:w="9638"/>
        <w:tblBorders>
          <w:top w:val="single" w:color="C7D2DC" w:sz="4"/>
          <w:left w:val="single" w:color="C7D2DC" w:sz="4"/>
          <w:bottom w:val="single" w:color="C7D2DC" w:sz="4"/>
          <w:right w:val="single" w:color="C7D2DC" w:sz="4"/>
          <w:insideH w:val="single" w:color="C7D2DC" w:sz="4"/>
          <w:insideV w:val="single" w:color="C7D2DC" w:sz="4"/>
        </w:tblBorders>
      </w:tblPr>
      <w:tblGrid>
        <w:gridCol w:w="2506"/>
        <w:gridCol w:w="7132"/>
      </w:tblGrid>
      <w:tr>
        <w:trPr>
          <w:cantSplit/>
        </w:trPr>
        <w:tc>
          <w:tcPr>
            <w:tcW w:type="dxa" w:w="2506"/>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QA, Board 5</w:t>
            </w:r>
          </w:p>
        </w:tc>
        <w:tc>
          <w:tcPr>
            <w:tcW w:type="dxa" w:w="7132"/>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Swapnali</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Scope of 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Executability of every rule test; SUIT-R27 100% branch coverage; the seven §6.2 refusal cases.</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Ratified as drafted</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Ratified with the amendments recorded in Schedules A and B</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Not ratified — reasons recorded below</w:t>
            </w:r>
          </w:p>
        </w:tc>
      </w:tr>
      <w:tr>
        <w:trPr>
          <w:cantSplit/>
          <w:trHeight w:val="13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Amendments and conditions</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9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Signature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5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Date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bl>
    <w:p>
      <w:pPr>
        <w:spacing w:after="140"/>
      </w:pPr>
      <w:r>
        <w:t xml:space="preserve"/>
      </w:r>
    </w:p>
    <w:tbl>
      <w:tblPr>
        <w:tblW w:type="dxa" w:w="9638"/>
        <w:tblBorders>
          <w:top w:val="single" w:color="C7D2DC" w:sz="4"/>
          <w:left w:val="single" w:color="C7D2DC" w:sz="4"/>
          <w:bottom w:val="single" w:color="C7D2DC" w:sz="4"/>
          <w:right w:val="single" w:color="C7D2DC" w:sz="4"/>
          <w:insideH w:val="single" w:color="C7D2DC" w:sz="4"/>
          <w:insideV w:val="single" w:color="C7D2DC" w:sz="4"/>
        </w:tblBorders>
      </w:tblPr>
      <w:tblGrid>
        <w:gridCol w:w="2506"/>
        <w:gridCol w:w="7132"/>
      </w:tblGrid>
      <w:tr>
        <w:trPr>
          <w:cantSplit/>
        </w:trPr>
        <w:tc>
          <w:tcPr>
            <w:tcW w:type="dxa" w:w="2506"/>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Architecture, Board 1</w:t>
            </w:r>
          </w:p>
        </w:tc>
        <w:tc>
          <w:tcPr>
            <w:tcW w:type="dxa" w:w="7132"/>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Mahesh</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Scope of 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Gate placement at the quote API boundary; availability coupling implied by SUIT-R26.</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Ratified as drafted</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Ratified with the amendments recorded in Schedules A and B</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Not ratified — reasons recorded below</w:t>
            </w:r>
          </w:p>
        </w:tc>
      </w:tr>
      <w:tr>
        <w:trPr>
          <w:cantSplit/>
          <w:trHeight w:val="13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Amendments and conditions</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9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Signature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5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Date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bl>
    <w:p>
      <w:pPr>
        <w:spacing w:after="200"/>
      </w:pPr>
      <w:r>
        <w:t xml:space="preserve"/>
      </w:r>
    </w:p>
    <w:tbl>
      <w:tblPr>
        <w:tblW w:type="dxa" w:w="9638"/>
        <w:tblBorders>
          <w:top w:val="none" w:color="FFFFFF" w:sz="0"/>
          <w:left w:val="single" w:color="11304E" w:sz="18"/>
          <w:bottom w:val="none" w:color="FFFFFF" w:sz="0"/>
          <w:right w:val="none" w:color="FFFFFF" w:sz="0"/>
          <w:insideH w:val="none" w:color="FFFFFF" w:sz="0"/>
          <w:insideV w:val="none" w:color="FFFFFF" w:sz="0"/>
        </w:tblBorders>
      </w:tblPr>
      <w:tblGrid>
        <w:gridCol w:w="9638"/>
      </w:tblGrid>
      <w:tr>
        <w:tc>
          <w:tcPr>
            <w:tcW w:type="dxa" w:w="9638"/>
            <w:shd w:fill="F1F5F8" w:color="auto" w:val="clear"/>
            <w:tcMar>
              <w:top w:type="dxa" w:w="140"/>
              <w:left w:type="dxa" w:w="200"/>
              <w:bottom w:type="dxa" w:w="140"/>
              <w:right w:type="dxa" w:w="200"/>
            </w:tcMar>
          </w:tcPr>
          <w:p>
            <w:pPr>
              <w:spacing w:after="60" w:before="0" w:line="276"/>
              <w:jc w:val="left"/>
            </w:pPr>
            <w:r>
              <w:rPr>
                <w:b/>
                <w:bCs/>
                <w:i w:val="false"/>
                <w:iCs w:val="false"/>
                <w:color w:val="11304E"/>
                <w:sz w:val="20"/>
                <w:szCs w:val="20"/>
              </w:rPr>
              <w:t xml:space="preserve">Recorded position of the author</w:t>
            </w:r>
          </w:p>
          <w:p>
            <w:pPr>
              <w:spacing w:after="0" w:before="0" w:line="276"/>
              <w:jc w:val="left"/>
            </w:pPr>
            <w:r>
              <w:rPr>
                <w:b w:val="false"/>
                <w:bCs w:val="false"/>
                <w:i w:val="false"/>
                <w:iCs w:val="false"/>
                <w:color w:val="222629"/>
                <w:sz w:val="20"/>
                <w:szCs w:val="20"/>
              </w:rPr>
              <w:t xml:space="preserve">Product has approved both packs as drafted for everything within Product’s authority — business behaviour, journey blocking effects, failure experience, reuse policy, question set, outcome semantics, divergence and replacement handling. Rajal, Principal Insurance Platform Product Owner, 17 August 2026. Silence from Compliance does not approve either pack.</w:t>
            </w:r>
          </w:p>
        </w:tc>
      </w:tr>
    </w:tbl>
    <w:p>
      <w:pPr>
        <w:pStyle w:val="Heading1"/>
        <w:pageBreakBefore/>
        <w:pBdr>
          <w:bottom w:val="single" w:color="0F6E6E" w:sz="8" w:space="6"/>
        </w:pBdr>
        <w:spacing w:after="160" w:before="0"/>
      </w:pPr>
      <w:r>
        <w:rPr>
          <w:b/>
          <w:bCs/>
          <w:color w:val="11304E"/>
          <w:sz w:val="30"/>
          <w:szCs w:val="30"/>
        </w:rPr>
        <w:t xml:space="preserve">Appendix A — Rule index</w:t>
      </w:r>
    </w:p>
    <w:p>
      <w:pPr>
        <w:spacing w:after="120" w:before="0" w:line="276"/>
        <w:jc w:val="left"/>
      </w:pPr>
      <w:r>
        <w:rPr>
          <w:b w:val="false"/>
          <w:bCs w:val="false"/>
          <w:i/>
          <w:iCs/>
          <w:color w:val="5A6570"/>
          <w:sz w:val="20"/>
          <w:szCs w:val="20"/>
        </w:rPr>
        <w:t xml:space="preserve">A navigation aid only. The rules themselves, with their tests and enforcement points, are in the two packs.</w:t>
      </w:r>
    </w:p>
    <w:p>
      <w:pPr>
        <w:pStyle w:val="Heading3"/>
        <w:spacing w:after="100" w:before="220"/>
      </w:pPr>
      <w:r>
        <w:rPr>
          <w:b/>
          <w:bCs/>
          <w:color w:val="0F6E6E"/>
          <w:sz w:val="21"/>
          <w:szCs w:val="21"/>
        </w:rPr>
        <w:t xml:space="preserve">Consent Rule Pack — CONSENT-PACK-v1.0</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638"/>
        <w:gridCol w:w="4241"/>
        <w:gridCol w:w="2313"/>
        <w:gridCol w:w="1446"/>
      </w:tblGrid>
      <w:tr>
        <w:trPr>
          <w:cantSplit/>
          <w:tblHeader/>
        </w:trPr>
        <w:tc>
          <w:tcPr>
            <w:tcW w:type="dxa" w:w="163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Range</w:t>
            </w:r>
          </w:p>
        </w:tc>
        <w:tc>
          <w:tcPr>
            <w:tcW w:type="dxa" w:w="424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Subject</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Enforced at</w:t>
            </w:r>
          </w:p>
        </w:tc>
        <w:tc>
          <w:tcPr>
            <w:tcW w:type="dxa" w:w="1446"/>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Proven at</w:t>
            </w:r>
          </w:p>
        </w:tc>
      </w:tr>
      <w:tr>
        <w:trPr>
          <w:cantSplit/>
        </w:trPr>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CNS-R01 – R09</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Statement identity, immutability, version classification, in-flight version change, language</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Config store, data store, journey orchestration, UI</w:t>
            </w:r>
          </w:p>
        </w:tc>
        <w:tc>
          <w:tcPr>
            <w:tcW w:type="dxa" w:w="144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S11</w:t>
            </w:r>
          </w:p>
        </w:tc>
      </w:tr>
      <w:tr>
        <w:trPr>
          <w:cantSplit/>
        </w:trPr>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CNS-R10 – R15</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OTP capture, CBS-registered destination, no pre-ticked control, no RM entry of a customer OTP, validity and attempt limits</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API, UI</w:t>
            </w:r>
          </w:p>
        </w:tc>
        <w:tc>
          <w:tcPr>
            <w:tcW w:type="dxa" w:w="144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S11</w:t>
            </w:r>
          </w:p>
        </w:tc>
      </w:tr>
      <w:tr>
        <w:trPr>
          <w:cantSplit/>
        </w:trPr>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CNS-R16 – R20</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Append-only store, state change as a new row, chain retrieval, no Restricted or Confidential field in logs</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Data store grants, logging framework</w:t>
            </w:r>
          </w:p>
        </w:tc>
        <w:tc>
          <w:tcPr>
            <w:tcW w:type="dxa" w:w="144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S11 / S12</w:t>
            </w:r>
          </w:p>
        </w:tc>
      </w:tr>
      <w:tr>
        <w:trPr>
          <w:cantSplit/>
        </w:trPr>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CNS-R21 – R26</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Validity windows, insurer scoping, no reuse across CIF, reuse across journeys, re-consent chaining</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API, journey orchestration</w:t>
            </w:r>
          </w:p>
        </w:tc>
        <w:tc>
          <w:tcPr>
            <w:tcW w:type="dxa" w:w="144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S11</w:t>
            </w:r>
          </w:p>
        </w:tc>
      </w:tr>
      <w:tr>
        <w:trPr>
          <w:cantSplit/>
        </w:trPr>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CNS-R27 – R32</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Withdrawal on the same OTP terms, journey halt, honest handling of post-submission withdrawal, evidence retained</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API, UI, notification service, operations</w:t>
            </w:r>
          </w:p>
        </w:tc>
        <w:tc>
          <w:tcPr>
            <w:tcW w:type="dxa" w:w="144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S11</w:t>
            </w:r>
          </w:p>
        </w:tc>
      </w:tr>
      <w:tr>
        <w:trPr>
          <w:cantSplit/>
        </w:trPr>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CNS-R33 – R36</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Seven-year retention, write-once storage, India region, retrieval service levels, retention not shortenable by config</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Infrastructure, operations runbook</w:t>
            </w:r>
          </w:p>
        </w:tc>
        <w:tc>
          <w:tcPr>
            <w:tcW w:type="dxa" w:w="1446"/>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S09</w:t>
            </w:r>
          </w:p>
        </w:tc>
      </w:tr>
      <w:tr>
        <w:trPr>
          <w:cantSplit/>
        </w:trPr>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CNS-R37 – R38</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Fail-closed capture, subject mismatch as a security event</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API, security monitoring</w:t>
            </w:r>
          </w:p>
        </w:tc>
        <w:tc>
          <w:tcPr>
            <w:tcW w:type="dxa" w:w="144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S11</w:t>
            </w:r>
          </w:p>
        </w:tc>
      </w:tr>
      <w:tr>
        <w:trPr>
          <w:cantSplit/>
        </w:trPr>
        <w:tc>
          <w:tcPr>
            <w:tcW w:type="dxa" w:w="1638"/>
            <w:shd w:fill="F1F5F8" w:color="auto" w:val="clear"/>
            <w:tcMar>
              <w:top w:type="dxa" w:w="90"/>
              <w:left w:type="dxa" w:w="130"/>
              <w:bottom w:type="dxa" w:w="90"/>
              <w:right w:type="dxa" w:w="130"/>
            </w:tcMar>
            <w:vAlign w:val="top"/>
          </w:tcPr>
          <w:p>
            <w:pPr>
              <w:spacing w:after="40" w:before="40" w:line="252"/>
              <w:jc w:val="left"/>
            </w:pPr>
            <w:r>
              <w:rPr>
                <w:b/>
                <w:bCs/>
                <w:i w:val="false"/>
                <w:iCs w:val="false"/>
                <w:color w:val="0F6E6E"/>
                <w:sz w:val="18"/>
                <w:szCs w:val="18"/>
              </w:rPr>
              <w:t xml:space="preserve">Proposed in §9.5</w:t>
            </w:r>
            <w:r>
              <w:rPr>
                <w:b/>
                <w:bCs/>
                <w:i w:val="false"/>
                <w:iCs w:val="false"/>
                <w:color w:val="0F6E6E"/>
                <w:sz w:val="18"/>
                <w:szCs w:val="18"/>
              </w:rPr>
              <w:br/>
              <w:t xml:space="preserve"/>
            </w:r>
            <w:r>
              <w:rPr>
                <w:b w:val="false"/>
                <w:bCs w:val="false"/>
                <w:i w:val="false"/>
                <w:iCs w:val="false"/>
                <w:color w:val="222629"/>
                <w:sz w:val="18"/>
                <w:szCs w:val="18"/>
              </w:rPr>
              <w:t xml:space="preserve">CNS-R12a, CNS-R22 amended, CNS-R22b – R22d</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Independent declinability, panel-scoped sharing consent, single-target transmission, scope-binding record, named-insurer notice</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API, data store, UI, notification service</w:t>
            </w:r>
          </w:p>
        </w:tc>
        <w:tc>
          <w:tcPr>
            <w:tcW w:type="dxa" w:w="144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Subject to OPEN-CNS-06 / 07</w:t>
            </w:r>
          </w:p>
        </w:tc>
      </w:tr>
    </w:tbl>
    <w:p>
      <w:pPr>
        <w:spacing w:after="140"/>
      </w:pPr>
      <w:r>
        <w:t xml:space="preserve"/>
      </w:r>
    </w:p>
    <w:p>
      <w:pPr>
        <w:pStyle w:val="Heading3"/>
        <w:spacing w:after="100" w:before="220"/>
      </w:pPr>
      <w:r>
        <w:rPr>
          <w:b/>
          <w:bCs/>
          <w:color w:val="0F6E6E"/>
          <w:sz w:val="21"/>
          <w:szCs w:val="21"/>
        </w:rPr>
        <w:t xml:space="preserve">Suitability Rule Pack — SUITABILITY-PACK-v1.0</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638"/>
        <w:gridCol w:w="4241"/>
        <w:gridCol w:w="2313"/>
        <w:gridCol w:w="1446"/>
      </w:tblGrid>
      <w:tr>
        <w:trPr>
          <w:cantSplit/>
          <w:tblHeader/>
        </w:trPr>
        <w:tc>
          <w:tcPr>
            <w:tcW w:type="dxa" w:w="163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Range</w:t>
            </w:r>
          </w:p>
        </w:tc>
        <w:tc>
          <w:tcPr>
            <w:tcW w:type="dxa" w:w="424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Subject</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Enforced at</w:t>
            </w:r>
          </w:p>
        </w:tc>
        <w:tc>
          <w:tcPr>
            <w:tcW w:type="dxa" w:w="1446"/>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Proven at</w:t>
            </w:r>
          </w:p>
        </w:tc>
      </w:tr>
      <w:tr>
        <w:trPr>
          <w:cantSplit/>
        </w:trPr>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SUIT-R01 – R04</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Completeness of the twelve inputs, verbatim storage, conservative treatment of understated figures, underwriting risk flag</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API, data store</w:t>
            </w:r>
          </w:p>
        </w:tc>
        <w:tc>
          <w:tcPr>
            <w:tcW w:type="dxa" w:w="144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S11</w:t>
            </w:r>
          </w:p>
        </w:tc>
      </w:tr>
      <w:tr>
        <w:trPr>
          <w:cantSplit/>
        </w:trPr>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SUIT-R05 – R08</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Purity and reproducibility of the computation, rounding, immutable algorithm version, age eligibility</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Suitability service</w:t>
            </w:r>
          </w:p>
        </w:tc>
        <w:tc>
          <w:tcPr>
            <w:tcW w:type="dxa" w:w="144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S11</w:t>
            </w:r>
          </w:p>
        </w:tc>
      </w:tr>
      <w:tr>
        <w:trPr>
          <w:cantSplit/>
        </w:trPr>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SUIT-R09 – R19a</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Outcomes for Term, Savings/Endowment and ULIP; precedence of the most restrictive outcome; persistence of every fired reason code</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Suitability service</w:t>
            </w:r>
          </w:p>
        </w:tc>
        <w:tc>
          <w:tcPr>
            <w:tcW w:type="dxa" w:w="144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S11</w:t>
            </w:r>
          </w:p>
        </w:tc>
      </w:tr>
      <w:tr>
        <w:trPr>
          <w:cantSplit/>
        </w:trPr>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SUIT-R20 – R28</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hard gate: server-side enforcement, fail-closed, 100% branch coverage, seven refusal cases, audit event on every refusal</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Quote API</w:t>
            </w:r>
          </w:p>
        </w:tc>
        <w:tc>
          <w:tcPr>
            <w:tcW w:type="dxa" w:w="1446"/>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S11, 100% branch coverage</w:t>
            </w:r>
          </w:p>
        </w:tc>
      </w:tr>
      <w:tr>
        <w:trPr>
          <w:cantSplit/>
        </w:trPr>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SUIT-R29 – R37</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Expiry, invalidation on withdrawal or model change, supersession, protection of submitted proposals, reuse and usage recording</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Journey orchestration, suitability service</w:t>
            </w:r>
          </w:p>
        </w:tc>
        <w:tc>
          <w:tcPr>
            <w:tcW w:type="dxa" w:w="144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S11</w:t>
            </w:r>
          </w:p>
        </w:tc>
      </w:tr>
      <w:tr>
        <w:trPr>
          <w:cantSplit/>
        </w:trPr>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SUIT-R38 – R48</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 override of NOT_SUITABLE, no disable path for the gate, caution and replacement disclosures, customer-initiated deviation, model-defect route</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API, UI, change control</w:t>
            </w:r>
          </w:p>
        </w:tc>
        <w:tc>
          <w:tcPr>
            <w:tcW w:type="dxa" w:w="144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S11 / S12</w:t>
            </w:r>
          </w:p>
        </w:tc>
      </w:tr>
    </w:tbl>
    <w:p>
      <w:pPr>
        <w:pStyle w:val="Heading1"/>
        <w:pBdr>
          <w:bottom w:val="single" w:color="0F6E6E" w:sz="8" w:space="6"/>
        </w:pBdr>
        <w:spacing w:after="160" w:before="400"/>
      </w:pPr>
      <w:r>
        <w:rPr>
          <w:b/>
          <w:bCs/>
          <w:color w:val="11304E"/>
          <w:sz w:val="30"/>
          <w:szCs w:val="30"/>
        </w:rPr>
        <w:t xml:space="preserve">Appendix B — Terms used in this pack</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2313"/>
        <w:gridCol w:w="7325"/>
      </w:tblGrid>
      <w:tr>
        <w:trPr>
          <w:cantSplit/>
          <w:tblHeader/>
        </w:trPr>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Term</w:t>
            </w:r>
          </w:p>
        </w:tc>
        <w:tc>
          <w:tcPr>
            <w:tcW w:type="dxa" w:w="732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Meaning</w:t>
            </w:r>
          </w:p>
        </w:tc>
      </w:tr>
      <w:tr>
        <w:trPr>
          <w:cantSplit/>
        </w:trPr>
        <w:tc>
          <w:tcPr>
            <w:tcW w:type="dxa" w:w="231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CNS-DP / SOL / SHR / COM</w:t>
            </w:r>
          </w:p>
        </w:tc>
        <w:tc>
          <w:tcPr>
            <w:tcW w:type="dxa" w:w="732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four R0 consent events: data processing and prefill; solicitation, need analysis and suitability; sharing with the selected insurer; servicing communications.</w:t>
            </w:r>
          </w:p>
        </w:tc>
      </w:tr>
      <w:tr>
        <w:trPr>
          <w:cantSplit/>
        </w:trPr>
        <w:tc>
          <w:tcPr>
            <w:tcW w:type="dxa" w:w="231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Ceremony</w:t>
            </w:r>
          </w:p>
        </w:tc>
        <w:tc>
          <w:tcPr>
            <w:tcW w:type="dxa" w:w="732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single customer-facing interaction in which one or more statements are presented and acknowledged, verified by one OTP transaction.</w:t>
            </w:r>
          </w:p>
        </w:tc>
      </w:tr>
      <w:tr>
        <w:trPr>
          <w:cantSplit/>
        </w:trPr>
        <w:tc>
          <w:tcPr>
            <w:tcW w:type="dxa" w:w="231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Scope-binding</w:t>
            </w:r>
          </w:p>
        </w:tc>
        <w:tc>
          <w:tcPr>
            <w:tcW w:type="dxa" w:w="732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act of narrowing a panel-scoped sharing consent to one named insurer, evidenced by the customer’s own product selection. Proposed in §9.5; does not exist in the pack as drafted.</w:t>
            </w:r>
          </w:p>
        </w:tc>
      </w:tr>
      <w:tr>
        <w:trPr>
          <w:cantSplit/>
        </w:trPr>
        <w:tc>
          <w:tcPr>
            <w:tcW w:type="dxa" w:w="231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E1 / E2 / E3 / E4</w:t>
            </w:r>
          </w:p>
        </w:tc>
        <w:tc>
          <w:tcPr>
            <w:tcW w:type="dxa" w:w="732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Evidence strength: artefact exists; reviewed and signed; executed point-in-time; executed and reproducible. A definition criterion may close at E1 or E2; a behaviour criterion needs E3 or E4.</w:t>
            </w:r>
          </w:p>
        </w:tc>
      </w:tr>
      <w:tr>
        <w:trPr>
          <w:cantSplit/>
        </w:trPr>
        <w:tc>
          <w:tcPr>
            <w:tcW w:type="dxa" w:w="231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ETB</w:t>
            </w:r>
          </w:p>
        </w:tc>
        <w:tc>
          <w:tcPr>
            <w:tcW w:type="dxa" w:w="732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Existing to bank — a customer with an existing AU Bank relationship and a CIF. R0 is ETB only.</w:t>
            </w:r>
          </w:p>
        </w:tc>
      </w:tr>
      <w:tr>
        <w:trPr>
          <w:cantSplit/>
        </w:trPr>
        <w:tc>
          <w:tcPr>
            <w:tcW w:type="dxa" w:w="231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Group A insurer</w:t>
            </w:r>
          </w:p>
        </w:tc>
        <w:tc>
          <w:tcPr>
            <w:tcW w:type="dxa" w:w="732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 insurer on the R0 panel integrated through 1SB. Group B insurers are handled by controlled redirect and are out of R0 scope.</w:t>
            </w:r>
          </w:p>
        </w:tc>
      </w:tr>
      <w:tr>
        <w:trPr>
          <w:cantSplit/>
        </w:trPr>
        <w:tc>
          <w:tcPr>
            <w:tcW w:type="dxa" w:w="231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Hard gate</w:t>
            </w:r>
          </w:p>
        </w:tc>
        <w:tc>
          <w:tcPr>
            <w:tcW w:type="dxa" w:w="732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control that refuses the business action rather than warning about it. SUIT-R20 is the suitability hard gate.</w:t>
            </w:r>
          </w:p>
        </w:tc>
      </w:tr>
      <w:tr>
        <w:trPr>
          <w:cantSplit/>
        </w:trPr>
        <w:tc>
          <w:tcPr>
            <w:tcW w:type="dxa" w:w="231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Non-waivable</w:t>
            </w:r>
          </w:p>
        </w:tc>
        <w:tc>
          <w:tcPr>
            <w:tcW w:type="dxa" w:w="732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control on the agreed non-waivable list that no authority may waive. Consent capture where legally required, and data residency, are both on it.</w:t>
            </w:r>
          </w:p>
        </w:tc>
      </w:tr>
      <w:tr>
        <w:trPr>
          <w:cantSplit/>
        </w:trPr>
        <w:tc>
          <w:tcPr>
            <w:tcW w:type="dxa" w:w="231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S02-G3 / S02-G4</w:t>
            </w:r>
          </w:p>
        </w:tc>
        <w:tc>
          <w:tcPr>
            <w:tcW w:type="dxa" w:w="732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two S02 gate criteria that require a signed consent rule pack and a signed suitability rule pack respectively, each at evidence level E2.</w:t>
            </w:r>
          </w:p>
        </w:tc>
      </w:tr>
      <w:tr>
        <w:trPr>
          <w:cantSplit/>
        </w:trPr>
        <w:tc>
          <w:tcPr>
            <w:tcW w:type="dxa" w:w="231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SUIT-ALGO-LIFE-v1.0</w:t>
            </w:r>
          </w:p>
        </w:tc>
        <w:tc>
          <w:tcPr>
            <w:tcW w:type="dxa" w:w="732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identifier of the deterministic suitability algorithm submitted for ratification. Recorded on every evaluation and immutable once published.</w:t>
            </w:r>
          </w:p>
        </w:tc>
      </w:tr>
    </w:tbl>
    <w:p>
      <w:pPr>
        <w:spacing w:after="200"/>
      </w:pPr>
      <w:r>
        <w:t xml:space="preserve"/>
      </w:r>
    </w:p>
    <w:p>
      <w:pPr>
        <w:pBdr>
          <w:top w:val="single" w:color="C7D2DC" w:sz="6" w:space="8"/>
        </w:pBdr>
        <w:spacing w:before="200"/>
      </w:pPr>
      <w:r>
        <w:rPr>
          <w:i/>
          <w:iCs/>
          <w:color w:val="5A6570"/>
          <w:sz w:val="17"/>
          <w:szCs w:val="17"/>
        </w:rPr>
        <w:t xml:space="preserve">Prepared by Rajal, Principal Insurance Platform Product Owner · AU Bank Insurance Distribution Platform · 17 August 2026</w:t>
      </w:r>
    </w:p>
    <w:sectPr>
      <w:headerReference w:type="default" r:id="rId7"/>
      <w:footerReference w:type="default" r:id="rId8"/>
      <w:pgSz w:w="11906" w:h="16838" w:orient="portrait"/>
      <w:pgMar w:top="1134" w:right="1134" w:bottom="1134" w:left="1134"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794"/>
        <w:sz w:val="15"/>
        <w:szCs w:val="15"/>
      </w:rPr>
      <w:t xml:space="preserve">Internal — Compliance, Product, Delivery   |   Page </w:t>
    </w:r>
    <w:r>
      <w:rPr>
        <w:color w:val="7A8794"/>
        <w:sz w:val="15"/>
        <w:szCs w:val="15"/>
      </w:rPr>
      <w:fldChar w:fldCharType="begin"/>
      <w:instrText xml:space="preserve">PAGE</w:instrText>
      <w:fldChar w:fldCharType="separate"/>
      <w:fldChar w:fldCharType="end"/>
    </w:r>
    <w:r>
      <w:rPr>
        <w:color w:val="7A8794"/>
        <w:sz w:val="15"/>
        <w:szCs w:val="15"/>
      </w:rPr>
      <w:t xml:space="preserve"> of </w:t>
    </w:r>
    <w:r>
      <w:rPr>
        <w:color w:val="7A8794"/>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4"/>
      </w:pBdr>
      <w:jc w:val="right"/>
    </w:pPr>
    <w:r>
      <w:rPr>
        <w:color w:val="7A8794"/>
        <w:sz w:val="15"/>
        <w:szCs w:val="15"/>
      </w:rPr>
      <w:t xml:space="preserve">Consent &amp; Suitability Rule Packs — Compliance Ratification Pack  ·  COMP-RATIFY-CNS-SUIT-v1.0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629"/>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Consent and Suitability Rule Packs — Compliance Ratification Pack</dc:title>
  <dc:creator>Rajal — Principal Insurance Platform Product Owner</dc:creator>
  <dc:description>Request for Board 6 signature to close GAP-006 and GAP-007 and pass S02-G3 and S02-G4</dc:description>
  <cp:lastModifiedBy>Un-named</cp:lastModifiedBy>
  <cp:revision>1</cp:revision>
  <dcterms:created xsi:type="dcterms:W3CDTF">2026-08-17T05:04:31.801Z</dcterms:created>
  <dcterms:modified xsi:type="dcterms:W3CDTF">2026-08-17T05:04:31.801Z</dcterms:modified>
</cp:coreProperties>
</file>

<file path=docProps/custom.xml><?xml version="1.0" encoding="utf-8"?>
<Properties xmlns="http://schemas.openxmlformats.org/officeDocument/2006/custom-properties" xmlns:vt="http://schemas.openxmlformats.org/officeDocument/2006/docPropsVTypes"/>
</file>