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400" w:before="0" w:line="276"/>
        <w:jc w:val="left"/>
      </w:pPr>
      <w:r>
        <w:rPr>
          <w:b w:val="false"/>
          <w:bCs w:val="false"/>
          <w:i w:val="false"/>
          <w:iCs w:val="false"/>
          <w:color w:val="5A6570"/>
          <w:sz w:val="18"/>
          <w:szCs w:val="18"/>
        </w:rPr>
        <w:t xml:space="preserve">Volume 3 of 3  ·  Reference volume, read alongside Decision Schedule B</w:t>
      </w:r>
    </w:p>
    <w:p>
      <w:pPr>
        <w:spacing w:after="140" w:line="640"/>
      </w:pPr>
      <w:r>
        <w:rPr>
          <w:b/>
          <w:bCs/>
          <w:i w:val="false"/>
          <w:iCs w:val="false"/>
          <w:color w:val="11304E"/>
          <w:sz w:val="52"/>
          <w:szCs w:val="52"/>
        </w:rPr>
        <w:t xml:space="preserve">Suitability Rule Pack</w:t>
      </w:r>
    </w:p>
    <w:p>
      <w:pPr>
        <w:spacing w:after="220" w:line="500"/>
      </w:pPr>
      <w:r>
        <w:rPr>
          <w:b/>
          <w:bCs/>
          <w:i w:val="false"/>
          <w:iCs w:val="false"/>
          <w:color w:val="0F6E6E"/>
          <w:sz w:val="40"/>
          <w:szCs w:val="40"/>
        </w:rPr>
        <w:t xml:space="preserve">The 48 rules, in full</w:t>
      </w:r>
    </w:p>
    <w:p>
      <w:pPr>
        <w:pBdr>
          <w:bottom w:val="single" w:color="11304E" w:sz="12" w:space="8"/>
        </w:pBdr>
        <w:spacing w:after="260"/>
      </w:pPr>
      <w:r>
        <w:rPr>
          <w:b w:val="false"/>
          <w:bCs w:val="false"/>
          <w:i/>
          <w:iCs/>
          <w:color w:val="445260"/>
          <w:sz w:val="22"/>
          <w:szCs w:val="22"/>
        </w:rPr>
        <w:t xml:space="preserve">The complete text of what Decision Schedule B in Volume 1 asks Compliance to approve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3 of 3 — Suitability Rule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COMP-APPROVE-CNS-SUIT-v1.0</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1 — Decision Pack, Decision Schedule B (§7). That schedule is where the approval is recorded; this volume is what it refers to.</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Contains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48 rules, SUIT-R01 to SUIT-R48, in 14 sections, together with the twelve-input question set, the computation and its worked example, the outcome tables, the 18-field assessment record and the override policy</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submitted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SUIT-ALGO-LIFE-v1.0 — the version identifier recorded on every assessment, so that any past assessment can be reproduced exactly</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started. </w:t>
            </w:r>
            <w:r>
              <w:rPr>
                <w:b w:val="false"/>
                <w:bCs w:val="false"/>
                <w:i w:val="false"/>
                <w:iCs w:val="false"/>
                <w:color w:val="222629"/>
                <w:sz w:val="18"/>
                <w:szCs w:val="18"/>
              </w:rPr>
              <w:t xml:space="preserve">The Suitability Service and the quote path are held behind a build freeze pending this approval.</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 Life products (Term, Savings/Endowment and unit-linked), sold to existing bank customers, assisted by a relationship manager</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pageBreakBefore/>
        <w:pBdr>
          <w:bottom w:val="single" w:color="0F6E6E" w:sz="8" w:space="6"/>
        </w:pBdr>
        <w:spacing w:after="160" w:before="0"/>
      </w:pPr>
      <w:r>
        <w:rPr>
          <w:b/>
          <w:bCs/>
          <w:color w:val="11304E"/>
          <w:sz w:val="30"/>
          <w:szCs w:val="30"/>
        </w:rPr>
        <w:t xml:space="preserve">Contents of this volume</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The gate, stated once and precisely</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The need-analysis question set</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The computation</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Product-class outcomes</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The assessment record</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The gate before quote</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Invalidation, re-assessment and reuse</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What may never be overridden</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Caution outcomes — proceed with disclosure, not with override</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Customer-initiated deviation</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Replacement of an existing policy</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The one exception that does exist</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Traceability</w:t>
      </w:r>
    </w:p>
    <w:p>
      <w:pPr>
        <w:spacing w:after="70" w:before="0" w:line="276"/>
        <w:jc w:val="left"/>
      </w:pPr>
      <w:r>
        <w:rPr>
          <w:b/>
          <w:bCs/>
          <w:i w:val="false"/>
          <w:iCs w:val="false"/>
          <w:color w:val="0F6E6E"/>
          <w:sz w:val="20"/>
          <w:szCs w:val="20"/>
        </w:rPr>
        <w:t xml:space="preserve">14.  </w:t>
      </w:r>
      <w:r>
        <w:rPr>
          <w:b w:val="false"/>
          <w:bCs w:val="false"/>
          <w:i w:val="false"/>
          <w:iCs w:val="false"/>
          <w:color w:val="222629"/>
          <w:sz w:val="20"/>
          <w:szCs w:val="20"/>
        </w:rPr>
        <w:t xml:space="preserve">What this pack does not decide</w:t>
      </w:r>
    </w:p>
    <w:p>
      <w:pPr>
        <w:spacing w:after="70" w:before="0" w:line="276"/>
        <w:jc w:val="left"/>
      </w:pPr>
      <w:r>
        <w:rPr>
          <w:b/>
          <w:bCs/>
          <w:i w:val="false"/>
          <w:iCs w:val="false"/>
          <w:color w:val="0F6E6E"/>
          <w:sz w:val="20"/>
          <w:szCs w:val="20"/>
        </w:rPr>
        <w:t xml:space="preserve">—  </w:t>
      </w:r>
      <w:r>
        <w:rPr>
          <w:b w:val="false"/>
          <w:bCs w:val="false"/>
          <w:i w:val="false"/>
          <w:iCs w:val="false"/>
          <w:color w:val="222629"/>
          <w:sz w:val="20"/>
          <w:szCs w:val="20"/>
        </w:rPr>
        <w:t xml:space="preserve">Appendix — Terms and internal references</w:t>
      </w:r>
    </w:p>
    <w:p>
      <w:pPr>
        <w:spacing w:after="24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How the sections map to the decision</w:t>
            </w:r>
          </w:p>
          <w:p>
            <w:pPr>
              <w:spacing w:after="0" w:before="0" w:line="276"/>
              <w:jc w:val="left"/>
            </w:pPr>
            <w:r>
              <w:rPr>
                <w:b w:val="false"/>
                <w:bCs w:val="false"/>
                <w:i w:val="false"/>
                <w:iCs w:val="false"/>
                <w:color w:val="222629"/>
                <w:sz w:val="20"/>
                <w:szCs w:val="20"/>
              </w:rPr>
              <w:t xml:space="preserve">Decision Schedule B in Volume 1 has one row per subject, and each row names the section of this volume to read. The order is not identical, because the schedule follows the order in which a reviewer meets the decisions and this volume follows the order in which the model runs. Sections 13 and 14 carry no decision row: section 13 records which obligation each rule serves, and section 14 sets out what the pack deliberately leaves open.</w:t>
            </w:r>
          </w:p>
        </w:tc>
      </w:tr>
    </w:tbl>
    <w:p>
      <w:pPr>
        <w:spacing w:after="140"/>
      </w:pPr>
      <w:r>
        <w:t xml:space="preserve"/>
      </w:r>
    </w:p>
    <w:p>
      <w:pPr>
        <w:spacing w:after="120" w:before="0" w:line="276"/>
        <w:jc w:val="left"/>
      </w:pPr>
      <w:r>
        <w:rPr>
          <w:b w:val="false"/>
          <w:bCs w:val="false"/>
          <w:i/>
          <w:iCs/>
          <w:color w:val="5A6570"/>
          <w:sz w:val="19"/>
          <w:szCs w:val="19"/>
        </w:rPr>
        <w:t xml:space="preserve">This volume is one of three issued together as a single submission: Volume 1 — Decision Pack, Volume 2 — Consent Rule Pack, Volume 3 — Suitability Rule Pack.</w:t>
      </w:r>
    </w:p>
    <w:p>
      <w:pPr>
        <w:pStyle w:val="Heading2"/>
        <w:spacing w:after="120" w:before="300"/>
      </w:pPr>
      <w:r>
        <w:rPr>
          <w:b/>
          <w:bCs/>
          <w:color w:val="11304E"/>
          <w:sz w:val="24"/>
          <w:szCs w:val="24"/>
        </w:rPr>
        <w:t xml:space="preserve">1.  The gate, stated once and precisely</w:t>
      </w:r>
    </w:p>
    <w:tbl>
      <w:tblPr>
        <w:tblW w:type="dxa" w:w="9638"/>
        <w:tblBorders>
          <w:top w:val="none" w:color="FFFFFF" w:sz="0"/>
          <w:left w:val="single" w:color="11304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11304E"/>
                <w:sz w:val="20"/>
                <w:szCs w:val="20"/>
              </w:rPr>
              <w:t xml:space="preserve">SUIT-R20</w:t>
            </w:r>
          </w:p>
          <w:p>
            <w:pPr>
              <w:spacing w:after="0" w:before="0" w:line="276"/>
              <w:jc w:val="left"/>
            </w:pPr>
            <w:r>
              <w:rPr>
                <w:b w:val="false"/>
                <w:bCs w:val="false"/>
                <w:i w:val="false"/>
                <w:iCs w:val="false"/>
                <w:color w:val="222629"/>
                <w:sz w:val="20"/>
                <w:szCs w:val="20"/>
              </w:rPr>
              <w:t xml:space="preserve">Quote endpoints refuse the request unless it carries a suitability assessment that is active, was issued within the last 30 days, is bound to the same customer, and whose outcome permits the product class being requested. Four conditions. All four must hold. Each is separately tested in B.6.</w:t>
            </w:r>
          </w:p>
        </w:tc>
      </w:tr>
    </w:tbl>
    <w:p>
      <w:pPr>
        <w:spacing w:after="100"/>
      </w:pPr>
      <w:r>
        <w:t xml:space="preserve"/>
      </w:r>
    </w:p>
    <w:p>
      <w:pPr>
        <w:spacing w:after="120" w:before="0" w:line="276"/>
        <w:jc w:val="left"/>
      </w:pPr>
      <w:r>
        <w:rPr>
          <w:b w:val="false"/>
          <w:bCs w:val="false"/>
          <w:i w:val="false"/>
          <w:iCs w:val="false"/>
          <w:color w:val="222629"/>
          <w:sz w:val="20"/>
          <w:szCs w:val="20"/>
        </w:rPr>
        <w:t xml:space="preserve">That the gate exists at all is not in question — bypassing suitability before quote is described in the programme’s own baseline as unlawful. What was missing, and what this pack supplies, is the content: the questions, the arithmetic, the outcome bands, and what a valid assessment actually means.</w:t>
      </w:r>
    </w:p>
    <w:p>
      <w:pPr>
        <w:pStyle w:val="Heading2"/>
        <w:spacing w:after="120" w:before="300"/>
      </w:pPr>
      <w:r>
        <w:rPr>
          <w:b/>
          <w:bCs/>
          <w:color w:val="11304E"/>
          <w:sz w:val="24"/>
          <w:szCs w:val="24"/>
        </w:rPr>
        <w:t xml:space="preserve">2.  The need-analysis question set</w:t>
      </w:r>
    </w:p>
    <w:p>
      <w:pPr>
        <w:spacing w:after="120" w:before="0" w:line="276"/>
        <w:jc w:val="left"/>
      </w:pPr>
      <w:r>
        <w:rPr>
          <w:b w:val="false"/>
          <w:bCs w:val="false"/>
          <w:i w:val="false"/>
          <w:iCs w:val="false"/>
          <w:color w:val="222629"/>
          <w:sz w:val="20"/>
          <w:szCs w:val="20"/>
        </w:rPr>
        <w:t xml:space="preserve">Twelve inputs. Four are taken from bank records and never asked; eight are asked. A questionnaire longer than this, in a branch conversation, is completed dishonestly — which defeats its purpose.</w:t>
      </w:r>
    </w:p>
    <w:p>
      <w:pPr>
        <w:pStyle w:val="Heading3"/>
        <w:spacing w:after="100" w:before="220"/>
      </w:pPr>
      <w:r>
        <w:rPr>
          <w:b/>
          <w:bCs/>
          <w:color w:val="0F6E6E"/>
          <w:sz w:val="21"/>
          <w:szCs w:val="21"/>
        </w:rPr>
        <w:t xml:space="preserve">Taken from bank records — no question asked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2891"/>
        <w:gridCol w:w="2892"/>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Input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Source</w:t>
            </w:r>
          </w:p>
        </w:tc>
        <w:tc>
          <w:tcPr>
            <w:tcW w:type="dxa" w:w="289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If unavailable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at next birthday</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of birth in the bank record</w:t>
            </w:r>
          </w:p>
        </w:tc>
        <w:tc>
          <w:tcPr>
            <w:tcW w:type="dxa" w:w="289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 — the journey is blocked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Length of the customer relationship, in months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no block</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Existing life cover distributed by the bank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Policy records</w:t>
            </w:r>
          </w:p>
        </w:tc>
        <w:tc>
          <w:tcPr>
            <w:tcW w:type="dxa" w:w="289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Known outstanding loan liability to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Bank record</w:t>
            </w:r>
          </w:p>
        </w:tc>
        <w:tc>
          <w:tcPr>
            <w:tcW w:type="dxa" w:w="289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Defaults to zero and is recorded as assumed</w:t>
            </w:r>
          </w:p>
        </w:tc>
      </w:tr>
    </w:tbl>
    <w:p>
      <w:pPr>
        <w:spacing w:after="120"/>
      </w:pPr>
      <w:r>
        <w:t xml:space="preserve"/>
      </w:r>
    </w:p>
    <w:p>
      <w:pPr>
        <w:pStyle w:val="Heading3"/>
        <w:spacing w:after="100" w:before="220"/>
      </w:pPr>
      <w:r>
        <w:rPr>
          <w:b/>
          <w:bCs/>
          <w:color w:val="0F6E6E"/>
          <w:sz w:val="21"/>
          <w:szCs w:val="21"/>
        </w:rPr>
        <w:t xml:space="preserve">Asked of the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3084"/>
        <w:gridCol w:w="3084"/>
        <w:gridCol w:w="2699"/>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Answer</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Validation</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Annual income, self-declared</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eight bands</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Number of financially dependent persons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Whole number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Between 0 and 10</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Q03</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existing life cover across all insurers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Q04</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Total outstanding liabilities across all lenders</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Zero or more; flagged if below the bank-known figure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Q05</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Primary financial objective</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Protection, savings goal, retirement, wealth growth or tax planning</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Q06</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Investment horizon</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 5 years, 5–10, 10–20, or over 20 years</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Q07</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Attitude to investment risk</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Capital protection, low, moderate or high</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Q08</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Premium the customer is comfortable committing annually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Amount</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Greater than zero</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Q09</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Tobacco use in the last 12 months</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Q10</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Occupation category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Salaried, self-employed professional, self-employed business, agriculture or other</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value</w:t>
            </w:r>
          </w:p>
        </w:tc>
      </w:tr>
      <w:tr>
        <w:trPr>
          <w:cantSplit/>
        </w:trPr>
        <w:tc>
          <w:tcPr>
            <w:tcW w:type="dxa" w:w="77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Q11</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 the customer been declined or rated by any life insurer?</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no, or does not know</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Q12</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this purchase replacing an existing policy?</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or no</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If yes, the replacement disclosure in §11 applies</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twelve inputs MUST be present before an assessment is computed. A partial questionnaire produces no assessment.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eleven of twelve: refused as incomplete, listing what is missing, and no assessment record is written.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Answers MUST be stored exactly as given alongside the outcome, together with the questionnaire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 assessment; all twelve raw answers and the questionnaire version are present.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self-declared figure is lower than the figure the bank already holds, the higher figure MUST be used and the discrepancy recorded.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Declare zero existing cover where the bank holds a policy. The computation uses the bank figure and an understatement flag is recorded.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previous decline or rating by an insurer, or a customer who does not know, MUST set an underwriting-risk flag on the assessment. It does not by itself change the outcome.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Answer yes to Q11; the flag is set and the outcome is computed unchanged.</w:t>
            </w:r>
          </w:p>
        </w:tc>
      </w:tr>
    </w:tbl>
    <w:p>
      <w:pPr>
        <w:pStyle w:val="Heading2"/>
        <w:pageBreakBefore/>
        <w:spacing w:after="120" w:before="0"/>
      </w:pPr>
      <w:r>
        <w:rPr>
          <w:b/>
          <w:bCs/>
          <w:color w:val="11304E"/>
          <w:sz w:val="24"/>
          <w:szCs w:val="24"/>
        </w:rPr>
        <w:t xml:space="preserve">3.  The computation</w:t>
      </w:r>
    </w:p>
    <w:p>
      <w:pPr>
        <w:spacing w:after="120" w:before="0" w:line="276"/>
        <w:jc w:val="left"/>
      </w:pPr>
      <w:r>
        <w:rPr>
          <w:b w:val="false"/>
          <w:bCs w:val="false"/>
          <w:i w:val="false"/>
          <w:iCs w:val="false"/>
          <w:color w:val="222629"/>
          <w:sz w:val="20"/>
          <w:szCs w:val="20"/>
        </w:rPr>
        <w:t xml:space="preserve">The model is arithmetic, not judgement. Two people running it by hand on the same inputs reach the same answer, which is the property that makes advice defensible.</w:t>
      </w:r>
    </w:p>
    <w:p>
      <w:pPr>
        <w:pStyle w:val="Heading3"/>
        <w:spacing w:after="100" w:before="220"/>
      </w:pPr>
      <w:r>
        <w:rPr>
          <w:b/>
          <w:bCs/>
          <w:color w:val="0F6E6E"/>
          <w:sz w:val="21"/>
          <w:szCs w:val="21"/>
        </w:rPr>
        <w:t xml:space="preserve">Income bands and the cover multiple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5590"/>
        <w:gridCol w:w="2891"/>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Band</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Annual income</w:t>
            </w:r>
          </w:p>
        </w:tc>
        <w:tc>
          <w:tcPr>
            <w:tcW w:type="dxa" w:w="2891"/>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Multiple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Below ₹3,00,000</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₹3,00,000 to ₹4,99,999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 to ₹9,99,999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 to ₹19,99,999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₹20,00,000 to ₹34,99,999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₹35,00,000 to ₹49,99,999</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20</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₹50,00,000 to ₹99,99,999</w:t>
            </w:r>
          </w:p>
        </w:tc>
        <w:tc>
          <w:tcPr>
            <w:tcW w:type="dxa" w:w="2891"/>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18</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8</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₹1,00,00,000 and above</w:t>
            </w:r>
          </w:p>
        </w:tc>
        <w:tc>
          <w:tcPr>
            <w:tcW w:type="dxa" w:w="2891"/>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15</w:t>
            </w:r>
          </w:p>
        </w:tc>
      </w:tr>
    </w:tbl>
    <w:p>
      <w:pPr>
        <w:spacing w:after="100"/>
      </w:pPr>
      <w:r>
        <w:t xml:space="preserve"/>
      </w:r>
    </w:p>
    <w:p>
      <w:pPr>
        <w:spacing w:after="120" w:before="0" w:line="276"/>
        <w:jc w:val="left"/>
      </w:pPr>
      <w:r>
        <w:rPr>
          <w:b w:val="false"/>
          <w:bCs w:val="false"/>
          <w:i/>
          <w:iCs/>
          <w:color w:val="5A6570"/>
          <w:sz w:val="19"/>
          <w:szCs w:val="19"/>
        </w:rPr>
        <w:t xml:space="preserve">The multiple tapers at both ends: at low incomes because affordability binds before need does, and at high incomes because insurer underwriting limits bind. Band boundaries include the lower figure and exclude the upper.</w:t>
      </w:r>
    </w:p>
    <w:p>
      <w:pPr>
        <w:spacing w:after="80"/>
      </w:pPr>
      <w:r>
        <w:t xml:space="preserve"/>
      </w:r>
    </w:p>
    <w:p>
      <w:pPr>
        <w:pStyle w:val="Heading3"/>
        <w:spacing w:after="100" w:before="220"/>
      </w:pPr>
      <w:r>
        <w:rPr>
          <w:b/>
          <w:bCs/>
          <w:color w:val="0F6E6E"/>
          <w:sz w:val="21"/>
          <w:szCs w:val="21"/>
        </w:rPr>
        <w:t xml:space="preserve">Age adjustment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1060"/>
        <w:gridCol w:w="1060"/>
        <w:gridCol w:w="1060"/>
        <w:gridCol w:w="1060"/>
        <w:gridCol w:w="1060"/>
        <w:gridCol w:w="22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Age at next birthday</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18–30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31–40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41–50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51–60</w:t>
            </w:r>
          </w:p>
        </w:tc>
        <w:tc>
          <w:tcPr>
            <w:tcW w:type="dxa" w:w="106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61–65</w:t>
            </w:r>
          </w:p>
        </w:tc>
        <w:tc>
          <w:tcPr>
            <w:tcW w:type="dxa" w:w="2218"/>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Under 18 or over 65</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Factor</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1.10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1.00</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0.85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0.65</w:t>
            </w:r>
          </w:p>
        </w:tc>
        <w:tc>
          <w:tcPr>
            <w:tcW w:type="dxa" w:w="106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0.45</w:t>
            </w:r>
          </w:p>
        </w:tc>
        <w:tc>
          <w:tcPr>
            <w:tcW w:type="dxa" w:w="2218"/>
            <w:tcMar>
              <w:top w:type="dxa" w:w="90"/>
              <w:left w:type="dxa" w:w="130"/>
              <w:bottom w:type="dxa" w:w="90"/>
              <w:right w:type="dxa" w:w="130"/>
            </w:tcMar>
            <w:vAlign w:val="top"/>
          </w:tcPr>
          <w:p>
            <w:pPr>
              <w:spacing w:after="40" w:before="40" w:line="252"/>
              <w:jc w:val="center"/>
            </w:pPr>
            <w:r>
              <w:rPr>
                <w:b/>
                <w:bCs/>
                <w:i w:val="false"/>
                <w:iCs w:val="false"/>
                <w:color w:val="9B2226"/>
                <w:sz w:val="18"/>
                <w:szCs w:val="18"/>
              </w:rPr>
              <w:t xml:space="preserve">Ineligible</w:t>
            </w:r>
          </w:p>
        </w:tc>
      </w:tr>
    </w:tbl>
    <w:p>
      <w:pPr>
        <w:spacing w:after="120"/>
      </w:pPr>
      <w:r>
        <w:t xml:space="preserve"/>
      </w:r>
    </w:p>
    <w:p>
      <w:pPr>
        <w:pStyle w:val="Heading3"/>
        <w:spacing w:after="100" w:before="220"/>
      </w:pPr>
      <w:r>
        <w:rPr>
          <w:b/>
          <w:bCs/>
          <w:color w:val="0F6E6E"/>
          <w:sz w:val="21"/>
          <w:szCs w:val="21"/>
        </w:rPr>
        <w:t xml:space="preserve">The formula</w:t>
      </w:r>
    </w:p>
    <w:p>
      <w:pPr>
        <w:spacing w:after="100" w:before="0" w:line="276"/>
        <w:jc w:val="left"/>
      </w:pPr>
      <w:r>
        <w:rPr>
          <w:rFonts w:ascii="Consolas" w:cs="Consolas" w:eastAsia="Consolas" w:hAnsi="Consolas"/>
          <w:b w:val="false"/>
          <w:bCs w:val="false"/>
          <w:i w:val="false"/>
          <w:iCs w:val="false"/>
          <w:color w:val="11304E"/>
          <w:sz w:val="18"/>
          <w:szCs w:val="18"/>
        </w:rPr>
        <w:t xml:space="preserve">recommended cover   =  round up to the next lakh of</w:t>
      </w:r>
    </w:p>
    <w:p>
      <w:pPr>
        <w:spacing w:after="100" w:before="0" w:line="276"/>
        <w:jc w:val="left"/>
      </w:pPr>
      <w:r>
        <w:rPr>
          <w:rFonts w:ascii="Consolas" w:cs="Consolas" w:eastAsia="Consolas" w:hAnsi="Consolas"/>
          <w:b w:val="false"/>
          <w:bCs w:val="false"/>
          <w:i w:val="false"/>
          <w:iCs w:val="false"/>
          <w:color w:val="11304E"/>
          <w:sz w:val="18"/>
          <w:szCs w:val="18"/>
        </w:rPr>
        <w:t xml:space="preserve">                       ( annual income × multiple × age factor )</w:t>
      </w:r>
    </w:p>
    <w:p>
      <w:pPr>
        <w:spacing w:after="100" w:before="0" w:line="276"/>
        <w:jc w:val="left"/>
      </w:pPr>
      <w:r>
        <w:rPr>
          <w:rFonts w:ascii="Consolas" w:cs="Consolas" w:eastAsia="Consolas" w:hAnsi="Consolas"/>
          <w:b w:val="false"/>
          <w:bCs w:val="false"/>
          <w:i w:val="false"/>
          <w:iCs w:val="false"/>
          <w:color w:val="11304E"/>
          <w:sz w:val="18"/>
          <w:szCs w:val="18"/>
        </w:rPr>
        <w:t xml:space="preserve">                       + liabilities</w:t>
      </w:r>
    </w:p>
    <w:p>
      <w:pPr>
        <w:spacing w:after="100" w:before="0" w:line="276"/>
        <w:jc w:val="left"/>
      </w:pPr>
      <w:r>
        <w:rPr>
          <w:rFonts w:ascii="Consolas" w:cs="Consolas" w:eastAsia="Consolas" w:hAnsi="Consolas"/>
          <w:b w:val="false"/>
          <w:bCs w:val="false"/>
          <w:i w:val="false"/>
          <w:iCs w:val="false"/>
          <w:color w:val="11304E"/>
          <w:sz w:val="18"/>
          <w:szCs w:val="18"/>
        </w:rPr>
        <w:t xml:space="preserve">                       + ( dependants × ₹5,00,000 )</w:t>
      </w:r>
    </w:p>
    <w:p>
      <w:pPr>
        <w:spacing w:after="100" w:before="0" w:line="276"/>
        <w:jc w:val="left"/>
      </w:pPr>
      <w:r>
        <w:rPr>
          <w:rFonts w:ascii="Consolas" w:cs="Consolas" w:eastAsia="Consolas" w:hAnsi="Consolas"/>
          <w:b w:val="false"/>
          <w:bCs w:val="false"/>
          <w:i w:val="false"/>
          <w:iCs w:val="false"/>
          <w:color w:val="11304E"/>
          <w:sz w:val="18"/>
          <w:szCs w:val="18"/>
        </w:rPr>
        <w:t xml:space="preserve"/>
      </w:r>
    </w:p>
    <w:p>
      <w:pPr>
        <w:spacing w:after="100" w:before="0" w:line="276"/>
        <w:jc w:val="left"/>
      </w:pPr>
      <w:r>
        <w:rPr>
          <w:rFonts w:ascii="Consolas" w:cs="Consolas" w:eastAsia="Consolas" w:hAnsi="Consolas"/>
          <w:b w:val="false"/>
          <w:bCs w:val="false"/>
          <w:i w:val="false"/>
          <w:iCs w:val="false"/>
          <w:color w:val="11304E"/>
          <w:sz w:val="18"/>
          <w:szCs w:val="18"/>
        </w:rPr>
        <w:t xml:space="preserve">protection gap      =  the greater of zero and ( recommended cover − existing cover )</w:t>
      </w:r>
    </w:p>
    <w:p>
      <w:pPr>
        <w:spacing w:after="100" w:before="0" w:line="276"/>
        <w:jc w:val="left"/>
      </w:pPr>
      <w:r>
        <w:rPr>
          <w:rFonts w:ascii="Consolas" w:cs="Consolas" w:eastAsia="Consolas" w:hAnsi="Consolas"/>
          <w:b w:val="false"/>
          <w:bCs w:val="false"/>
          <w:i w:val="false"/>
          <w:iCs w:val="false"/>
          <w:color w:val="11304E"/>
          <w:sz w:val="18"/>
          <w:szCs w:val="18"/>
        </w:rPr>
        <w:t xml:space="preserve">affordability ratio =  declared premium ÷ annual income</w:t>
      </w:r>
    </w:p>
    <w:p>
      <w:pPr>
        <w:spacing w:after="60"/>
      </w:pPr>
      <w:r>
        <w:t xml:space="preserve"/>
      </w:r>
    </w:p>
    <w:p>
      <w:pPr>
        <w:spacing w:after="120" w:before="0" w:line="276"/>
        <w:jc w:val="left"/>
      </w:pPr>
      <w:r>
        <w:rPr>
          <w:b w:val="false"/>
          <w:bCs w:val="false"/>
          <w:i/>
          <w:iCs/>
          <w:color w:val="5A6570"/>
          <w:sz w:val="19"/>
          <w:szCs w:val="19"/>
        </w:rPr>
        <w:t xml:space="preserve">Liabilities and existing cover are each the higher of the customer’s declaration and the figure the bank holds, as SUIT-R03 requires.</w:t>
      </w:r>
    </w:p>
    <w:p>
      <w:pPr>
        <w:spacing w:after="120"/>
      </w:pPr>
      <w:r>
        <w:t xml:space="preserve"/>
      </w:r>
    </w:p>
    <w:p>
      <w:pPr>
        <w:pStyle w:val="Heading3"/>
        <w:spacing w:after="100" w:before="220"/>
      </w:pPr>
      <w:r>
        <w:rPr>
          <w:b/>
          <w:bCs/>
          <w:color w:val="0F6E6E"/>
          <w:sz w:val="21"/>
          <w:szCs w:val="21"/>
        </w:rPr>
        <w:t xml:space="preserve">Worked reference case</w:t>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This case is a mandatory test of the built service</w:t>
            </w:r>
          </w:p>
          <w:p>
            <w:pPr>
              <w:spacing w:after="80" w:before="0" w:line="276"/>
              <w:jc w:val="left"/>
            </w:pPr>
            <w:r>
              <w:rPr>
                <w:b w:val="false"/>
                <w:bCs w:val="false"/>
                <w:i w:val="false"/>
                <w:iCs w:val="false"/>
                <w:color w:val="222629"/>
                <w:sz w:val="20"/>
                <w:szCs w:val="20"/>
              </w:rPr>
              <w:t xml:space="preserve">Age 38 · income ₹12,00,000 (band 4, multiple 18, age factor 1.00) · 2 dependants · existing cover ₹5,00,000 · liabilities ₹30,00,000 · declared premium ₹25,000.</w:t>
            </w:r>
          </w:p>
          <w:p>
            <w:pPr>
              <w:spacing w:after="0" w:before="0" w:line="276"/>
              <w:jc w:val="left"/>
            </w:pPr>
            <w:r>
              <w:rPr>
                <w:b w:val="false"/>
                <w:bCs w:val="false"/>
                <w:i w:val="false"/>
                <w:iCs w:val="false"/>
                <w:color w:val="222629"/>
                <w:sz w:val="20"/>
                <w:szCs w:val="20"/>
              </w:rPr>
              <w:t xml:space="preserve">Recommended cover = round up to the next lakh of (12,00,000 × 18 × 1.00 + 30,00,000 + 10,00,000) = ₹2,56,00,000.  Protection gap = ₹2,51,00,000.  Affordability ratio = 0.0208.</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computation MUST be pure: the same inputs give the same outputs, with no dependence on time, actor or system state other than the algorithm version.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same twenty customer profiles twice, on two days, by two evaluators. The outputs are identical.</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Rounding up to the next lakh means the next whole multiple of ₹1,00,000.</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₹12,34,567 becomes ₹13,00,000. ₹12,00,000 stays ₹12,00,000.</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algorithm version MUST be recorded on every assessment and MUST be immutable once published.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carries a version. Publishing a change under an existing version is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age below 18 or above 65 at next birthday MUST produce a not-suitable outcome, and no quote may proceed.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17 and age 66 both produce not-suitable, and the quote is refused.</w:t>
            </w:r>
          </w:p>
        </w:tc>
      </w:tr>
    </w:tbl>
    <w:p>
      <w:pPr>
        <w:pStyle w:val="Heading2"/>
        <w:pageBreakBefore/>
        <w:spacing w:after="120" w:before="0"/>
      </w:pPr>
      <w:r>
        <w:rPr>
          <w:b/>
          <w:bCs/>
          <w:color w:val="11304E"/>
          <w:sz w:val="24"/>
          <w:szCs w:val="24"/>
        </w:rPr>
        <w:t xml:space="preserve">4.  Product-class outcomes</w:t>
      </w:r>
    </w:p>
    <w:p>
      <w:pPr>
        <w:spacing w:after="120" w:before="0" w:line="276"/>
        <w:jc w:val="left"/>
      </w:pPr>
      <w:r>
        <w:rPr>
          <w:b w:val="false"/>
          <w:bCs w:val="false"/>
          <w:i w:val="false"/>
          <w:iCs w:val="false"/>
          <w:color w:val="222629"/>
          <w:sz w:val="20"/>
          <w:szCs w:val="20"/>
        </w:rPr>
        <w:t xml:space="preserve">An assessment produces one outcome per product class, not one overall. A customer may be suitable for term cover and not suitable for a unit-linked product in the same assessment, and the gate is applied per class.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5301"/>
        <w:gridCol w:w="2313"/>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Quote permitted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matches the stated objective, horizon, risk attitude and affordability</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Suitable with caution</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match is defensible but at least one caution condition applies; a disclosure is required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with the disclosure in B.9</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product class conflicts with something the customer stated</w:t>
            </w:r>
          </w:p>
        </w:tc>
        <w:tc>
          <w:tcPr>
            <w:tcW w:type="dxa" w:w="2313"/>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Insufficient data</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mandatory derived input was unavailable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 — hard block</w:t>
            </w:r>
          </w:p>
        </w:tc>
      </w:tr>
    </w:tbl>
    <w:p>
      <w:pPr>
        <w:spacing w:after="140"/>
      </w:pPr>
      <w:r>
        <w:t xml:space="preserve"/>
      </w:r>
    </w:p>
    <w:p>
      <w:pPr>
        <w:pStyle w:val="Heading3"/>
        <w:spacing w:after="100" w:before="220"/>
      </w:pPr>
      <w:r>
        <w:rPr>
          <w:b/>
          <w:bCs/>
          <w:color w:val="0F6E6E"/>
          <w:sz w:val="21"/>
          <w:szCs w:val="21"/>
        </w:rPr>
        <w:t xml:space="preserve">Term life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SUIT-R09</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age is eligible</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SUIT-R10</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protection gap — the customer is already adequately covered</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cover already adequate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SUIT-R11</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0.15</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premium high relative to income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Affordability ratio above 0.30</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premium unaffordable</w:t>
            </w:r>
          </w:p>
        </w:tc>
      </w:tr>
    </w:tbl>
    <w:p>
      <w:pPr>
        <w:spacing w:after="120"/>
      </w:pPr>
      <w:r>
        <w:t xml:space="preserve"/>
      </w:r>
    </w:p>
    <w:p>
      <w:pPr>
        <w:pStyle w:val="Heading3"/>
        <w:spacing w:after="100" w:before="220"/>
      </w:pPr>
      <w:r>
        <w:rPr>
          <w:b/>
          <w:bCs/>
          <w:color w:val="0F6E6E"/>
          <w:sz w:val="21"/>
          <w:szCs w:val="21"/>
        </w:rPr>
        <w:t xml:space="preserve">Savings and endowment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SUIT-R13</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Objective is savings, retirement or tax planning, and the horizon is 5 years or more, and the affordability ratio is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SUIT-R14</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under 5 years</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SUIT-R15</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protection gap exists and the stated objective is protection</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the protection need is not met by this class</w:t>
            </w:r>
          </w:p>
        </w:tc>
      </w:tr>
    </w:tbl>
    <w:p>
      <w:pPr>
        <w:spacing w:after="120"/>
      </w:pPr>
      <w:r>
        <w:t xml:space="preserve"/>
      </w:r>
    </w:p>
    <w:p>
      <w:pPr>
        <w:pStyle w:val="Heading3"/>
        <w:spacing w:after="100" w:before="220"/>
      </w:pPr>
      <w:r>
        <w:rPr>
          <w:b/>
          <w:bCs/>
          <w:color w:val="0F6E6E"/>
          <w:sz w:val="21"/>
          <w:szCs w:val="21"/>
        </w:rPr>
        <w:t xml:space="preserve">Unit-linked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4241"/>
        <w:gridCol w:w="424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424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Outcome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SUIT-R16</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moderate or high, horizon over 10 years, objective wealth growth or retirement, and affordability ratio 0.20 or below</w:t>
            </w:r>
          </w:p>
        </w:tc>
        <w:tc>
          <w:tcPr>
            <w:tcW w:type="dxa" w:w="424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SUIT-R17</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is capital protection</w:t>
            </w:r>
          </w:p>
        </w:tc>
        <w:tc>
          <w:tcPr>
            <w:tcW w:type="dxa" w:w="424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risk attitude incompatible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SUIT-R18</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Horizon 10 years or less</w:t>
            </w:r>
          </w:p>
        </w:tc>
        <w:tc>
          <w:tcPr>
            <w:tcW w:type="dxa" w:w="424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suitable: horizon too short for this product class</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Risk attitude low, with all other conditions of SUIT-R16 met</w:t>
            </w:r>
          </w:p>
        </w:tc>
        <w:tc>
          <w:tcPr>
            <w:tcW w:type="dxa" w:w="424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Suitable with caution: risk attitude below the product’s profile</w:t>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SUIT-R19a</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rule fires for a class, the most restrictive outcome wins — not suitable over caution, caution over suitable — and every reason that fired MUST be persisted in rule order, not only the one that decided.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profile firing both a caution rule and a second caution rule records both reasons, and the outcome is the more restrictive of the two.</w:t>
            </w:r>
          </w:p>
        </w:tc>
      </w:tr>
    </w:tbl>
    <w:p>
      <w:pPr>
        <w:pStyle w:val="Heading2"/>
        <w:pageBreakBefore/>
        <w:spacing w:after="120" w:before="0"/>
      </w:pPr>
      <w:r>
        <w:rPr>
          <w:b/>
          <w:bCs/>
          <w:color w:val="11304E"/>
          <w:sz w:val="24"/>
          <w:szCs w:val="24"/>
        </w:rPr>
        <w:t xml:space="preserve">5.  The assessment record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771"/>
        <w:gridCol w:w="5976"/>
        <w:gridCol w:w="2891"/>
      </w:tblGrid>
      <w:tr>
        <w:trPr>
          <w:cantSplit/>
          <w:tblHeader/>
        </w:trPr>
        <w:tc>
          <w:tcPr>
            <w:tcW w:type="dxa" w:w="77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Assessment identifier — this is the identifier the quote gate checks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Questionnaire version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Algorithm version</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twelve answers, exactly as given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Derived values — recommended cover, protection gap, affordability ratio, multiple, age factor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Outcome and reason codes for each product class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Underwriting-risk flag</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Data-inconsistency flags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may be empty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 who ran the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of assessment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 — 30 days after assessment</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 — active, expired, invalidated or superseded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 for invalidation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r>
      <w:tr>
        <w:trPr>
          <w:cantSplit/>
        </w:trPr>
        <w:tc>
          <w:tcPr>
            <w:tcW w:type="dxa" w:w="77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solicitation consent this assessment relies on</w:t>
            </w:r>
          </w:p>
        </w:tc>
        <w:tc>
          <w:tcPr>
            <w:tcW w:type="dxa" w:w="2891"/>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Mandatory</w:t>
            </w:r>
          </w:p>
        </w:tc>
      </w:tr>
      <w:tr>
        <w:trPr>
          <w:cantSplit/>
        </w:trPr>
        <w:tc>
          <w:tcPr>
            <w:tcW w:type="dxa" w:w="77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Reference to the stored suitability statement given to the customer</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created without a valid solicitation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assessment with no such consent: refused. This is the consent fail-closed rule applied at the suitability boundary.</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human-readable suitability statement MUST be produced at the time of assessment and stored unalterably. It is the document shown to the customer and retained for audit.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assessment has a resolvable statement, and that statement contains all twelve answers, the derived values, and every outcome with its reasons.</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store MUST be append-only, on the same terms as the consent store.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Update and delete by the application’s database account fail on privilege.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seven years from the journey’s terminal state, write-once, in an India region.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same test as CNS-R33 and CNS-R34.</w:t>
            </w:r>
          </w:p>
        </w:tc>
      </w:tr>
    </w:tbl>
    <w:p>
      <w:pPr>
        <w:pStyle w:val="Heading2"/>
        <w:pageBreakBefore/>
        <w:spacing w:after="120" w:before="0"/>
      </w:pPr>
      <w:r>
        <w:rPr>
          <w:b/>
          <w:bCs/>
          <w:color w:val="11304E"/>
          <w:sz w:val="24"/>
          <w:szCs w:val="24"/>
        </w:rPr>
        <w:t xml:space="preserve">6.  The gate before quote</w:t>
      </w:r>
    </w:p>
    <w:p>
      <w:pPr>
        <w:spacing w:after="120" w:before="0" w:line="276"/>
        <w:jc w:val="left"/>
      </w:pPr>
      <w:r>
        <w:rPr>
          <w:b w:val="false"/>
          <w:bCs w:val="false"/>
          <w:i w:val="false"/>
          <w:iCs w:val="false"/>
          <w:color w:val="222629"/>
          <w:sz w:val="20"/>
          <w:szCs w:val="20"/>
        </w:rPr>
        <w:t xml:space="preserve">All seven refusal cases are mandatory tests of the built service.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3855"/>
        <w:gridCol w:w="1446"/>
        <w:gridCol w:w="3855"/>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Result</w:t>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assessment identifier on the request</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SUITABILITY_EVALUATION_REQUIRED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identifier does not exist</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SUITABILITY_EVALUATION_NOT_FOUND</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older than 30 days</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SUITABILITY_EVALUATION_EXPIRED</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belongs to a different customer</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SUITABILITY_SUBJECT_MISMATCH — plus a security event</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for the requested class is not suitable</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PRODUCT_CLASS_NOT_SUITABLE</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outcome is insufficient data</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SUITABILITY_INSUFFICIENT_DATA</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is invalidated, expired or superseded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Refused</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SUITABILITY_EVALUATION_INVALID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be enforced server-side at the quote interface — not in the screen, not in the layer serving the screen alone, and not at the insurer aggregator.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Call the quote interface directly, bypassing the screen and its serving layer, with no assessment identifier.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MUST fail closed. If the assessment service is unavailable, quotes are refused, not permitted.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Take the assessment service down; quote requests are refused and no quote is generated.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implementing the gate MUST hold complete branch coverage, with no waiver available to any authority.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coverage report filtered to the gate shows every branch exercised.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refusal by the gate MUST emit an audit event carrying the actor, the customer, the product class, the assessment identifier if any, and the reason.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each of the seven cases; seven audit events exist with seven distinct reasons.</w:t>
            </w:r>
          </w:p>
        </w:tc>
      </w:tr>
    </w:tbl>
    <w:p>
      <w:pPr>
        <w:spacing w:after="120"/>
      </w:pPr>
      <w:r>
        <w:t xml:space="preserve"/>
      </w:r>
    </w:p>
    <w:tbl>
      <w:tblPr>
        <w:tblW w:type="dxa" w:w="9638"/>
        <w:tblBorders>
          <w:top w:val="none" w:color="FFFFFF" w:sz="0"/>
          <w:left w:val="single" w:color="9B2226"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9B2226"/>
                <w:sz w:val="20"/>
                <w:szCs w:val="20"/>
              </w:rPr>
              <w:t xml:space="preserve">SUIT-R26 is the rule that prevents the classic failure</w:t>
            </w:r>
          </w:p>
          <w:p>
            <w:pPr>
              <w:spacing w:after="0" w:before="0" w:line="276"/>
              <w:jc w:val="left"/>
            </w:pPr>
            <w:r>
              <w:rPr>
                <w:b w:val="false"/>
                <w:bCs w:val="false"/>
                <w:i w:val="false"/>
                <w:iCs w:val="false"/>
                <w:color w:val="222629"/>
                <w:sz w:val="20"/>
                <w:szCs w:val="20"/>
              </w:rPr>
              <w:t xml:space="preserve">A gate that fails open under load is a gate that is absent exactly when volume is highest — which is also when the volume of unsuitable sales would be highest.</w:t>
            </w:r>
          </w:p>
        </w:tc>
      </w:tr>
    </w:tbl>
    <w:p>
      <w:pPr>
        <w:pStyle w:val="Heading2"/>
        <w:pageBreakBefore/>
        <w:spacing w:after="120" w:before="0"/>
      </w:pPr>
      <w:r>
        <w:rPr>
          <w:b/>
          <w:bCs/>
          <w:color w:val="11304E"/>
          <w:sz w:val="24"/>
          <w:szCs w:val="24"/>
        </w:rPr>
        <w:t xml:space="preserve">7.  Invalidation, re-assessment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SUIT-R29</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Thirty days after assessment, the status becomes expired.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an assessment past 30 days; its status changes and the gate refuses it.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SUIT-R30</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the solicitation consent invalidates the assessment.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the consent; the assessment status becomes invalidated with the reason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new assessment for the same customer supersedes the previous one, which must then be used no further.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Create a second assessment; the first is marked superseded and the gate accepts only the new identifier.</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change to the questionnaire or the algorithm invalidates all active assessments made under the earlier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version change; active assessments under the prior version are invalidated with the reason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reports a change to income, dependants, existing cover or liabilities, staff MUST re-assess. The platform offers the path; it cannot detect the change.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re-assessment path is available from the journey at any point before quote.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whose journey has reached submitted-proposal MUST NOT be invalidated by expiry or by a model version change.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Age such an assessment past 30 days; the proposal in flight is unaffected and retains its evidence.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active assessment MAY be reused across journeys for the same customer within its 30-day window.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and start another 10 days later for the same customer; the existing assessment is reused with no repeat questionnaire.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assessment MUST NOT be reused across customers under any circumstances.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Covered by case 4 of the gate test matrix in §6.</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Each reuse MUST be recorded — the journey, the time, and the acting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an assessment across two journeys; two usage records exist.</w:t>
            </w:r>
          </w:p>
        </w:tc>
      </w:tr>
    </w:tbl>
    <w:p>
      <w:pPr>
        <w:spacing w:after="12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Why SUIT-R34 exists</w:t>
            </w:r>
          </w:p>
          <w:p>
            <w:pPr>
              <w:spacing w:after="0" w:before="0" w:line="276"/>
              <w:jc w:val="left"/>
            </w:pPr>
            <w:r>
              <w:rPr>
                <w:b w:val="false"/>
                <w:bCs w:val="false"/>
                <w:i w:val="false"/>
                <w:iCs w:val="false"/>
                <w:color w:val="222629"/>
                <w:sz w:val="20"/>
                <w:szCs w:val="20"/>
              </w:rPr>
              <w:t xml:space="preserve">A submitted proposal is a completed regulated act. Retrospectively invalidating the basis on which it was made creates a contradiction in the audit record rather than a control. This mirrors the equivalent consent rule, CNS-R05.</w:t>
            </w:r>
          </w:p>
        </w:tc>
      </w:tr>
    </w:tbl>
    <w:p>
      <w:pPr>
        <w:pStyle w:val="Heading2"/>
        <w:pageBreakBefore/>
        <w:spacing w:after="120" w:before="0"/>
      </w:pPr>
      <w:r>
        <w:rPr>
          <w:b/>
          <w:bCs/>
          <w:color w:val="11304E"/>
          <w:sz w:val="24"/>
          <w:szCs w:val="24"/>
        </w:rPr>
        <w:t xml:space="preserve">8.  What may never be overridden</w:t>
      </w:r>
    </w:p>
    <w:p>
      <w:pPr>
        <w:spacing w:after="120" w:before="0" w:line="276"/>
        <w:jc w:val="left"/>
      </w:pPr>
      <w:r>
        <w:rPr>
          <w:b w:val="false"/>
          <w:bCs w:val="false"/>
          <w:i w:val="false"/>
          <w:iCs w:val="false"/>
          <w:color w:val="222629"/>
          <w:sz w:val="20"/>
          <w:szCs w:val="20"/>
        </w:rPr>
        <w:t xml:space="preserve">This is the area where a suitability control usually fails in practice, because a bank that makes overriding easy has an advisory process with a bypass button.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not-suitable outcome MUST NOT be overridden by any actor at any level in the first release. There is no override route, no approval workflow and no configuration switch. The quote is refused.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an override through every route — screen, interface, administrative console, direct service call. All four refused. The absence of a feature is proven by attempting to use it.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SUIT-R39</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insufficient-data outcome MUST NOT be overridden. The missing input is obtained, or the journey stops.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proceed with a missing derived input: refused.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SUIT-R40</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itself MUST NOT be disableable by feature flag, configuration, environment setting or request header in any environment holding customer data.</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Search the built system for any conditional capable of disabling the gate: none exists. Attempt to pass a bypass header in the test environment: refused.</w:t>
            </w:r>
          </w:p>
        </w:tc>
      </w:tr>
    </w:tbl>
    <w:p>
      <w:pPr>
        <w:spacing w:after="120"/>
      </w:pPr>
      <w:r>
        <w:t xml:space="preserve"/>
      </w:r>
    </w:p>
    <w:p>
      <w:pPr>
        <w:pStyle w:val="Heading2"/>
        <w:pageBreakBefore/>
        <w:spacing w:after="120" w:before="0"/>
      </w:pPr>
      <w:r>
        <w:rPr>
          <w:b/>
          <w:bCs/>
          <w:color w:val="11304E"/>
          <w:sz w:val="24"/>
          <w:szCs w:val="24"/>
        </w:rPr>
        <w:t xml:space="preserve">9.  Caution outcomes — proceed with disclosure, not with override</w:t>
      </w:r>
    </w:p>
    <w:p>
      <w:pPr>
        <w:spacing w:after="120" w:before="0" w:line="276"/>
        <w:jc w:val="left"/>
      </w:pPr>
      <w:r>
        <w:rPr>
          <w:b w:val="false"/>
          <w:bCs w:val="false"/>
          <w:i w:val="false"/>
          <w:iCs w:val="false"/>
          <w:color w:val="222629"/>
          <w:sz w:val="20"/>
          <w:szCs w:val="20"/>
        </w:rPr>
        <w:t xml:space="preserve">A caution outcome is not an exception. It permits the quote, and it obliges a disclosure.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any product class returns a caution outcome, the customer MUST be shown the specific caution reason in plain language before proceeding, and MUST acknowledge it.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an affordability caution; the disclosure names the affordability concern specifically, not a generic warning.</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MUST be captured on the customer’s own device with the same verification as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cannot acknowledge a caution disclosure on the staff device.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record MUST carry the reasons acknowledged, the disclosure text and its version, the time, and the verification transaction.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the record; all fields present.</w:t>
            </w:r>
          </w:p>
        </w:tc>
      </w:tr>
    </w:tbl>
    <w:p>
      <w:pPr>
        <w:spacing w:after="120"/>
      </w:pPr>
      <w:r>
        <w:t xml:space="preserve"/>
      </w:r>
    </w:p>
    <w:p>
      <w:pPr>
        <w:pStyle w:val="Heading2"/>
        <w:spacing w:after="120" w:before="300"/>
      </w:pPr>
      <w:r>
        <w:rPr>
          <w:b/>
          <w:bCs/>
          <w:color w:val="11304E"/>
          <w:sz w:val="24"/>
          <w:szCs w:val="24"/>
        </w:rPr>
        <w:t xml:space="preserve">10.  Customer-initiated deviation</w:t>
      </w:r>
    </w:p>
    <w:p>
      <w:pPr>
        <w:spacing w:after="120" w:before="0" w:line="276"/>
        <w:jc w:val="left"/>
      </w:pPr>
      <w:r>
        <w:rPr>
          <w:b w:val="false"/>
          <w:bCs w:val="false"/>
          <w:i w:val="false"/>
          <w:iCs w:val="false"/>
          <w:color w:val="222629"/>
          <w:sz w:val="20"/>
          <w:szCs w:val="20"/>
        </w:rPr>
        <w:t xml:space="preserve">A customer may want a product the model did not put first, where that product is nonetheless permitted for them. This is legitimate and is not an override.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SUIT-R44</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MAY select any product whose class outcome is suitable or suitable with caution, including one the model did not rank first. The selection is recorded as diverging from the recommendation, with a customer-stated reason.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Select a product that was not ranked first; the divergence flag and the reason persist on the journey.</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SUIT-R45</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diverged selection MUST NOT change the outcome of any class. The model result is immutable evidence of what was assessed.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a divergence, re-read the assessment; the outcomes are unchanged.</w:t>
            </w:r>
          </w:p>
        </w:tc>
      </w:tr>
    </w:tbl>
    <w:p>
      <w:pPr>
        <w:spacing w:after="120"/>
      </w:pPr>
      <w:r>
        <w:t xml:space="preserve"/>
      </w:r>
    </w:p>
    <w:p>
      <w:pPr>
        <w:pStyle w:val="Heading2"/>
        <w:spacing w:after="120" w:before="300"/>
      </w:pPr>
      <w:r>
        <w:rPr>
          <w:b/>
          <w:bCs/>
          <w:color w:val="11304E"/>
          <w:sz w:val="24"/>
          <w:szCs w:val="24"/>
        </w:rPr>
        <w:t xml:space="preserve">11.  Replacement of an existing policy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SUIT-R46</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customer is replacing an existing policy, a replacement disclosure MUST be presented and acknowledged on the customer’s device before any quote, covering loss of accrued benefit, fresh waiting and contestability periods, and the risk of re-underwriting.</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Set the replacement answer to yes; the quote is refused until the replacement acknowledgement exists.</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SUIT-R47</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cases MUST be flagged for post-sale operations review.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review task exists for every such journey.</w:t>
            </w:r>
          </w:p>
        </w:tc>
      </w:tr>
    </w:tbl>
    <w:p>
      <w:pPr>
        <w:spacing w:after="120"/>
      </w:pPr>
      <w:r>
        <w:t xml:space="preserve"/>
      </w:r>
    </w:p>
    <w:p>
      <w:pPr>
        <w:pStyle w:val="Heading2"/>
        <w:spacing w:after="120" w:before="300"/>
      </w:pPr>
      <w:r>
        <w:rPr>
          <w:b/>
          <w:bCs/>
          <w:color w:val="11304E"/>
          <w:sz w:val="24"/>
          <w:szCs w:val="24"/>
        </w:rPr>
        <w:t xml:space="preserve">12.  The one exception that does exist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SUIT-R48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business believes an assessment is wrong because of a defect in the model — not because the answer is inconvenient — the route is a defect report against the algorithm version, raised to Product and Compliance and resolved by publishing a corrected version under change control. It is never resolved for an individual customer in flight.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defect route exists and is documented; no per-customer correction route exists on any surface.</w:t>
            </w:r>
          </w:p>
        </w:tc>
      </w:tr>
    </w:tbl>
    <w:p>
      <w:pPr>
        <w:spacing w:after="120"/>
      </w:pPr>
      <w:r>
        <w:t xml:space="preserve"/>
      </w:r>
    </w:p>
    <w:tbl>
      <w:tblPr>
        <w:tblW w:type="dxa" w:w="9638"/>
        <w:tblBorders>
          <w:top w:val="none" w:color="FFFFFF" w:sz="0"/>
          <w:left w:val="single" w:color="9B2226"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9B2226"/>
                <w:sz w:val="20"/>
                <w:szCs w:val="20"/>
              </w:rPr>
              <w:t xml:space="preserve">The reasoning behind SUIT-R48</w:t>
            </w:r>
          </w:p>
          <w:p>
            <w:pPr>
              <w:spacing w:after="0" w:before="0" w:line="276"/>
              <w:jc w:val="left"/>
            </w:pPr>
            <w:r>
              <w:rPr>
                <w:b w:val="false"/>
                <w:bCs w:val="false"/>
                <w:i w:val="false"/>
                <w:iCs w:val="false"/>
                <w:color w:val="222629"/>
                <w:sz w:val="20"/>
                <w:szCs w:val="20"/>
              </w:rPr>
              <w:t xml:space="preserve">Per-case exceptions to a suitability model are indistinguishable, at audit, from mis-selling. A model that is wrong for one customer is wrong for a population, and the correct remedy operates on the population.</w:t>
            </w:r>
          </w:p>
        </w:tc>
      </w:tr>
    </w:tbl>
    <w:p>
      <w:pPr>
        <w:pStyle w:val="Heading2"/>
        <w:spacing w:after="120" w:before="300"/>
      </w:pPr>
      <w:r>
        <w:rPr>
          <w:b/>
          <w:bCs/>
          <w:color w:val="11304E"/>
          <w:sz w:val="24"/>
          <w:szCs w:val="24"/>
        </w:rPr>
        <w:t xml:space="preserve">13.  Traceability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735"/>
        <w:gridCol w:w="5012"/>
        <w:gridCol w:w="2891"/>
      </w:tblGrid>
      <w:tr>
        <w:trPr>
          <w:cantSplit/>
          <w:tblHeader/>
        </w:trPr>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501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 the rules serve</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SUIT-R01 – R04</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documented need analysis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SUIT-R05 – R08</w:t>
            </w:r>
          </w:p>
        </w:tc>
        <w:tc>
          <w:tcPr>
            <w:tcW w:type="dxa" w:w="501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Advice that is deterministic and reproducible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SUIT-R09 – R19a</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of the recommendation to the customer</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SUIT-R20 – R28</w:t>
            </w:r>
          </w:p>
        </w:tc>
        <w:tc>
          <w:tcPr>
            <w:tcW w:type="dxa" w:w="501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Suitability assessed before any quote is shown</w:t>
            </w:r>
          </w:p>
        </w:tc>
        <w:tc>
          <w:tcPr>
            <w:tcW w:type="dxa" w:w="2891"/>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First end-to-end test, with complete branch coverage</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SUIT-R29 – R37</w:t>
            </w:r>
          </w:p>
        </w:tc>
        <w:tc>
          <w:tcPr>
            <w:tcW w:type="dxa" w:w="501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Currency of the advice given</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SUIT-R38 – R48</w:t>
            </w:r>
          </w:p>
        </w:tc>
        <w:tc>
          <w:tcPr>
            <w:tcW w:type="dxa" w:w="501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mis-selling; customer protection</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 then hardening before pilot</w:t>
            </w:r>
          </w:p>
        </w:tc>
      </w:tr>
    </w:tbl>
    <w:p>
      <w:pPr>
        <w:pStyle w:val="Heading2"/>
        <w:spacing w:after="120" w:before="300"/>
      </w:pPr>
      <w:r>
        <w:rPr>
          <w:b/>
          <w:bCs/>
          <w:color w:val="11304E"/>
          <w:sz w:val="24"/>
          <w:szCs w:val="24"/>
        </w:rPr>
        <w:t xml:space="preserve">14.  What this pack does not decide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5976"/>
        <w:gridCol w:w="2313"/>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597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income-multiple table and age factors discharge the suitability obligation, or whether a prescribed model applies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not-suitable outcome may ever be overridden with senior authorisation in a later release — the position for the first release is never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the executive sponsor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OPEN-SUIT-03</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the caution and replacement disclosures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597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30-day validity window is acceptable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OPEN-SUIT-05</w:t>
            </w:r>
          </w:p>
        </w:tc>
        <w:tc>
          <w:tcPr>
            <w:tcW w:type="dxa" w:w="597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panel imposes suitability requirements exceeding this model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Bancassurance with 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Suitability Service. All five are calibration or wording questions over a model whose structure, storage, gate and failure behaviour they do not change.</w:t>
      </w:r>
    </w:p>
    <w:p>
      <w:pPr>
        <w:pStyle w:val="Heading1"/>
        <w:pageBreakBefore/>
        <w:pBdr>
          <w:bottom w:val="single" w:color="0F6E6E" w:sz="8" w:space="6"/>
        </w:pBdr>
        <w:spacing w:after="160" w:before="0"/>
      </w:pPr>
      <w:r>
        <w:rPr>
          <w:b/>
          <w:bCs/>
          <w:color w:val="11304E"/>
          <w:sz w:val="30"/>
          <w:szCs w:val="30"/>
        </w:rPr>
        <w:t xml:space="preserve">Appendix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§4,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§5.</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§8.</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3 of 3 — Suitability Rule Pack · Prepared by Rajal, Principal Insurance Platform Product Owner · AU Bank Insurance Distribution Platform · 17 August 2026 · Approval reference COMP-APPROVE-CNS-SUIT-v1.0</w:t>
      </w:r>
    </w:p>
    <w:sectPr>
      <w:headerReference w:type="default" r:id="rId7"/>
      <w:footerReference w:type="default" r:id="rId8"/>
      <w:pgSz w:w="11906" w:h="16838" w:orient="portrait"/>
      <w:pgMar w:top="1134" w:right="1134" w:bottom="1134" w:left="1134" w:header="68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3 — Suitability Rule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3, Suitability Rule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2026-08-17T07:18:28.810Z</dcterms:created>
  <dcterms:modified xsi:type="dcterms:W3CDTF">2026-08-17T07:18:28.810Z</dcterms:modified>
</cp:coreProperties>
</file>

<file path=docProps/custom.xml><?xml version="1.0" encoding="utf-8"?>
<Properties xmlns="http://schemas.openxmlformats.org/officeDocument/2006/custom-properties" xmlns:vt="http://schemas.openxmlformats.org/officeDocument/2006/docPropsVTypes"/>
</file>