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 Bank End-to-End Insurance Platform — Business Domain and Ownership Model</w:t>
      </w:r>
    </w:p>
    <w:p>
      <w:pPr>
        <w:pStyle w:val="Subtitle"/>
      </w:pPr>
      <w:r>
        <w:t>Architecture pre-approval document</w:t>
      </w:r>
      <w:r>
        <w:t xml:space="preserve">  |  AU Bank End-to-End Insurance Platform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rPr>
          <w:cantSplit/>
          <w:trHeight w:hRule="atLeast"/>
          <w:tblHeader w:val="true"/>
        </w:trPr>
        <w:tc>
          <w:tcPr>
            <w:tcW w:type="dxa" w:w="9360"/>
            <w:vAlign w:val="center"/>
            <w:tcBorders>
              <w:top w:val="single" w:sz="14" w:color="B33A3A"/>
              <w:left w:val="single" w:sz="14" w:color="B33A3A"/>
              <w:bottom w:val="single" w:sz="14" w:color="B33A3A"/>
              <w:right w:val="single" w:sz="14" w:color="B33A3A"/>
              <w:insideH w:val="single" w:sz="14" w:color="B33A3A"/>
              <w:insideV w:val="single" w:sz="14" w:color="B33A3A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CE4E4"/>
          </w:tcPr>
          <w:p>
            <w:pPr>
              <w:jc w:val="center"/>
            </w:pPr>
            <w:r>
              <w:rPr>
                <w:b/>
                <w:color w:val="B33A3A"/>
                <w:sz w:val="21"/>
              </w:rPr>
              <w:t>DRAFT FOR REVIEW - NOT APPROVED - NOT AUTHORISED FOR DEVELOPMENT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1497"/>
        <w:gridCol w:w="3182"/>
        <w:gridCol w:w="1497"/>
        <w:gridCol w:w="3184"/>
      </w:tblGrid>
      <w:tr>
        <w:trPr>
          <w:cantSplit/>
          <w:trHeight w:hRule="atLeast"/>
          <w:tblHeader w:val="true"/>
        </w:trPr>
        <w:tc>
          <w:tcPr>
            <w:tcW w:type="dxa" w:w="1497"/>
            <w:shd w:fill="D9EAF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Version</w:t>
            </w:r>
          </w:p>
        </w:tc>
        <w:tc>
          <w:tcPr>
            <w:tcW w:type="dxa" w:w="318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0.1</w:t>
            </w:r>
          </w:p>
        </w:tc>
        <w:tc>
          <w:tcPr>
            <w:tcW w:type="dxa" w:w="1497"/>
            <w:shd w:fill="D9EAF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Date</w:t>
            </w:r>
          </w:p>
        </w:tc>
        <w:tc>
          <w:tcPr>
            <w:tcW w:type="dxa" w:w="318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17 August 2026</w:t>
            </w:r>
          </w:p>
        </w:tc>
      </w:tr>
      <w:tr>
        <w:trPr>
          <w:cantSplit/>
          <w:trHeight w:hRule="atLeast"/>
        </w:trPr>
        <w:tc>
          <w:tcPr>
            <w:tcW w:type="dxa" w:w="1497"/>
            <w:shd w:fill="D9EAF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Document owner</w:t>
            </w:r>
          </w:p>
        </w:tc>
        <w:tc>
          <w:tcPr>
            <w:tcW w:type="dxa" w:w="318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Mahesh, Principal Insurance Platform Architect</w:t>
            </w:r>
          </w:p>
        </w:tc>
        <w:tc>
          <w:tcPr>
            <w:tcW w:type="dxa" w:w="1497"/>
            <w:shd w:fill="D9EAF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Approval state</w:t>
            </w:r>
          </w:p>
        </w:tc>
        <w:tc>
          <w:tcPr>
            <w:tcW w:type="dxa" w:w="318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1497"/>
            <w:shd w:fill="D9EAF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Purpose</w:t>
            </w:r>
          </w:p>
        </w:tc>
        <w:tc>
          <w:tcPr>
            <w:tcW w:type="dxa" w:w="318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Define the core business areas, their ownership boundaries and their interactions</w:t>
            </w:r>
          </w:p>
        </w:tc>
        <w:tc>
          <w:tcPr>
            <w:tcW w:type="dxa" w:w="1497"/>
            <w:shd w:fill="D9EAF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Next action</w:t>
            </w:r>
          </w:p>
        </w:tc>
        <w:tc>
          <w:tcPr>
            <w:tcW w:type="dxa" w:w="318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Stakeholder review and recorded decision</w:t>
            </w:r>
          </w:p>
        </w:tc>
      </w:tr>
    </w:tbl>
    <w:p/>
    <w:p>
      <w:pPr>
        <w:pStyle w:val="Heading1"/>
      </w:pPr>
      <w:r>
        <w:t>1. Ownership model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 title="Business domains and ownership boundaries" descr="Business domains and ownership boundaries. Diagram prepared for stakeholder re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_ownership_map_v0.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i/>
          <w:color w:val="5B6573"/>
          <w:sz w:val="18"/>
        </w:rPr>
        <w:t>Figure: Business domains and ownership boundaries</w:t>
      </w:r>
    </w:p>
    <w:p>
      <w:r>
        <w:t>Each business area owns a distinct set of rules and data. Other areas request information or an action through an agreed service boundary. They do not read or change another area's stored data directly.</w:t>
      </w:r>
    </w:p>
    <w:p>
      <w:r>
        <w:br w:type="page"/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1575"/>
        <w:gridCol w:w="1946"/>
        <w:gridCol w:w="1946"/>
        <w:gridCol w:w="1946"/>
        <w:gridCol w:w="1947"/>
      </w:tblGrid>
      <w:tr>
        <w:trPr>
          <w:cantSplit/>
          <w:trHeight w:hRule="atLeast"/>
          <w:tblHeader w:val="true"/>
        </w:trPr>
        <w:tc>
          <w:tcPr>
            <w:tcW w:type="dxa" w:w="1575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Business area</w:t>
            </w:r>
          </w:p>
        </w:tc>
        <w:tc>
          <w:tcPr>
            <w:tcW w:type="dxa" w:w="1946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1946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Owns</w:t>
            </w:r>
          </w:p>
        </w:tc>
        <w:tc>
          <w:tcPr>
            <w:tcW w:type="dxa" w:w="1946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Does not own</w:t>
            </w:r>
          </w:p>
        </w:tc>
        <w:tc>
          <w:tcPr>
            <w:tcW w:type="dxa" w:w="1947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Main interactions</w:t>
            </w:r>
          </w:p>
        </w:tc>
      </w:tr>
      <w:tr>
        <w:trPr>
          <w:cantSplit/>
          <w:trHeight w:hRule="atLeast"/>
        </w:trPr>
        <w:tc>
          <w:tcPr>
            <w:tcW w:type="dxa" w:w="157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Identity and Access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Sign-in, session and permissions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Workforce identity links, roles, branch and insurer access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Customer, policy or payment data</w:t>
            </w:r>
          </w:p>
        </w:tc>
        <w:tc>
          <w:tcPr>
            <w:tcW w:type="dxa" w:w="194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Relationship Manager Workspace and all protected business areas</w:t>
            </w:r>
          </w:p>
        </w:tc>
      </w:tr>
      <w:tr>
        <w:trPr>
          <w:cantSplit/>
          <w:trHeight w:hRule="atLeast"/>
        </w:trPr>
        <w:tc>
          <w:tcPr>
            <w:tcW w:type="dxa" w:w="157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Relationship Manager Workspace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Present the assisted sales journey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Screen state and server-held user session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Insurance business decisions</w:t>
            </w:r>
          </w:p>
        </w:tc>
        <w:tc>
          <w:tcPr>
            <w:tcW w:type="dxa" w:w="194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Identity, Journey Coordination and business areas</w:t>
            </w:r>
          </w:p>
        </w:tc>
      </w:tr>
      <w:tr>
        <w:trPr>
          <w:cantSplit/>
          <w:trHeight w:hRule="atLeast"/>
        </w:trPr>
        <w:tc>
          <w:tcPr>
            <w:tcW w:type="dxa" w:w="157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Customer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Provide the bank customer view needed for insurance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Customer snapshot, source and freshness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Core bank customer master</w:t>
            </w:r>
          </w:p>
        </w:tc>
        <w:tc>
          <w:tcPr>
            <w:tcW w:type="dxa" w:w="194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Core banking, Lead and Journey Coordination</w:t>
            </w:r>
          </w:p>
        </w:tc>
      </w:tr>
      <w:tr>
        <w:trPr>
          <w:cantSplit/>
          <w:trHeight w:hRule="atLeast"/>
        </w:trPr>
        <w:tc>
          <w:tcPr>
            <w:tcW w:type="dxa" w:w="157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Lead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Manage sales opportunity ownership and progress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Lead, assignment, source and lead status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Customer master or insurance journey state</w:t>
            </w:r>
          </w:p>
        </w:tc>
        <w:tc>
          <w:tcPr>
            <w:tcW w:type="dxa" w:w="194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Customer, Relationship Manager Workspace and Journey Coordination</w:t>
            </w:r>
          </w:p>
        </w:tc>
      </w:tr>
      <w:tr>
        <w:trPr>
          <w:cantSplit/>
          <w:trHeight w:hRule="atLeast"/>
        </w:trPr>
        <w:tc>
          <w:tcPr>
            <w:tcW w:type="dxa" w:w="157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Consent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Record customer permission and disclosures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Consent wording version, customer confirmation, time and status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Suitability or proposal rules</w:t>
            </w:r>
          </w:p>
        </w:tc>
        <w:tc>
          <w:tcPr>
            <w:tcW w:type="dxa" w:w="194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Journey Coordination, Proposal and Audit</w:t>
            </w:r>
          </w:p>
        </w:tc>
      </w:tr>
      <w:tr>
        <w:trPr>
          <w:cantSplit/>
          <w:trHeight w:hRule="atLeast"/>
        </w:trPr>
        <w:tc>
          <w:tcPr>
            <w:tcW w:type="dxa" w:w="157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Suitability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Decide whether the proposed insurance path is suitable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Inputs, rule version, result, reasons and validity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Product catalogue or insurer underwriting</w:t>
            </w:r>
          </w:p>
        </w:tc>
        <w:tc>
          <w:tcPr>
            <w:tcW w:type="dxa" w:w="194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Product Catalogue, Quotation, Journey Coordination and Audit</w:t>
            </w:r>
          </w:p>
        </w:tc>
      </w:tr>
      <w:tr>
        <w:trPr>
          <w:cantSplit/>
          <w:trHeight w:hRule="atLeast"/>
        </w:trPr>
        <w:tc>
          <w:tcPr>
            <w:tcW w:type="dxa" w:w="157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Product Catalogue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Define products the bank may offer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Product, insurer, eligibility, channel and effective dates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 quote or proposal state</w:t>
            </w:r>
          </w:p>
        </w:tc>
        <w:tc>
          <w:tcPr>
            <w:tcW w:type="dxa" w:w="194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Suitability, Quotation and Administration</w:t>
            </w:r>
          </w:p>
        </w:tc>
      </w:tr>
      <w:tr>
        <w:trPr>
          <w:cantSplit/>
          <w:trHeight w:hRule="atLeast"/>
        </w:trPr>
        <w:tc>
          <w:tcPr>
            <w:tcW w:type="dxa" w:w="157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Journey Coordination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Track end-to-end progress and recovery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Journey stage, references, next action and failure state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Another area's business decision or detailed records</w:t>
            </w:r>
          </w:p>
        </w:tc>
        <w:tc>
          <w:tcPr>
            <w:tcW w:type="dxa" w:w="194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All journey business areas and Operations</w:t>
            </w:r>
          </w:p>
        </w:tc>
      </w:tr>
      <w:tr>
        <w:trPr>
          <w:cantSplit/>
          <w:trHeight w:hRule="atLeast"/>
        </w:trPr>
        <w:tc>
          <w:tcPr>
            <w:tcW w:type="dxa" w:w="157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Quotation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Request and manage insurance offers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Quote request, offer, expiry, status and selected offer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Suitability result or partner product definition</w:t>
            </w:r>
          </w:p>
        </w:tc>
        <w:tc>
          <w:tcPr>
            <w:tcW w:type="dxa" w:w="194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Suitability, Product Catalogue, Partner Integration and Journey Coordination</w:t>
            </w:r>
          </w:p>
        </w:tc>
      </w:tr>
      <w:tr>
        <w:trPr>
          <w:cantSplit/>
          <w:trHeight w:hRule="atLeast"/>
        </w:trPr>
        <w:tc>
          <w:tcPr>
            <w:tcW w:type="dxa" w:w="157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Proposal and Underwriting Tracking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Capture and track the application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Proposal, documents, submission and insurer requirements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Insurer underwriting decision</w:t>
            </w:r>
          </w:p>
        </w:tc>
        <w:tc>
          <w:tcPr>
            <w:tcW w:type="dxa" w:w="194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Consent, Quotation, Partner Integration and Journey Coordination</w:t>
            </w:r>
          </w:p>
        </w:tc>
      </w:tr>
      <w:tr>
        <w:trPr>
          <w:cantSplit/>
          <w:trHeight w:hRule="atLeast"/>
        </w:trPr>
        <w:tc>
          <w:tcPr>
            <w:tcW w:type="dxa" w:w="157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Payment and Reconciliation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Manage the premium payment state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Payment session, payment result, settlement and reconciliation state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Policy issuance</w:t>
            </w:r>
          </w:p>
        </w:tc>
        <w:tc>
          <w:tcPr>
            <w:tcW w:type="dxa" w:w="194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Customer payment device, bank payment service, Policy and Finance</w:t>
            </w:r>
          </w:p>
        </w:tc>
      </w:tr>
      <w:tr>
        <w:trPr>
          <w:cantSplit/>
          <w:trHeight w:hRule="atLeast"/>
        </w:trPr>
        <w:tc>
          <w:tcPr>
            <w:tcW w:type="dxa" w:w="157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Policy and Issuance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Confirm and expose the issued policy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Policy record, issue status, document references and sold-status evidence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Payment settlement</w:t>
            </w:r>
          </w:p>
        </w:tc>
        <w:tc>
          <w:tcPr>
            <w:tcW w:type="dxa" w:w="194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Payment, Partner Integration, Operations and Audit</w:t>
            </w:r>
          </w:p>
        </w:tc>
      </w:tr>
      <w:tr>
        <w:trPr>
          <w:cantSplit/>
          <w:trHeight w:hRule="atLeast"/>
        </w:trPr>
        <w:tc>
          <w:tcPr>
            <w:tcW w:type="dxa" w:w="157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Partner Integration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Connect the platform to insurers and service providers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Partner routing, translated messages, partner request status and technical correlation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Bank business rules or journey meaning</w:t>
            </w:r>
          </w:p>
        </w:tc>
        <w:tc>
          <w:tcPr>
            <w:tcW w:type="dxa" w:w="194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Quotation, Proposal, Policy and external partners</w:t>
            </w:r>
          </w:p>
        </w:tc>
      </w:tr>
      <w:tr>
        <w:trPr>
          <w:cantSplit/>
          <w:trHeight w:hRule="atLeast"/>
        </w:trPr>
        <w:tc>
          <w:tcPr>
            <w:tcW w:type="dxa" w:w="157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Communications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Deliver required customer and staff messages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Message request, channel, delivery status and template version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Payment or journey decisions</w:t>
            </w:r>
          </w:p>
        </w:tc>
        <w:tc>
          <w:tcPr>
            <w:tcW w:type="dxa" w:w="194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Consent, Payment, Policy and Operations</w:t>
            </w:r>
          </w:p>
        </w:tc>
      </w:tr>
      <w:tr>
        <w:trPr>
          <w:cantSplit/>
          <w:trHeight w:hRule="atLeast"/>
        </w:trPr>
        <w:tc>
          <w:tcPr>
            <w:tcW w:type="dxa" w:w="157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Audit and Compliance Evidence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Preserve attributable evidence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Actor, action, time, purpose, before-and-after meaning and evidence chain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Operational business decisions</w:t>
            </w:r>
          </w:p>
        </w:tc>
        <w:tc>
          <w:tcPr>
            <w:tcW w:type="dxa" w:w="194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Every regulated business area</w:t>
            </w:r>
          </w:p>
        </w:tc>
      </w:tr>
      <w:tr>
        <w:trPr>
          <w:cantSplit/>
          <w:trHeight w:hRule="atLeast"/>
        </w:trPr>
        <w:tc>
          <w:tcPr>
            <w:tcW w:type="dxa" w:w="157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Operations Work Management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Manage manual recovery and exception work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Work item, owner, deadline, action and closure evidence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Source business state</w:t>
            </w:r>
          </w:p>
        </w:tc>
        <w:tc>
          <w:tcPr>
            <w:tcW w:type="dxa" w:w="194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Journey Coordination, Payment, Policy, Audit and Communications</w:t>
            </w:r>
          </w:p>
        </w:tc>
      </w:tr>
      <w:tr>
        <w:trPr>
          <w:cantSplit/>
          <w:trHeight w:hRule="atLeast"/>
        </w:trPr>
        <w:tc>
          <w:tcPr>
            <w:tcW w:type="dxa" w:w="157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Reporting and Information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Provide approved measures and management views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Reporting copies, measures and calculation versions</w:t>
            </w:r>
          </w:p>
        </w:tc>
        <w:tc>
          <w:tcPr>
            <w:tcW w:type="dxa" w:w="194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Source transaction records</w:t>
            </w:r>
          </w:p>
        </w:tc>
        <w:tc>
          <w:tcPr>
            <w:tcW w:type="dxa" w:w="194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All business areas through approved information feeds</w:t>
            </w:r>
          </w:p>
        </w:tc>
      </w:tr>
      <w:tr>
        <w:trPr>
          <w:cantSplit/>
          <w:trHeight w:hRule="atLeast"/>
        </w:trPr>
        <w:tc>
          <w:tcPr>
            <w:tcW w:type="dxa" w:w="157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Administration and Configuration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Manage controlled reference information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Approved configuration, rule publication and effective dates</w:t>
            </w:r>
          </w:p>
        </w:tc>
        <w:tc>
          <w:tcPr>
            <w:tcW w:type="dxa" w:w="194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Business approval of a product or compliance rule</w:t>
            </w:r>
          </w:p>
        </w:tc>
        <w:tc>
          <w:tcPr>
            <w:tcW w:type="dxa" w:w="194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Product Catalogue, Consent, Suitability, Identity and Communications</w:t>
            </w:r>
          </w:p>
        </w:tc>
      </w:tr>
    </w:tbl>
    <w:p>
      <w:pPr>
        <w:spacing w:after="0"/>
      </w:pPr>
    </w:p>
    <w:p>
      <w:pPr>
        <w:pStyle w:val="Heading1"/>
      </w:pPr>
      <w:r>
        <w:t>2. Interaction rules</w:t>
      </w:r>
    </w:p>
    <w:p>
      <w:pPr>
        <w:pStyle w:val="ListNumber"/>
        <w:numPr>
          <w:ilvl w:val="0"/>
          <w:numId w:val="10"/>
        </w:numPr>
        <w:spacing w:after="60"/>
        <w:ind w:left="360" w:hanging="230"/>
      </w:pPr>
      <w:r>
        <w:t>The Relationship Manager Workspace sends requests through a server-side session layer.</w:t>
      </w:r>
    </w:p>
    <w:p>
      <w:pPr>
        <w:pStyle w:val="ListNumber"/>
        <w:numPr>
          <w:ilvl w:val="0"/>
          <w:numId w:val="10"/>
        </w:numPr>
        <w:spacing w:after="60"/>
        <w:ind w:left="360" w:hanging="230"/>
      </w:pPr>
      <w:r>
        <w:t>Every protected business area checks the user and the requested action.</w:t>
      </w:r>
    </w:p>
    <w:p>
      <w:pPr>
        <w:pStyle w:val="ListNumber"/>
        <w:numPr>
          <w:ilvl w:val="0"/>
          <w:numId w:val="10"/>
        </w:numPr>
        <w:spacing w:after="60"/>
        <w:ind w:left="360" w:hanging="230"/>
      </w:pPr>
      <w:r>
        <w:t>Journey Coordination records progress and references; it does not copy another area's decision.</w:t>
      </w:r>
    </w:p>
    <w:p>
      <w:pPr>
        <w:pStyle w:val="ListNumber"/>
        <w:numPr>
          <w:ilvl w:val="0"/>
          <w:numId w:val="10"/>
        </w:numPr>
        <w:spacing w:after="60"/>
        <w:ind w:left="360" w:hanging="230"/>
      </w:pPr>
      <w:r>
        <w:t>Quotation cannot proceed without a valid suitability result.</w:t>
      </w:r>
    </w:p>
    <w:p>
      <w:pPr>
        <w:pStyle w:val="ListNumber"/>
        <w:numPr>
          <w:ilvl w:val="0"/>
          <w:numId w:val="10"/>
        </w:numPr>
        <w:spacing w:after="60"/>
        <w:ind w:left="360" w:hanging="230"/>
      </w:pPr>
      <w:r>
        <w:t>Proposal submission cannot proceed without valid consent.</w:t>
      </w:r>
    </w:p>
    <w:p>
      <w:pPr>
        <w:pStyle w:val="ListNumber"/>
        <w:numPr>
          <w:ilvl w:val="0"/>
          <w:numId w:val="10"/>
        </w:numPr>
        <w:spacing w:after="60"/>
        <w:ind w:left="360" w:hanging="230"/>
      </w:pPr>
      <w:r>
        <w:t>Payment information is handled by the bank payment service, not by the Relationship Manager.</w:t>
      </w:r>
    </w:p>
    <w:p>
      <w:pPr>
        <w:pStyle w:val="ListNumber"/>
        <w:numPr>
          <w:ilvl w:val="0"/>
          <w:numId w:val="10"/>
        </w:numPr>
        <w:spacing w:after="60"/>
        <w:ind w:left="360" w:hanging="230"/>
      </w:pPr>
      <w:r>
        <w:t>Policy issuance cannot be treated as sold until payment reconciliation is confirmed.</w:t>
      </w:r>
    </w:p>
    <w:p>
      <w:pPr>
        <w:pStyle w:val="ListNumber"/>
        <w:numPr>
          <w:ilvl w:val="0"/>
          <w:numId w:val="10"/>
        </w:numPr>
        <w:spacing w:after="60"/>
        <w:ind w:left="360" w:hanging="230"/>
      </w:pPr>
      <w:r>
        <w:t>All insurer communication passes through Partner Integration.</w:t>
      </w:r>
    </w:p>
    <w:p>
      <w:pPr>
        <w:pStyle w:val="ListNumber"/>
        <w:numPr>
          <w:ilvl w:val="0"/>
          <w:numId w:val="10"/>
        </w:numPr>
        <w:spacing w:after="60"/>
        <w:ind w:left="360" w:hanging="230"/>
      </w:pPr>
      <w:r>
        <w:t>Regulated actions produce a durable audit record.</w:t>
      </w:r>
    </w:p>
    <w:p>
      <w:pPr>
        <w:pStyle w:val="ListNumber"/>
        <w:numPr>
          <w:ilvl w:val="0"/>
          <w:numId w:val="10"/>
        </w:numPr>
        <w:spacing w:after="60"/>
        <w:ind w:left="360" w:hanging="230"/>
      </w:pPr>
      <w:r>
        <w:t>Failed automatic recovery creates an owned operations task.</w:t>
      </w:r>
    </w:p>
    <w:p>
      <w:pPr>
        <w:pStyle w:val="ListNumber"/>
        <w:numPr>
          <w:ilvl w:val="0"/>
          <w:numId w:val="10"/>
        </w:numPr>
        <w:spacing w:after="60"/>
        <w:ind w:left="360" w:hanging="230"/>
      </w:pPr>
      <w:r>
        <w:t>Reporting receives approved copies and cannot update transaction data.</w:t>
      </w:r>
    </w:p>
    <w:p>
      <w:pPr>
        <w:pStyle w:val="Heading1"/>
      </w:pPr>
      <w:r>
        <w:t>3. Primary business interaction</w:t>
      </w:r>
    </w:p>
    <w:p>
      <w:pPr>
        <w:pStyle w:val="ListNumber"/>
        <w:numPr>
          <w:ilvl w:val="0"/>
          <w:numId w:val="11"/>
        </w:numPr>
        <w:spacing w:after="60"/>
        <w:ind w:left="360" w:hanging="230"/>
      </w:pPr>
      <w:r>
        <w:t>A Relationship Manager signs in and selects an existing bank customer.</w:t>
      </w:r>
    </w:p>
    <w:p>
      <w:pPr>
        <w:pStyle w:val="ListNumber"/>
        <w:numPr>
          <w:ilvl w:val="0"/>
          <w:numId w:val="11"/>
        </w:numPr>
        <w:spacing w:after="60"/>
        <w:ind w:left="360" w:hanging="230"/>
      </w:pPr>
      <w:r>
        <w:t>Customer information is retrieved and a journey is opened.</w:t>
      </w:r>
    </w:p>
    <w:p>
      <w:pPr>
        <w:pStyle w:val="ListNumber"/>
        <w:numPr>
          <w:ilvl w:val="0"/>
          <w:numId w:val="11"/>
        </w:numPr>
        <w:spacing w:after="60"/>
        <w:ind w:left="360" w:hanging="230"/>
      </w:pPr>
      <w:r>
        <w:t>The customer's need is assessed.</w:t>
      </w:r>
    </w:p>
    <w:p>
      <w:pPr>
        <w:pStyle w:val="ListNumber"/>
        <w:numPr>
          <w:ilvl w:val="0"/>
          <w:numId w:val="11"/>
        </w:numPr>
        <w:spacing w:after="60"/>
        <w:ind w:left="360" w:hanging="230"/>
      </w:pPr>
      <w:r>
        <w:t>Suitability is evaluated and recorded.</w:t>
      </w:r>
    </w:p>
    <w:p>
      <w:pPr>
        <w:pStyle w:val="ListNumber"/>
        <w:numPr>
          <w:ilvl w:val="0"/>
          <w:numId w:val="11"/>
        </w:numPr>
        <w:spacing w:after="60"/>
        <w:ind w:left="360" w:hanging="230"/>
      </w:pPr>
      <w:r>
        <w:t>Consent is confirmed by the customer.</w:t>
      </w:r>
    </w:p>
    <w:p>
      <w:pPr>
        <w:pStyle w:val="ListNumber"/>
        <w:numPr>
          <w:ilvl w:val="0"/>
          <w:numId w:val="11"/>
        </w:numPr>
        <w:spacing w:after="60"/>
        <w:ind w:left="360" w:hanging="230"/>
      </w:pPr>
      <w:r>
        <w:t>Eligible products are selected from the catalogue.</w:t>
      </w:r>
    </w:p>
    <w:p>
      <w:pPr>
        <w:pStyle w:val="ListNumber"/>
        <w:numPr>
          <w:ilvl w:val="0"/>
          <w:numId w:val="11"/>
        </w:numPr>
        <w:spacing w:after="60"/>
        <w:ind w:left="360" w:hanging="230"/>
      </w:pPr>
      <w:r>
        <w:t>Quotation requests are sent through Partner Integration.</w:t>
      </w:r>
    </w:p>
    <w:p>
      <w:pPr>
        <w:pStyle w:val="ListNumber"/>
        <w:numPr>
          <w:ilvl w:val="0"/>
          <w:numId w:val="11"/>
        </w:numPr>
        <w:spacing w:after="60"/>
        <w:ind w:left="360" w:hanging="230"/>
      </w:pPr>
      <w:r>
        <w:t>Offers are returned in the bank's common format.</w:t>
      </w:r>
    </w:p>
    <w:p>
      <w:pPr>
        <w:pStyle w:val="ListNumber"/>
        <w:numPr>
          <w:ilvl w:val="0"/>
          <w:numId w:val="11"/>
        </w:numPr>
        <w:spacing w:after="60"/>
        <w:ind w:left="360" w:hanging="230"/>
      </w:pPr>
      <w:r>
        <w:t>The customer selects an offer and the proposal is completed.</w:t>
      </w:r>
    </w:p>
    <w:p>
      <w:pPr>
        <w:pStyle w:val="ListNumber"/>
        <w:numPr>
          <w:ilvl w:val="0"/>
          <w:numId w:val="11"/>
        </w:numPr>
        <w:spacing w:after="60"/>
        <w:ind w:left="360" w:hanging="230"/>
      </w:pPr>
      <w:r>
        <w:t>Underwriting progress and further requirements are tracked.</w:t>
      </w:r>
    </w:p>
    <w:p>
      <w:pPr>
        <w:pStyle w:val="ListNumber"/>
        <w:numPr>
          <w:ilvl w:val="0"/>
          <w:numId w:val="11"/>
        </w:numPr>
        <w:spacing w:after="60"/>
        <w:ind w:left="360" w:hanging="230"/>
      </w:pPr>
      <w:r>
        <w:t>The customer receives a payment request on the customer's device.</w:t>
      </w:r>
    </w:p>
    <w:p>
      <w:pPr>
        <w:pStyle w:val="ListNumber"/>
        <w:numPr>
          <w:ilvl w:val="0"/>
          <w:numId w:val="11"/>
        </w:numPr>
        <w:spacing w:after="60"/>
        <w:ind w:left="360" w:hanging="230"/>
      </w:pPr>
      <w:r>
        <w:t>Payment is confirmed and reconciled.</w:t>
      </w:r>
    </w:p>
    <w:p>
      <w:pPr>
        <w:pStyle w:val="ListNumber"/>
        <w:numPr>
          <w:ilvl w:val="0"/>
          <w:numId w:val="11"/>
        </w:numPr>
        <w:spacing w:after="60"/>
        <w:ind w:left="360" w:hanging="230"/>
      </w:pPr>
      <w:r>
        <w:t>Policy issuance is confirmed and the document becomes available.</w:t>
      </w:r>
    </w:p>
    <w:p>
      <w:pPr>
        <w:pStyle w:val="ListNumber"/>
        <w:numPr>
          <w:ilvl w:val="0"/>
          <w:numId w:val="11"/>
        </w:numPr>
        <w:spacing w:after="60"/>
        <w:ind w:left="360" w:hanging="230"/>
      </w:pPr>
      <w:r>
        <w:t>Audit evidence is checked before the journey is marked complete.</w:t>
      </w:r>
    </w:p>
    <w:p>
      <w:pPr>
        <w:pStyle w:val="Heading1"/>
      </w:pPr>
      <w:r>
        <w:t>4. Boundary decisions requiring approval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1575"/>
        <w:gridCol w:w="3892"/>
        <w:gridCol w:w="3893"/>
      </w:tblGrid>
      <w:tr>
        <w:trPr>
          <w:cantSplit/>
          <w:trHeight w:hRule="atLeast"/>
          <w:tblHeader w:val="true"/>
        </w:trPr>
        <w:tc>
          <w:tcPr>
            <w:tcW w:type="dxa" w:w="1575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892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Proposed position</w:t>
            </w:r>
          </w:p>
        </w:tc>
        <w:tc>
          <w:tcPr>
            <w:tcW w:type="dxa" w:w="3893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Required reviewers</w:t>
            </w:r>
          </w:p>
        </w:tc>
      </w:tr>
      <w:tr>
        <w:trPr>
          <w:cantSplit/>
          <w:trHeight w:hRule="atLeast"/>
        </w:trPr>
        <w:tc>
          <w:tcPr>
            <w:tcW w:type="dxa" w:w="157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Journey ownership</w:t>
            </w:r>
          </w:p>
        </w:tc>
        <w:tc>
          <w:tcPr>
            <w:tcW w:type="dxa" w:w="389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Journey Coordination owns progress and references only</w:t>
            </w:r>
          </w:p>
        </w:tc>
        <w:tc>
          <w:tcPr>
            <w:tcW w:type="dxa" w:w="3893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Product, Architecture and Engineering</w:t>
            </w:r>
          </w:p>
        </w:tc>
      </w:tr>
      <w:tr>
        <w:trPr>
          <w:cantSplit/>
          <w:trHeight w:hRule="atLeast"/>
        </w:trPr>
        <w:tc>
          <w:tcPr>
            <w:tcW w:type="dxa" w:w="157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Partner isolation</w:t>
            </w:r>
          </w:p>
        </w:tc>
        <w:tc>
          <w:tcPr>
            <w:tcW w:type="dxa" w:w="3892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All insurer and provider traffic passes through Partner Integration</w:t>
            </w:r>
          </w:p>
        </w:tc>
        <w:tc>
          <w:tcPr>
            <w:tcW w:type="dxa" w:w="3893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Architecture, Security and Operations</w:t>
            </w:r>
          </w:p>
        </w:tc>
      </w:tr>
      <w:tr>
        <w:trPr>
          <w:cantSplit/>
          <w:trHeight w:hRule="atLeast"/>
        </w:trPr>
        <w:tc>
          <w:tcPr>
            <w:tcW w:type="dxa" w:w="157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Data ownership</w:t>
            </w:r>
          </w:p>
        </w:tc>
        <w:tc>
          <w:tcPr>
            <w:tcW w:type="dxa" w:w="389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Each business area owns its official records and rules</w:t>
            </w:r>
          </w:p>
        </w:tc>
        <w:tc>
          <w:tcPr>
            <w:tcW w:type="dxa" w:w="3893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Architecture, Data and Product</w:t>
            </w:r>
          </w:p>
        </w:tc>
      </w:tr>
      <w:tr>
        <w:trPr>
          <w:cantSplit/>
          <w:trHeight w:hRule="atLeast"/>
        </w:trPr>
        <w:tc>
          <w:tcPr>
            <w:tcW w:type="dxa" w:w="157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Payment isolation</w:t>
            </w:r>
          </w:p>
        </w:tc>
        <w:tc>
          <w:tcPr>
            <w:tcW w:type="dxa" w:w="3892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Relationship Manager devices cannot perform premium payment</w:t>
            </w:r>
          </w:p>
        </w:tc>
        <w:tc>
          <w:tcPr>
            <w:tcW w:type="dxa" w:w="3893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Product, Security, Compliance and Architecture</w:t>
            </w:r>
          </w:p>
        </w:tc>
      </w:tr>
      <w:tr>
        <w:trPr>
          <w:cantSplit/>
          <w:trHeight w:hRule="atLeast"/>
        </w:trPr>
        <w:tc>
          <w:tcPr>
            <w:tcW w:type="dxa" w:w="157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Audit evidence</w:t>
            </w:r>
          </w:p>
        </w:tc>
        <w:tc>
          <w:tcPr>
            <w:tcW w:type="dxa" w:w="389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Regulated evidence cannot be changed or deleted during its required retention period</w:t>
            </w:r>
          </w:p>
        </w:tc>
        <w:tc>
          <w:tcPr>
            <w:tcW w:type="dxa" w:w="3893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Compliance, Security, Data and Architecture</w:t>
            </w:r>
          </w:p>
        </w:tc>
      </w:tr>
      <w:tr>
        <w:trPr>
          <w:cantSplit/>
          <w:trHeight w:hRule="atLeast"/>
        </w:trPr>
        <w:tc>
          <w:tcPr>
            <w:tcW w:type="dxa" w:w="157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Reporting</w:t>
            </w:r>
          </w:p>
        </w:tc>
        <w:tc>
          <w:tcPr>
            <w:tcW w:type="dxa" w:w="3892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Reporting uses approved copies and has no write access to transaction areas</w:t>
            </w:r>
          </w:p>
        </w:tc>
        <w:tc>
          <w:tcPr>
            <w:tcW w:type="dxa" w:w="3893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Product, Data, Security and Architecture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rPr>
          <w:cantSplit/>
          <w:trHeight w:hRule="atLeast"/>
          <w:tblHeader w:val="true"/>
        </w:trPr>
        <w:tc>
          <w:tcPr>
            <w:tcW w:type="dxa" w:w="9360"/>
            <w:vAlign w:val="center"/>
            <w:tcBorders>
              <w:top w:val="single" w:sz="10" w:color="B33A3A"/>
              <w:left w:val="single" w:sz="10" w:color="B33A3A"/>
              <w:bottom w:val="single" w:sz="10" w:color="B33A3A"/>
              <w:right w:val="single" w:sz="10" w:color="B33A3A"/>
              <w:insideH w:val="single" w:sz="10" w:color="B33A3A"/>
              <w:insideV w:val="single" w:sz="10" w:color="B33A3A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CE4E4"/>
          </w:tcPr>
          <w:p>
            <w:r>
              <w:rPr>
                <w:b/>
                <w:color w:val="B33A3A"/>
                <w:sz w:val="19"/>
              </w:rPr>
              <w:t>Approval control: review comments and recommendations do not constitute approval. The decision remains Pending until the named human stakeholder records a decision, date and signature.</w:t>
            </w:r>
          </w:p>
        </w:tc>
      </w:tr>
    </w:tbl>
    <w:p/>
    <w:p>
      <w:pPr>
        <w:pStyle w:val="Heading1"/>
      </w:pPr>
      <w:r>
        <w:t>5. Review and sign-off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2160"/>
        <w:gridCol w:w="3360"/>
        <w:gridCol w:w="960"/>
        <w:gridCol w:w="960"/>
        <w:gridCol w:w="960"/>
        <w:gridCol w:w="960"/>
      </w:tblGrid>
      <w:tr>
        <w:trPr>
          <w:cantSplit/>
          <w:trHeight w:hRule="atLeast"/>
          <w:tblHeader w:val="true"/>
        </w:trPr>
        <w:tc>
          <w:tcPr>
            <w:tcW w:type="dxa" w:w="2160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Stakeholder</w:t>
            </w:r>
          </w:p>
        </w:tc>
        <w:tc>
          <w:tcPr>
            <w:tcW w:type="dxa" w:w="3360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Review responsibility</w:t>
            </w:r>
          </w:p>
        </w:tc>
        <w:tc>
          <w:tcPr>
            <w:tcW w:type="dxa" w:w="960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960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960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960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Comments</w:t>
            </w:r>
          </w:p>
        </w:tc>
      </w:tr>
      <w:tr>
        <w:trPr>
          <w:cantSplit/>
          <w:trHeight w:hRule="atLeast"/>
        </w:trPr>
        <w:tc>
          <w:tcPr>
            <w:tcW w:type="dxa" w:w="216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Product Owner</w:t>
            </w:r>
          </w:p>
        </w:tc>
        <w:tc>
          <w:tcPr>
            <w:tcW w:type="dxa" w:w="336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Business meaning and journey behaviour</w:t>
            </w:r>
          </w:p>
        </w:tc>
        <w:tc>
          <w:tcPr>
            <w:tcW w:type="dxa" w:w="960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6"/>
              </w:rPr>
              <w:t>Pending</w:t>
            </w:r>
          </w:p>
        </w:tc>
        <w:tc>
          <w:tcPr>
            <w:tcW w:type="dxa" w:w="96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96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96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16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Principal Architect</w:t>
            </w:r>
          </w:p>
        </w:tc>
        <w:tc>
          <w:tcPr>
            <w:tcW w:type="dxa" w:w="336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Ownership boundaries and interactions</w:t>
            </w:r>
          </w:p>
        </w:tc>
        <w:tc>
          <w:tcPr>
            <w:tcW w:type="dxa" w:w="960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6"/>
              </w:rPr>
              <w:t>Pending</w:t>
            </w:r>
          </w:p>
        </w:tc>
        <w:tc>
          <w:tcPr>
            <w:tcW w:type="dxa" w:w="96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96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96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16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Engineering Head</w:t>
            </w:r>
          </w:p>
        </w:tc>
        <w:tc>
          <w:tcPr>
            <w:tcW w:type="dxa" w:w="336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Implementation feasibility</w:t>
            </w:r>
          </w:p>
        </w:tc>
        <w:tc>
          <w:tcPr>
            <w:tcW w:type="dxa" w:w="960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6"/>
              </w:rPr>
              <w:t>Pending</w:t>
            </w:r>
          </w:p>
        </w:tc>
        <w:tc>
          <w:tcPr>
            <w:tcW w:type="dxa" w:w="96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96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96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16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Data and Database Architect</w:t>
            </w:r>
          </w:p>
        </w:tc>
        <w:tc>
          <w:tcPr>
            <w:tcW w:type="dxa" w:w="336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Data ownership and integrity</w:t>
            </w:r>
          </w:p>
        </w:tc>
        <w:tc>
          <w:tcPr>
            <w:tcW w:type="dxa" w:w="960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6"/>
              </w:rPr>
              <w:t>Pending</w:t>
            </w:r>
          </w:p>
        </w:tc>
        <w:tc>
          <w:tcPr>
            <w:tcW w:type="dxa" w:w="96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96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96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16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Security Head</w:t>
            </w:r>
          </w:p>
        </w:tc>
        <w:tc>
          <w:tcPr>
            <w:tcW w:type="dxa" w:w="336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Access and protected-data boundaries</w:t>
            </w:r>
          </w:p>
        </w:tc>
        <w:tc>
          <w:tcPr>
            <w:tcW w:type="dxa" w:w="960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6"/>
              </w:rPr>
              <w:t>Pending</w:t>
            </w:r>
          </w:p>
        </w:tc>
        <w:tc>
          <w:tcPr>
            <w:tcW w:type="dxa" w:w="96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96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96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16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Compliance and Risk Head</w:t>
            </w:r>
          </w:p>
        </w:tc>
        <w:tc>
          <w:tcPr>
            <w:tcW w:type="dxa" w:w="336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Consent, suitability, payment and evidence boundaries</w:t>
            </w:r>
          </w:p>
        </w:tc>
        <w:tc>
          <w:tcPr>
            <w:tcW w:type="dxa" w:w="960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6"/>
              </w:rPr>
              <w:t>Pending</w:t>
            </w:r>
          </w:p>
        </w:tc>
        <w:tc>
          <w:tcPr>
            <w:tcW w:type="dxa" w:w="96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96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96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16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Quality Lead</w:t>
            </w:r>
          </w:p>
        </w:tc>
        <w:tc>
          <w:tcPr>
            <w:tcW w:type="dxa" w:w="336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Boundary and failure-path testability</w:t>
            </w:r>
          </w:p>
        </w:tc>
        <w:tc>
          <w:tcPr>
            <w:tcW w:type="dxa" w:w="960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6"/>
              </w:rPr>
              <w:t>Pending</w:t>
            </w:r>
          </w:p>
        </w:tc>
        <w:tc>
          <w:tcPr>
            <w:tcW w:type="dxa" w:w="96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96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96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6. Version history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1337"/>
        <w:gridCol w:w="2080"/>
        <w:gridCol w:w="3862"/>
        <w:gridCol w:w="2081"/>
      </w:tblGrid>
      <w:tr>
        <w:trPr>
          <w:cantSplit/>
          <w:trHeight w:hRule="atLeast"/>
          <w:tblHeader w:val="true"/>
        </w:trPr>
        <w:tc>
          <w:tcPr>
            <w:tcW w:type="dxa" w:w="1337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080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862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2081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Approval state</w:t>
            </w:r>
          </w:p>
        </w:tc>
      </w:tr>
      <w:tr>
        <w:trPr>
          <w:cantSplit/>
          <w:trHeight w:hRule="atLeast"/>
        </w:trPr>
        <w:tc>
          <w:tcPr>
            <w:tcW w:type="dxa" w:w="133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0.1</w:t>
            </w:r>
          </w:p>
        </w:tc>
        <w:tc>
          <w:tcPr>
            <w:tcW w:type="dxa" w:w="208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17 August 2026</w:t>
            </w:r>
          </w:p>
        </w:tc>
        <w:tc>
          <w:tcPr>
            <w:tcW w:type="dxa" w:w="386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Initial pre-approval draft</w:t>
            </w:r>
          </w:p>
        </w:tc>
        <w:tc>
          <w:tcPr>
            <w:tcW w:type="dxa" w:w="2081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Not approved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/>
        <w:color w:val="B33A3A"/>
        <w:sz w:val="16"/>
      </w:rPr>
      <w:t xml:space="preserve">DRAFT FOR REVIEW - VERSION 0.1 - NOT APPROVED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fill="FFFFFF"/>
      <w:pBdr>
        <w:bottom w:val="single" w:sz="14" w:color="17365D"/>
      </w:pBdr>
    </w:pPr>
    <w:r>
      <w:rPr>
        <w:rFonts w:ascii="Calibri" w:hAnsi="Calibri"/>
        <w:b/>
        <w:color w:val="5B6573"/>
        <w:sz w:val="16"/>
      </w:rPr>
      <w:t>AU BANK INSURANCE PLATFORM  |  ARCHITECTURE PRE-APPROVAL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 Bank End-to-End Insurance Platform — Business Domain and Ownership Model</dc:title>
  <dc:subject>Architecture pre-approval document</dc:subject>
  <dc:creator>Mahesh, Principal Insurance Platform Architect</dc:creator>
  <cp:keywords>architecture, insurance platform, pre-approval, version 0.1</cp:keywords>
  <dc:description>Draft for stakeholder review. Approval remains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