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 Bank End-to-End Insurance Platform — High-Level Design</w:t>
      </w:r>
    </w:p>
    <w:p>
      <w:pPr>
        <w:pStyle w:val="Subtitle"/>
      </w:pPr>
      <w:r>
        <w:t>Architecture pre-approval document</w:t>
      </w:r>
      <w:r>
        <w:t xml:space="preserve">  |  AU Bank End-to-End Insurance Platform</w:t>
      </w:r>
    </w:p>
    <w:tbl>
      <w:tblPr>
        <w:tblW w:type="dxa" w:w="9360"/>
        <w:jc w:val="center"/>
        <w:tblLayout w:type="fixed"/>
        <w:tblLook w:firstColumn="1" w:firstRow="1" w:lastColumn="0" w:lastRow="0" w:noHBand="0" w:noVBand="1" w:val="04A0"/>
        <w:tblInd w:w="100" w:type="dxa"/>
      </w:tblPr>
      <w:tblGrid>
        <w:gridCol w:w="9360"/>
      </w:tblGrid>
      <w:tr>
        <w:trPr>
          <w:cantSplit/>
          <w:trHeight w:hRule="atLeast"/>
          <w:tblHeader w:val="true"/>
        </w:trPr>
        <w:tc>
          <w:tcPr>
            <w:tcW w:type="dxa" w:w="9360"/>
            <w:vAlign w:val="center"/>
            <w:tcBorders>
              <w:top w:val="single" w:sz="14" w:color="B33A3A"/>
              <w:left w:val="single" w:sz="14" w:color="B33A3A"/>
              <w:bottom w:val="single" w:sz="14" w:color="B33A3A"/>
              <w:right w:val="single" w:sz="14" w:color="B33A3A"/>
              <w:insideH w:val="single" w:sz="14" w:color="B33A3A"/>
              <w:insideV w:val="single" w:sz="14" w:color="B33A3A"/>
            </w:tcBorders>
            <w:tcMar>
              <w:top w:w="80" w:type="dxa"/>
              <w:start w:w="100" w:type="dxa"/>
              <w:bottom w:w="80" w:type="dxa"/>
              <w:end w:w="100" w:type="dxa"/>
            </w:tcMar>
            <w:shd w:fill="FCE4E4"/>
          </w:tcPr>
          <w:p>
            <w:pPr>
              <w:jc w:val="center"/>
            </w:pPr>
            <w:r>
              <w:rPr>
                <w:b/>
                <w:color w:val="B33A3A"/>
                <w:sz w:val="21"/>
              </w:rPr>
              <w:t>DRAFT FOR REVIEW - NOT APPROVED - NOT AUTHORISED FOR DEVELOPMENT</w:t>
            </w:r>
          </w:p>
        </w:tc>
      </w:tr>
    </w:tbl>
    <w:p/>
    <w:tbl>
      <w:tblPr>
        <w:tblW w:type="dxa" w:w="9360"/>
        <w:jc w:val="center"/>
        <w:tblLayout w:type="fixed"/>
        <w:tblLook w:firstColumn="1" w:firstRow="1" w:lastColumn="0" w:lastRow="0" w:noHBand="0" w:noVBand="1" w:val="04A0"/>
        <w:tblInd w:w="100" w:type="dxa"/>
      </w:tblPr>
      <w:tblGrid>
        <w:gridCol w:w="1497"/>
        <w:gridCol w:w="3182"/>
        <w:gridCol w:w="1497"/>
        <w:gridCol w:w="3184"/>
      </w:tblGrid>
      <w:tr>
        <w:trPr>
          <w:cantSplit/>
          <w:trHeight w:hRule="atLeast"/>
          <w:tblHeader w:val="true"/>
        </w:trPr>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Version</w:t>
            </w:r>
          </w:p>
        </w:tc>
        <w:tc>
          <w:tcPr>
            <w:tcW w:type="dxa" w:w="318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0.1</w:t>
            </w:r>
          </w:p>
        </w:tc>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Date</w:t>
            </w:r>
          </w:p>
        </w:tc>
        <w:tc>
          <w:tcPr>
            <w:tcW w:type="dxa" w:w="318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17 August 2026</w:t>
            </w:r>
          </w:p>
        </w:tc>
      </w:tr>
      <w:tr>
        <w:trPr>
          <w:cantSplit/>
          <w:trHeight w:hRule="atLeast"/>
        </w:trPr>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Document owner</w:t>
            </w:r>
          </w:p>
        </w:tc>
        <w:tc>
          <w:tcPr>
            <w:tcW w:type="dxa" w:w="318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Mahesh, Principal Insurance Platform Architect</w:t>
            </w:r>
          </w:p>
        </w:tc>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Approval state</w:t>
            </w:r>
          </w:p>
        </w:tc>
        <w:tc>
          <w:tcPr>
            <w:tcW w:type="dxa" w:w="318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Pending</w:t>
            </w:r>
          </w:p>
        </w:tc>
      </w:tr>
      <w:tr>
        <w:trPr>
          <w:cantSplit/>
          <w:trHeight w:hRule="atLeast"/>
        </w:trPr>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Purpose</w:t>
            </w:r>
          </w:p>
        </w:tc>
        <w:tc>
          <w:tcPr>
            <w:tcW w:type="dxa" w:w="318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Describe the system setting, major components, information flow, integrations and key design decisions</w:t>
            </w:r>
          </w:p>
        </w:tc>
        <w:tc>
          <w:tcPr>
            <w:tcW w:type="dxa" w:w="1497"/>
            <w:shd w:fill="D9EAF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rPr>
                <w:b/>
                <w:color w:val="17365D"/>
              </w:rPr>
              <w:t>Next action</w:t>
            </w:r>
          </w:p>
        </w:tc>
        <w:tc>
          <w:tcPr>
            <w:tcW w:type="dxa" w:w="318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r>
              <w:t>Stakeholder review and recorded decision</w:t>
            </w:r>
          </w:p>
        </w:tc>
      </w:tr>
    </w:tbl>
    <w:p/>
    <w:p>
      <w:pPr>
        <w:pStyle w:val="Heading1"/>
      </w:pPr>
      <w:r>
        <w:t>1. Design scope</w:t>
      </w:r>
    </w:p>
    <w:p>
      <w:r>
        <w:t>The design covers a bank-owned insurance distribution platform supporting customer and Relationship Manager journeys from customer identification through policy issuance and payment reconciliation. It provides one consistent business model while connecting to bank systems, insurers, payment services and communications providers.</w:t>
      </w:r>
    </w:p>
    <w:p>
      <w:r>
        <w:t>The first release is an assisted Term Life sale for an existing bank customer through one selected insurer. The design allows later expansion without requiring every future capability in the first release.</w:t>
      </w:r>
    </w:p>
    <w:p>
      <w:pPr>
        <w:pStyle w:val="Heading1"/>
      </w:pPr>
      <w:r>
        <w:t>2. System context</w:t>
      </w:r>
    </w:p>
    <w:p>
      <w:pPr>
        <w:keepNext/>
        <w:jc w:val="center"/>
      </w:pPr>
      <w:r>
        <w:drawing>
          <wp:inline xmlns:a="http://schemas.openxmlformats.org/drawingml/2006/main" xmlns:pic="http://schemas.openxmlformats.org/drawingml/2006/picture">
            <wp:extent cx="6126480" cy="3446145"/>
            <wp:docPr id="1" name="Picture 1" title="System context" descr="System context. Diagram prepared for stakeholder review."/>
            <wp:cNvGraphicFramePr>
              <a:graphicFrameLocks noChangeAspect="1"/>
            </wp:cNvGraphicFramePr>
            <a:graphic>
              <a:graphicData uri="http://schemas.openxmlformats.org/drawingml/2006/picture">
                <pic:pic>
                  <pic:nvPicPr>
                    <pic:cNvPr id="0" name="system_context_v0.1.png"/>
                    <pic:cNvPicPr/>
                  </pic:nvPicPr>
                  <pic:blipFill>
                    <a:blip r:embed="rId11"/>
                    <a:stretch>
                      <a:fillRect/>
                    </a:stretch>
                  </pic:blipFill>
                  <pic:spPr>
                    <a:xfrm>
                      <a:off x="0" y="0"/>
                      <a:ext cx="6126480" cy="3446145"/>
                    </a:xfrm>
                    <a:prstGeom prst="rect"/>
                  </pic:spPr>
                </pic:pic>
              </a:graphicData>
            </a:graphic>
          </wp:inline>
        </w:drawing>
      </w:r>
    </w:p>
    <w:p>
      <w:pPr>
        <w:keepNext/>
        <w:spacing w:after="160"/>
        <w:jc w:val="center"/>
      </w:pPr>
      <w:r>
        <w:rPr>
          <w:i/>
          <w:color w:val="5B6573"/>
          <w:sz w:val="18"/>
        </w:rPr>
        <w:t>Figure: System context</w:t>
      </w:r>
    </w:p>
    <w:p>
      <w:r>
        <w:br w:type="page"/>
      </w:r>
    </w:p>
    <w:tbl>
      <w:tblPr>
        <w:tblStyle w:val="TableGrid"/>
        <w:tblW w:type="dxa" w:w="9360"/>
        <w:jc w:val="center"/>
        <w:tblLayout w:type="fixed"/>
        <w:tblLook w:firstColumn="1" w:firstRow="1" w:lastColumn="0" w:lastRow="0" w:noHBand="0" w:noVBand="1" w:val="04A0"/>
        <w:tblInd w:w="100" w:type="dxa"/>
      </w:tblPr>
      <w:tblGrid>
        <w:gridCol w:w="4047"/>
        <w:gridCol w:w="5313"/>
      </w:tblGrid>
      <w:tr>
        <w:trPr>
          <w:cantSplit/>
          <w:trHeight w:hRule="atLeast"/>
          <w:tblHeader w:val="true"/>
        </w:trPr>
        <w:tc>
          <w:tcPr>
            <w:tcW w:type="dxa" w:w="4047"/>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External party or system</w:t>
            </w:r>
          </w:p>
        </w:tc>
        <w:tc>
          <w:tcPr>
            <w:tcW w:type="dxa" w:w="5313"/>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Relationship with the platform</w:t>
            </w:r>
          </w:p>
        </w:tc>
      </w:tr>
      <w:tr>
        <w:trPr>
          <w:cantSplit/>
          <w:trHeight w:hRule="atLeast"/>
        </w:trPr>
        <w:tc>
          <w:tcPr>
            <w:tcW w:type="dxa" w:w="404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Customer</w:t>
            </w:r>
          </w:p>
        </w:tc>
        <w:tc>
          <w:tcPr>
            <w:tcW w:type="dxa" w:w="531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Confirms consent, receives messages, completes payment and receives policy information</w:t>
            </w:r>
          </w:p>
        </w:tc>
      </w:tr>
      <w:tr>
        <w:trPr>
          <w:cantSplit/>
          <w:trHeight w:hRule="atLeast"/>
        </w:trPr>
        <w:tc>
          <w:tcPr>
            <w:tcW w:type="dxa" w:w="404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Relationship Manager</w:t>
            </w:r>
          </w:p>
        </w:tc>
        <w:tc>
          <w:tcPr>
            <w:tcW w:type="dxa" w:w="531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Starts and manages the assisted sales journey</w:t>
            </w:r>
          </w:p>
        </w:tc>
      </w:tr>
      <w:tr>
        <w:trPr>
          <w:cantSplit/>
          <w:trHeight w:hRule="atLeast"/>
        </w:trPr>
        <w:tc>
          <w:tcPr>
            <w:tcW w:type="dxa" w:w="404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Branch and insurance operations</w:t>
            </w:r>
          </w:p>
        </w:tc>
        <w:tc>
          <w:tcPr>
            <w:tcW w:type="dxa" w:w="531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Handles exceptions, follow-up and reconciliation breaks</w:t>
            </w:r>
          </w:p>
        </w:tc>
      </w:tr>
      <w:tr>
        <w:trPr>
          <w:cantSplit/>
          <w:trHeight w:hRule="atLeast"/>
        </w:trPr>
        <w:tc>
          <w:tcPr>
            <w:tcW w:type="dxa" w:w="404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Bank workforce identity service</w:t>
            </w:r>
          </w:p>
        </w:tc>
        <w:tc>
          <w:tcPr>
            <w:tcW w:type="dxa" w:w="531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Confirms staff identity</w:t>
            </w:r>
          </w:p>
        </w:tc>
      </w:tr>
      <w:tr>
        <w:trPr>
          <w:cantSplit/>
          <w:trHeight w:hRule="atLeast"/>
        </w:trPr>
        <w:tc>
          <w:tcPr>
            <w:tcW w:type="dxa" w:w="404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Bank authorization service</w:t>
            </w:r>
          </w:p>
        </w:tc>
        <w:tc>
          <w:tcPr>
            <w:tcW w:type="dxa" w:w="531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Decides what a staff member may view or do</w:t>
            </w:r>
          </w:p>
        </w:tc>
      </w:tr>
      <w:tr>
        <w:trPr>
          <w:cantSplit/>
          <w:trHeight w:hRule="atLeast"/>
        </w:trPr>
        <w:tc>
          <w:tcPr>
            <w:tcW w:type="dxa" w:w="404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Core banking system</w:t>
            </w:r>
          </w:p>
        </w:tc>
        <w:tc>
          <w:tcPr>
            <w:tcW w:type="dxa" w:w="531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Supplies verified existing-customer information</w:t>
            </w:r>
          </w:p>
        </w:tc>
      </w:tr>
      <w:tr>
        <w:trPr>
          <w:cantSplit/>
          <w:trHeight w:hRule="atLeast"/>
        </w:trPr>
        <w:tc>
          <w:tcPr>
            <w:tcW w:type="dxa" w:w="404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Insurance integration provider</w:t>
            </w:r>
          </w:p>
        </w:tc>
        <w:tc>
          <w:tcPr>
            <w:tcW w:type="dxa" w:w="531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Connects the bank to insurer quotation, proposal and policy services</w:t>
            </w:r>
          </w:p>
        </w:tc>
      </w:tr>
      <w:tr>
        <w:trPr>
          <w:cantSplit/>
          <w:trHeight w:hRule="atLeast"/>
        </w:trPr>
        <w:tc>
          <w:tcPr>
            <w:tcW w:type="dxa" w:w="404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Partner insurer</w:t>
            </w:r>
          </w:p>
        </w:tc>
        <w:tc>
          <w:tcPr>
            <w:tcW w:type="dxa" w:w="531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Supplies products, quotes, underwriting status and policy issuance</w:t>
            </w:r>
          </w:p>
        </w:tc>
      </w:tr>
      <w:tr>
        <w:trPr>
          <w:cantSplit/>
          <w:trHeight w:hRule="atLeast"/>
        </w:trPr>
        <w:tc>
          <w:tcPr>
            <w:tcW w:type="dxa" w:w="404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Bank payment service</w:t>
            </w:r>
          </w:p>
        </w:tc>
        <w:tc>
          <w:tcPr>
            <w:tcW w:type="dxa" w:w="531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Hosts the customer payment experience and provides payment and settlement results</w:t>
            </w:r>
          </w:p>
        </w:tc>
      </w:tr>
      <w:tr>
        <w:trPr>
          <w:cantSplit/>
          <w:trHeight w:hRule="atLeast"/>
        </w:trPr>
        <w:tc>
          <w:tcPr>
            <w:tcW w:type="dxa" w:w="404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Messaging service</w:t>
            </w:r>
          </w:p>
        </w:tc>
        <w:tc>
          <w:tcPr>
            <w:tcW w:type="dxa" w:w="531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Sends one-time passwords, payment links and status messages</w:t>
            </w:r>
          </w:p>
        </w:tc>
      </w:tr>
      <w:tr>
        <w:trPr>
          <w:cantSplit/>
          <w:trHeight w:hRule="atLeast"/>
        </w:trPr>
        <w:tc>
          <w:tcPr>
            <w:tcW w:type="dxa" w:w="404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Compliance, audit and risk teams</w:t>
            </w:r>
          </w:p>
        </w:tc>
        <w:tc>
          <w:tcPr>
            <w:tcW w:type="dxa" w:w="531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Review retained evidence and control outcomes</w:t>
            </w:r>
          </w:p>
        </w:tc>
      </w:tr>
    </w:tbl>
    <w:p>
      <w:pPr>
        <w:spacing w:after="0"/>
      </w:pPr>
    </w:p>
    <w:p>
      <w:pPr>
        <w:pStyle w:val="Heading1"/>
      </w:pPr>
      <w:r>
        <w:t>3. Major architecture components</w:t>
      </w:r>
    </w:p>
    <w:p>
      <w:pPr>
        <w:keepNext/>
        <w:jc w:val="center"/>
      </w:pPr>
      <w:r>
        <w:drawing>
          <wp:inline xmlns:a="http://schemas.openxmlformats.org/drawingml/2006/main" xmlns:pic="http://schemas.openxmlformats.org/drawingml/2006/picture">
            <wp:extent cx="6126480" cy="3446145"/>
            <wp:docPr id="2" name="Picture 2" title="High-level component architecture" descr="High-level component architecture. Diagram prepared for stakeholder review."/>
            <wp:cNvGraphicFramePr>
              <a:graphicFrameLocks noChangeAspect="1"/>
            </wp:cNvGraphicFramePr>
            <a:graphic>
              <a:graphicData uri="http://schemas.openxmlformats.org/drawingml/2006/picture">
                <pic:pic>
                  <pic:nvPicPr>
                    <pic:cNvPr id="0" name="component_architecture_v0.1.png"/>
                    <pic:cNvPicPr/>
                  </pic:nvPicPr>
                  <pic:blipFill>
                    <a:blip r:embed="rId12"/>
                    <a:stretch>
                      <a:fillRect/>
                    </a:stretch>
                  </pic:blipFill>
                  <pic:spPr>
                    <a:xfrm>
                      <a:off x="0" y="0"/>
                      <a:ext cx="6126480" cy="3446145"/>
                    </a:xfrm>
                    <a:prstGeom prst="rect"/>
                  </pic:spPr>
                </pic:pic>
              </a:graphicData>
            </a:graphic>
          </wp:inline>
        </w:drawing>
      </w:r>
    </w:p>
    <w:p>
      <w:pPr>
        <w:keepNext/>
        <w:spacing w:after="160"/>
        <w:jc w:val="center"/>
      </w:pPr>
      <w:r>
        <w:rPr>
          <w:i/>
          <w:color w:val="5B6573"/>
          <w:sz w:val="18"/>
        </w:rPr>
        <w:t>Figure: High-level component architecture</w:t>
      </w:r>
    </w:p>
    <w:p>
      <w:r>
        <w:br w:type="page"/>
      </w:r>
    </w:p>
    <w:tbl>
      <w:tblPr>
        <w:tblStyle w:val="TableGrid"/>
        <w:tblW w:type="dxa" w:w="9360"/>
        <w:jc w:val="center"/>
        <w:tblLayout w:type="fixed"/>
        <w:tblLook w:firstColumn="1" w:firstRow="1" w:lastColumn="0" w:lastRow="0" w:noHBand="0" w:noVBand="1" w:val="04A0"/>
        <w:tblInd w:w="100" w:type="dxa"/>
      </w:tblPr>
      <w:tblGrid>
        <w:gridCol w:w="4187"/>
        <w:gridCol w:w="5173"/>
      </w:tblGrid>
      <w:tr>
        <w:trPr>
          <w:cantSplit/>
          <w:trHeight w:hRule="atLeast"/>
          <w:tblHeader w:val="true"/>
        </w:trPr>
        <w:tc>
          <w:tcPr>
            <w:tcW w:type="dxa" w:w="4187"/>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Component</w:t>
            </w:r>
          </w:p>
        </w:tc>
        <w:tc>
          <w:tcPr>
            <w:tcW w:type="dxa" w:w="5173"/>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Main responsibility</w:t>
            </w:r>
          </w:p>
        </w:tc>
      </w:tr>
      <w:tr>
        <w:trPr>
          <w:cantSplit/>
          <w:trHeight w:hRule="atLeast"/>
        </w:trPr>
        <w:tc>
          <w:tcPr>
            <w:tcW w:type="dxa" w:w="418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Relationship Manager Application</w:t>
            </w:r>
          </w:p>
        </w:tc>
        <w:tc>
          <w:tcPr>
            <w:tcW w:type="dxa" w:w="517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Presents the assisted journey</w:t>
            </w:r>
          </w:p>
        </w:tc>
      </w:tr>
      <w:tr>
        <w:trPr>
          <w:cantSplit/>
          <w:trHeight w:hRule="atLeast"/>
        </w:trPr>
        <w:tc>
          <w:tcPr>
            <w:tcW w:type="dxa" w:w="418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Session and Access Gateway</w:t>
            </w:r>
          </w:p>
        </w:tc>
        <w:tc>
          <w:tcPr>
            <w:tcW w:type="dxa" w:w="517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Holds the staff session securely and checks access before requests reach business services</w:t>
            </w:r>
          </w:p>
        </w:tc>
      </w:tr>
      <w:tr>
        <w:trPr>
          <w:cantSplit/>
          <w:trHeight w:hRule="atLeast"/>
        </w:trPr>
        <w:tc>
          <w:tcPr>
            <w:tcW w:type="dxa" w:w="418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Customer Service</w:t>
            </w:r>
          </w:p>
        </w:tc>
        <w:tc>
          <w:tcPr>
            <w:tcW w:type="dxa" w:w="517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Retrieves and stores the insurance-use customer snapshot</w:t>
            </w:r>
          </w:p>
        </w:tc>
      </w:tr>
      <w:tr>
        <w:trPr>
          <w:cantSplit/>
          <w:trHeight w:hRule="atLeast"/>
        </w:trPr>
        <w:tc>
          <w:tcPr>
            <w:tcW w:type="dxa" w:w="418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Lead Service</w:t>
            </w:r>
          </w:p>
        </w:tc>
        <w:tc>
          <w:tcPr>
            <w:tcW w:type="dxa" w:w="517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Manages sales opportunities and assignment</w:t>
            </w:r>
          </w:p>
        </w:tc>
      </w:tr>
      <w:tr>
        <w:trPr>
          <w:cantSplit/>
          <w:trHeight w:hRule="atLeast"/>
        </w:trPr>
        <w:tc>
          <w:tcPr>
            <w:tcW w:type="dxa" w:w="418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Consent Service</w:t>
            </w:r>
          </w:p>
        </w:tc>
        <w:tc>
          <w:tcPr>
            <w:tcW w:type="dxa" w:w="517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Records customer permission and disclosure evidence</w:t>
            </w:r>
          </w:p>
        </w:tc>
      </w:tr>
      <w:tr>
        <w:trPr>
          <w:cantSplit/>
          <w:trHeight w:hRule="atLeast"/>
        </w:trPr>
        <w:tc>
          <w:tcPr>
            <w:tcW w:type="dxa" w:w="418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Suitability Service</w:t>
            </w:r>
          </w:p>
        </w:tc>
        <w:tc>
          <w:tcPr>
            <w:tcW w:type="dxa" w:w="517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Evaluates need and suitability before quotation</w:t>
            </w:r>
          </w:p>
        </w:tc>
      </w:tr>
      <w:tr>
        <w:trPr>
          <w:cantSplit/>
          <w:trHeight w:hRule="atLeast"/>
        </w:trPr>
        <w:tc>
          <w:tcPr>
            <w:tcW w:type="dxa" w:w="418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Product Catalogue</w:t>
            </w:r>
          </w:p>
        </w:tc>
        <w:tc>
          <w:tcPr>
            <w:tcW w:type="dxa" w:w="517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Holds products the bank has approved for sale</w:t>
            </w:r>
          </w:p>
        </w:tc>
      </w:tr>
      <w:tr>
        <w:trPr>
          <w:cantSplit/>
          <w:trHeight w:hRule="atLeast"/>
        </w:trPr>
        <w:tc>
          <w:tcPr>
            <w:tcW w:type="dxa" w:w="418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Journey Coordinator</w:t>
            </w:r>
          </w:p>
        </w:tc>
        <w:tc>
          <w:tcPr>
            <w:tcW w:type="dxa" w:w="517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Tracks progress, resumption and manual recovery</w:t>
            </w:r>
          </w:p>
        </w:tc>
      </w:tr>
      <w:tr>
        <w:trPr>
          <w:cantSplit/>
          <w:trHeight w:hRule="atLeast"/>
        </w:trPr>
        <w:tc>
          <w:tcPr>
            <w:tcW w:type="dxa" w:w="418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Quotation Service</w:t>
            </w:r>
          </w:p>
        </w:tc>
        <w:tc>
          <w:tcPr>
            <w:tcW w:type="dxa" w:w="517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Requests, receives and normalises offers</w:t>
            </w:r>
          </w:p>
        </w:tc>
      </w:tr>
      <w:tr>
        <w:trPr>
          <w:cantSplit/>
          <w:trHeight w:hRule="atLeast"/>
        </w:trPr>
        <w:tc>
          <w:tcPr>
            <w:tcW w:type="dxa" w:w="418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Proposal and Underwriting Service</w:t>
            </w:r>
          </w:p>
        </w:tc>
        <w:tc>
          <w:tcPr>
            <w:tcW w:type="dxa" w:w="517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Captures proposals and tracks insurer requirements and decisions</w:t>
            </w:r>
          </w:p>
        </w:tc>
      </w:tr>
      <w:tr>
        <w:trPr>
          <w:cantSplit/>
          <w:trHeight w:hRule="atLeast"/>
        </w:trPr>
        <w:tc>
          <w:tcPr>
            <w:tcW w:type="dxa" w:w="418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Payment and Reconciliation Service</w:t>
            </w:r>
          </w:p>
        </w:tc>
        <w:tc>
          <w:tcPr>
            <w:tcW w:type="dxa" w:w="517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Creates payment sessions and resolves payment and settlement state</w:t>
            </w:r>
          </w:p>
        </w:tc>
      </w:tr>
      <w:tr>
        <w:trPr>
          <w:cantSplit/>
          <w:trHeight w:hRule="atLeast"/>
        </w:trPr>
        <w:tc>
          <w:tcPr>
            <w:tcW w:type="dxa" w:w="418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Policy and Issuance Service</w:t>
            </w:r>
          </w:p>
        </w:tc>
        <w:tc>
          <w:tcPr>
            <w:tcW w:type="dxa" w:w="517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Confirms issued policies and determines whether the sale is complete</w:t>
            </w:r>
          </w:p>
        </w:tc>
      </w:tr>
      <w:tr>
        <w:trPr>
          <w:cantSplit/>
          <w:trHeight w:hRule="atLeast"/>
        </w:trPr>
        <w:tc>
          <w:tcPr>
            <w:tcW w:type="dxa" w:w="418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Partner Integration Service</w:t>
            </w:r>
          </w:p>
        </w:tc>
        <w:tc>
          <w:tcPr>
            <w:tcW w:type="dxa" w:w="517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Routes and translates insurer and provider requests</w:t>
            </w:r>
          </w:p>
        </w:tc>
      </w:tr>
      <w:tr>
        <w:trPr>
          <w:cantSplit/>
          <w:trHeight w:hRule="atLeast"/>
        </w:trPr>
        <w:tc>
          <w:tcPr>
            <w:tcW w:type="dxa" w:w="418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Audit and Evidence Service</w:t>
            </w:r>
          </w:p>
        </w:tc>
        <w:tc>
          <w:tcPr>
            <w:tcW w:type="dxa" w:w="517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Stores attributable records that cannot be altered during their retention period</w:t>
            </w:r>
          </w:p>
        </w:tc>
      </w:tr>
      <w:tr>
        <w:trPr>
          <w:cantSplit/>
          <w:trHeight w:hRule="atLeast"/>
        </w:trPr>
        <w:tc>
          <w:tcPr>
            <w:tcW w:type="dxa" w:w="418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Communications Service</w:t>
            </w:r>
          </w:p>
        </w:tc>
        <w:tc>
          <w:tcPr>
            <w:tcW w:type="dxa" w:w="517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Sends required customer and staff messages</w:t>
            </w:r>
          </w:p>
        </w:tc>
      </w:tr>
      <w:tr>
        <w:trPr>
          <w:cantSplit/>
          <w:trHeight w:hRule="atLeast"/>
        </w:trPr>
        <w:tc>
          <w:tcPr>
            <w:tcW w:type="dxa" w:w="418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Operations Work Service</w:t>
            </w:r>
          </w:p>
        </w:tc>
        <w:tc>
          <w:tcPr>
            <w:tcW w:type="dxa" w:w="517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Creates and tracks manual recovery tasks</w:t>
            </w:r>
          </w:p>
        </w:tc>
      </w:tr>
      <w:tr>
        <w:trPr>
          <w:cantSplit/>
          <w:trHeight w:hRule="atLeast"/>
        </w:trPr>
        <w:tc>
          <w:tcPr>
            <w:tcW w:type="dxa" w:w="418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Reporting Service</w:t>
            </w:r>
          </w:p>
        </w:tc>
        <w:tc>
          <w:tcPr>
            <w:tcW w:type="dxa" w:w="5173"/>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Produces approved business and control measures</w:t>
            </w:r>
          </w:p>
        </w:tc>
      </w:tr>
      <w:tr>
        <w:trPr>
          <w:cantSplit/>
          <w:trHeight w:hRule="atLeast"/>
        </w:trPr>
        <w:tc>
          <w:tcPr>
            <w:tcW w:type="dxa" w:w="418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Administration Service</w:t>
            </w:r>
          </w:p>
        </w:tc>
        <w:tc>
          <w:tcPr>
            <w:tcW w:type="dxa" w:w="5173"/>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Publishes approved products, rules, templates and reference information</w:t>
            </w:r>
          </w:p>
        </w:tc>
      </w:tr>
    </w:tbl>
    <w:p>
      <w:pPr>
        <w:spacing w:after="0"/>
      </w:pPr>
    </w:p>
    <w:p>
      <w:r>
        <w:t>The components describe responsibility boundaries. Final deployment grouping may combine closely related components where separate deployment provides no clear benefit.</w:t>
      </w:r>
    </w:p>
    <w:p>
      <w:pPr>
        <w:pStyle w:val="Heading1"/>
      </w:pPr>
      <w:r>
        <w:t>4. Hosting and network design</w:t>
      </w:r>
    </w:p>
    <w:p>
      <w:pPr>
        <w:pStyle w:val="ListBullet"/>
        <w:spacing w:after="60"/>
        <w:ind w:left="360" w:hanging="230"/>
      </w:pPr>
      <w:r>
        <w:t>Customer and Relationship Manager requests enter through one protected public entry point.</w:t>
      </w:r>
    </w:p>
    <w:p>
      <w:pPr>
        <w:pStyle w:val="ListBullet"/>
        <w:spacing w:after="60"/>
        <w:ind w:left="360" w:hanging="230"/>
      </w:pPr>
      <w:r>
        <w:t>Business services run on private networks and cannot be reached directly from the internet.</w:t>
      </w:r>
    </w:p>
    <w:p>
      <w:pPr>
        <w:pStyle w:val="ListBullet"/>
        <w:spacing w:after="60"/>
        <w:ind w:left="360" w:hanging="230"/>
      </w:pPr>
      <w:r>
        <w:t>Data stores run on private networks and are reachable only by their owning service.</w:t>
      </w:r>
    </w:p>
    <w:p>
      <w:pPr>
        <w:pStyle w:val="ListBullet"/>
        <w:spacing w:after="60"/>
        <w:ind w:left="360" w:hanging="230"/>
      </w:pPr>
      <w:r>
        <w:t>Each business service receives a separate identity and the minimum access it needs.</w:t>
      </w:r>
    </w:p>
    <w:p>
      <w:pPr>
        <w:pStyle w:val="ListBullet"/>
        <w:spacing w:after="60"/>
        <w:ind w:left="360" w:hanging="230"/>
      </w:pPr>
      <w:r>
        <w:t>Personal, financial and audit data are stored and backed up only in India.</w:t>
      </w:r>
    </w:p>
    <w:p>
      <w:pPr>
        <w:pStyle w:val="ListBullet"/>
        <w:spacing w:after="60"/>
        <w:ind w:left="360" w:hanging="230"/>
      </w:pPr>
      <w:r>
        <w:t>Secrets and encryption keys are held in managed secure stores, not in application files.</w:t>
      </w:r>
    </w:p>
    <w:p>
      <w:pPr>
        <w:pStyle w:val="ListBullet"/>
        <w:spacing w:after="60"/>
        <w:ind w:left="360" w:hanging="230"/>
      </w:pPr>
      <w:r>
        <w:t>Production capacity is spread across more than one location within the primary India region.</w:t>
      </w:r>
    </w:p>
    <w:p>
      <w:pPr>
        <w:pStyle w:val="ListBullet"/>
        <w:spacing w:after="60"/>
        <w:ind w:left="360" w:hanging="230"/>
      </w:pPr>
      <w:r>
        <w:t>A secondary India region is used for recovery.</w:t>
      </w:r>
    </w:p>
    <w:p>
      <w:pPr>
        <w:pStyle w:val="ListBullet"/>
        <w:spacing w:after="60"/>
        <w:ind w:left="360" w:hanging="230"/>
      </w:pPr>
      <w:r>
        <w:t>Only the customer reaches the payment page; the Relationship Manager application cannot take payment details.</w:t>
      </w:r>
    </w:p>
    <w:p>
      <w:pPr>
        <w:pStyle w:val="Heading1"/>
      </w:pPr>
      <w:r>
        <w:t>5. End-to-end information flow</w:t>
      </w:r>
    </w:p>
    <w:p>
      <w:pPr>
        <w:keepNext/>
        <w:jc w:val="center"/>
      </w:pPr>
      <w:r>
        <w:drawing>
          <wp:inline xmlns:a="http://schemas.openxmlformats.org/drawingml/2006/main" xmlns:pic="http://schemas.openxmlformats.org/drawingml/2006/picture">
            <wp:extent cx="6126480" cy="3446145"/>
            <wp:docPr id="3" name="Picture 3" title="End-to-end insurance journey" descr="End-to-end insurance journey. Diagram prepared for stakeholder review."/>
            <wp:cNvGraphicFramePr>
              <a:graphicFrameLocks noChangeAspect="1"/>
            </wp:cNvGraphicFramePr>
            <a:graphic>
              <a:graphicData uri="http://schemas.openxmlformats.org/drawingml/2006/picture">
                <pic:pic>
                  <pic:nvPicPr>
                    <pic:cNvPr id="0" name="end_to_end_flow_v0.1.png"/>
                    <pic:cNvPicPr/>
                  </pic:nvPicPr>
                  <pic:blipFill>
                    <a:blip r:embed="rId13"/>
                    <a:stretch>
                      <a:fillRect/>
                    </a:stretch>
                  </pic:blipFill>
                  <pic:spPr>
                    <a:xfrm>
                      <a:off x="0" y="0"/>
                      <a:ext cx="6126480" cy="3446145"/>
                    </a:xfrm>
                    <a:prstGeom prst="rect"/>
                  </pic:spPr>
                </pic:pic>
              </a:graphicData>
            </a:graphic>
          </wp:inline>
        </w:drawing>
      </w:r>
    </w:p>
    <w:p>
      <w:pPr>
        <w:keepNext/>
        <w:spacing w:after="160"/>
        <w:jc w:val="center"/>
      </w:pPr>
      <w:r>
        <w:rPr>
          <w:i/>
          <w:color w:val="5B6573"/>
          <w:sz w:val="18"/>
        </w:rPr>
        <w:t>Figure: End-to-end insurance journey</w:t>
      </w:r>
    </w:p>
    <w:p>
      <w:r>
        <w:br w:type="page"/>
      </w:r>
    </w:p>
    <w:tbl>
      <w:tblPr>
        <w:tblStyle w:val="TableGrid"/>
        <w:tblW w:type="dxa" w:w="9360"/>
        <w:jc w:val="center"/>
        <w:tblLayout w:type="fixed"/>
        <w:tblLook w:firstColumn="1" w:firstRow="1" w:lastColumn="0" w:lastRow="0" w:noHBand="0" w:noVBand="1" w:val="04A0"/>
        <w:tblInd w:w="100" w:type="dxa"/>
      </w:tblPr>
      <w:tblGrid>
        <w:gridCol w:w="905"/>
        <w:gridCol w:w="4227"/>
        <w:gridCol w:w="4228"/>
      </w:tblGrid>
      <w:tr>
        <w:trPr>
          <w:cantSplit/>
          <w:trHeight w:hRule="atLeast"/>
          <w:tblHeader w:val="true"/>
        </w:trPr>
        <w:tc>
          <w:tcPr>
            <w:tcW w:type="dxa" w:w="905"/>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Step</w:t>
            </w:r>
          </w:p>
        </w:tc>
        <w:tc>
          <w:tcPr>
            <w:tcW w:type="dxa" w:w="4227"/>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Flow</w:t>
            </w:r>
          </w:p>
        </w:tc>
        <w:tc>
          <w:tcPr>
            <w:tcW w:type="dxa" w:w="422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Result</w:t>
            </w:r>
          </w:p>
        </w:tc>
      </w:tr>
      <w:tr>
        <w:trPr>
          <w:cantSplit/>
          <w:trHeight w:hRule="atLeast"/>
        </w:trPr>
        <w:tc>
          <w:tcPr>
            <w:tcW w:type="dxa" w:w="90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1</w:t>
            </w:r>
          </w:p>
        </w:tc>
        <w:tc>
          <w:tcPr>
            <w:tcW w:type="dxa" w:w="422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Relationship Manager signs in through the bank workforce identity service</w:t>
            </w:r>
          </w:p>
        </w:tc>
        <w:tc>
          <w:tcPr>
            <w:tcW w:type="dxa" w:w="42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 server-held session is created</w:t>
            </w:r>
          </w:p>
        </w:tc>
      </w:tr>
      <w:tr>
        <w:trPr>
          <w:cantSplit/>
          <w:trHeight w:hRule="atLeast"/>
        </w:trPr>
        <w:tc>
          <w:tcPr>
            <w:tcW w:type="dxa" w:w="90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2</w:t>
            </w:r>
          </w:p>
        </w:tc>
        <w:tc>
          <w:tcPr>
            <w:tcW w:type="dxa" w:w="422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The application checks the Relationship Manager's role, branch, insurer scope and certification</w:t>
            </w:r>
          </w:p>
        </w:tc>
        <w:tc>
          <w:tcPr>
            <w:tcW w:type="dxa" w:w="42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Access is allowed or denied</w:t>
            </w:r>
          </w:p>
        </w:tc>
      </w:tr>
      <w:tr>
        <w:trPr>
          <w:cantSplit/>
          <w:trHeight w:hRule="atLeast"/>
        </w:trPr>
        <w:tc>
          <w:tcPr>
            <w:tcW w:type="dxa" w:w="90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3</w:t>
            </w:r>
          </w:p>
        </w:tc>
        <w:tc>
          <w:tcPr>
            <w:tcW w:type="dxa" w:w="422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Customer details are requested from core banking</w:t>
            </w:r>
          </w:p>
        </w:tc>
        <w:tc>
          <w:tcPr>
            <w:tcW w:type="dxa" w:w="42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 time-stamped customer snapshot is created</w:t>
            </w:r>
          </w:p>
        </w:tc>
      </w:tr>
      <w:tr>
        <w:trPr>
          <w:cantSplit/>
          <w:trHeight w:hRule="atLeast"/>
        </w:trPr>
        <w:tc>
          <w:tcPr>
            <w:tcW w:type="dxa" w:w="90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4</w:t>
            </w:r>
          </w:p>
        </w:tc>
        <w:tc>
          <w:tcPr>
            <w:tcW w:type="dxa" w:w="422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 lead or journey is opened</w:t>
            </w:r>
          </w:p>
        </w:tc>
        <w:tc>
          <w:tcPr>
            <w:tcW w:type="dxa" w:w="42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Journey ownership and current stage are recorded</w:t>
            </w:r>
          </w:p>
        </w:tc>
      </w:tr>
      <w:tr>
        <w:trPr>
          <w:cantSplit/>
          <w:trHeight w:hRule="atLeast"/>
        </w:trPr>
        <w:tc>
          <w:tcPr>
            <w:tcW w:type="dxa" w:w="90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5</w:t>
            </w:r>
          </w:p>
        </w:tc>
        <w:tc>
          <w:tcPr>
            <w:tcW w:type="dxa" w:w="422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Need and suitability information is captured</w:t>
            </w:r>
          </w:p>
        </w:tc>
        <w:tc>
          <w:tcPr>
            <w:tcW w:type="dxa" w:w="42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 versioned suitability result is stored</w:t>
            </w:r>
          </w:p>
        </w:tc>
      </w:tr>
      <w:tr>
        <w:trPr>
          <w:cantSplit/>
          <w:trHeight w:hRule="atLeast"/>
        </w:trPr>
        <w:tc>
          <w:tcPr>
            <w:tcW w:type="dxa" w:w="90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6</w:t>
            </w:r>
          </w:p>
        </w:tc>
        <w:tc>
          <w:tcPr>
            <w:tcW w:type="dxa" w:w="422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The customer confirms consent using a one-time password</w:t>
            </w:r>
          </w:p>
        </w:tc>
        <w:tc>
          <w:tcPr>
            <w:tcW w:type="dxa" w:w="42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Consent evidence is stored</w:t>
            </w:r>
          </w:p>
        </w:tc>
      </w:tr>
      <w:tr>
        <w:trPr>
          <w:cantSplit/>
          <w:trHeight w:hRule="atLeast"/>
        </w:trPr>
        <w:tc>
          <w:tcPr>
            <w:tcW w:type="dxa" w:w="90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7</w:t>
            </w:r>
          </w:p>
        </w:tc>
        <w:tc>
          <w:tcPr>
            <w:tcW w:type="dxa" w:w="422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Eligible products are selected and quotes are requested</w:t>
            </w:r>
          </w:p>
        </w:tc>
        <w:tc>
          <w:tcPr>
            <w:tcW w:type="dxa" w:w="42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Partner requests are sent through the integration service</w:t>
            </w:r>
          </w:p>
        </w:tc>
      </w:tr>
      <w:tr>
        <w:trPr>
          <w:cantSplit/>
          <w:trHeight w:hRule="atLeast"/>
        </w:trPr>
        <w:tc>
          <w:tcPr>
            <w:tcW w:type="dxa" w:w="90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8</w:t>
            </w:r>
          </w:p>
        </w:tc>
        <w:tc>
          <w:tcPr>
            <w:tcW w:type="dxa" w:w="422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Partner responses are translated into the bank's common offer format</w:t>
            </w:r>
          </w:p>
        </w:tc>
        <w:tc>
          <w:tcPr>
            <w:tcW w:type="dxa" w:w="42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Offers can be compared consistently</w:t>
            </w:r>
          </w:p>
        </w:tc>
      </w:tr>
      <w:tr>
        <w:trPr>
          <w:cantSplit/>
          <w:trHeight w:hRule="atLeast"/>
        </w:trPr>
        <w:tc>
          <w:tcPr>
            <w:tcW w:type="dxa" w:w="90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9</w:t>
            </w:r>
          </w:p>
        </w:tc>
        <w:tc>
          <w:tcPr>
            <w:tcW w:type="dxa" w:w="422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The selected offer is used to prepare and submit a proposal</w:t>
            </w:r>
          </w:p>
        </w:tc>
        <w:tc>
          <w:tcPr>
            <w:tcW w:type="dxa" w:w="42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Submission and underwriting status are tracked</w:t>
            </w:r>
          </w:p>
        </w:tc>
      </w:tr>
      <w:tr>
        <w:trPr>
          <w:cantSplit/>
          <w:trHeight w:hRule="atLeast"/>
        </w:trPr>
        <w:tc>
          <w:tcPr>
            <w:tcW w:type="dxa" w:w="90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10</w:t>
            </w:r>
          </w:p>
        </w:tc>
        <w:tc>
          <w:tcPr>
            <w:tcW w:type="dxa" w:w="422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When payment is allowed, a payment request is sent to the customer's device</w:t>
            </w:r>
          </w:p>
        </w:tc>
        <w:tc>
          <w:tcPr>
            <w:tcW w:type="dxa" w:w="42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The bank payment service handles payment details</w:t>
            </w:r>
          </w:p>
        </w:tc>
      </w:tr>
      <w:tr>
        <w:trPr>
          <w:cantSplit/>
          <w:trHeight w:hRule="atLeast"/>
        </w:trPr>
        <w:tc>
          <w:tcPr>
            <w:tcW w:type="dxa" w:w="90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11</w:t>
            </w:r>
          </w:p>
        </w:tc>
        <w:tc>
          <w:tcPr>
            <w:tcW w:type="dxa" w:w="422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Payment result and settlement information are received</w:t>
            </w:r>
          </w:p>
        </w:tc>
        <w:tc>
          <w:tcPr>
            <w:tcW w:type="dxa" w:w="42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Uncertain or unmatched payments enter reconciliation</w:t>
            </w:r>
          </w:p>
        </w:tc>
      </w:tr>
      <w:tr>
        <w:trPr>
          <w:cantSplit/>
          <w:trHeight w:hRule="atLeast"/>
        </w:trPr>
        <w:tc>
          <w:tcPr>
            <w:tcW w:type="dxa" w:w="905"/>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12</w:t>
            </w:r>
          </w:p>
        </w:tc>
        <w:tc>
          <w:tcPr>
            <w:tcW w:type="dxa" w:w="4227"/>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Policy issuance is confirmed through the integration service</w:t>
            </w:r>
          </w:p>
        </w:tc>
        <w:tc>
          <w:tcPr>
            <w:tcW w:type="dxa" w:w="42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Policy data and document references are stored</w:t>
            </w:r>
          </w:p>
        </w:tc>
      </w:tr>
      <w:tr>
        <w:trPr>
          <w:cantSplit/>
          <w:trHeight w:hRule="atLeast"/>
        </w:trPr>
        <w:tc>
          <w:tcPr>
            <w:tcW w:type="dxa" w:w="905"/>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13</w:t>
            </w:r>
          </w:p>
        </w:tc>
        <w:tc>
          <w:tcPr>
            <w:tcW w:type="dxa" w:w="422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Issuance, reconciliation and audit completeness are checked</w:t>
            </w:r>
          </w:p>
        </w:tc>
        <w:tc>
          <w:tcPr>
            <w:tcW w:type="dxa" w:w="42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The journey is marked complete only when all checks pass</w:t>
            </w:r>
          </w:p>
        </w:tc>
      </w:tr>
    </w:tbl>
    <w:p>
      <w:pPr>
        <w:spacing w:after="0"/>
      </w:pPr>
    </w:p>
    <w:p>
      <w:pPr>
        <w:pStyle w:val="Heading1"/>
      </w:pPr>
      <w:r>
        <w:t>6. Integration design</w:t>
      </w:r>
    </w:p>
    <w:tbl>
      <w:tblPr>
        <w:tblStyle w:val="TableGrid"/>
        <w:tblW w:type="dxa" w:w="9360"/>
        <w:jc w:val="center"/>
        <w:tblLayout w:type="fixed"/>
        <w:tblLook w:firstColumn="1" w:firstRow="1" w:lastColumn="0" w:lastRow="0" w:noHBand="0" w:noVBand="1" w:val="04A0"/>
        <w:tblInd w:w="100" w:type="dxa"/>
      </w:tblPr>
      <w:tblGrid>
        <w:gridCol w:w="1170"/>
        <w:gridCol w:w="2730"/>
        <w:gridCol w:w="2730"/>
        <w:gridCol w:w="2730"/>
      </w:tblGrid>
      <w:tr>
        <w:trPr>
          <w:cantSplit/>
          <w:trHeight w:hRule="atLeast"/>
          <w:tblHeader w:val="true"/>
        </w:trPr>
        <w:tc>
          <w:tcPr>
            <w:tcW w:type="dxa" w:w="117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Integration</w:t>
            </w:r>
          </w:p>
        </w:tc>
        <w:tc>
          <w:tcPr>
            <w:tcW w:type="dxa" w:w="273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Direction</w:t>
            </w:r>
          </w:p>
        </w:tc>
        <w:tc>
          <w:tcPr>
            <w:tcW w:type="dxa" w:w="273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Method</w:t>
            </w:r>
          </w:p>
        </w:tc>
        <w:tc>
          <w:tcPr>
            <w:tcW w:type="dxa" w:w="273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Failure handling</w:t>
            </w:r>
          </w:p>
        </w:tc>
      </w:tr>
      <w:tr>
        <w:trPr>
          <w:cantSplit/>
          <w:trHeight w:hRule="atLeast"/>
        </w:trPr>
        <w:tc>
          <w:tcPr>
            <w:tcW w:type="dxa" w:w="117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Workforce identity</w:t>
            </w:r>
          </w:p>
        </w:tc>
        <w:tc>
          <w:tcPr>
            <w:tcW w:type="dxa" w:w="27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Platform to bank identity</w:t>
            </w:r>
          </w:p>
        </w:tc>
        <w:tc>
          <w:tcPr>
            <w:tcW w:type="dxa" w:w="27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Immediate request</w:t>
            </w:r>
          </w:p>
        </w:tc>
        <w:tc>
          <w:tcPr>
            <w:tcW w:type="dxa" w:w="27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Access is denied if identity cannot be confirmed</w:t>
            </w:r>
          </w:p>
        </w:tc>
      </w:tr>
      <w:tr>
        <w:trPr>
          <w:cantSplit/>
          <w:trHeight w:hRule="atLeast"/>
        </w:trPr>
        <w:tc>
          <w:tcPr>
            <w:tcW w:type="dxa" w:w="117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Authorization</w:t>
            </w:r>
          </w:p>
        </w:tc>
        <w:tc>
          <w:tcPr>
            <w:tcW w:type="dxa" w:w="27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Platform to bank authorization</w:t>
            </w:r>
          </w:p>
        </w:tc>
        <w:tc>
          <w:tcPr>
            <w:tcW w:type="dxa" w:w="27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Immediate request</w:t>
            </w:r>
          </w:p>
        </w:tc>
        <w:tc>
          <w:tcPr>
            <w:tcW w:type="dxa" w:w="27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Access is denied if a decision is unavailable</w:t>
            </w:r>
          </w:p>
        </w:tc>
      </w:tr>
      <w:tr>
        <w:trPr>
          <w:cantSplit/>
          <w:trHeight w:hRule="atLeast"/>
        </w:trPr>
        <w:tc>
          <w:tcPr>
            <w:tcW w:type="dxa" w:w="117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Core banking</w:t>
            </w:r>
          </w:p>
        </w:tc>
        <w:tc>
          <w:tcPr>
            <w:tcW w:type="dxa" w:w="27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Platform to core banking</w:t>
            </w:r>
          </w:p>
        </w:tc>
        <w:tc>
          <w:tcPr>
            <w:tcW w:type="dxa" w:w="27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Immediate request</w:t>
            </w:r>
          </w:p>
        </w:tc>
        <w:tc>
          <w:tcPr>
            <w:tcW w:type="dxa" w:w="27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 recent approved snapshot may be used; otherwise the journey waits</w:t>
            </w:r>
          </w:p>
        </w:tc>
      </w:tr>
      <w:tr>
        <w:trPr>
          <w:cantSplit/>
          <w:trHeight w:hRule="atLeast"/>
        </w:trPr>
        <w:tc>
          <w:tcPr>
            <w:tcW w:type="dxa" w:w="117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Insurance provider</w:t>
            </w:r>
          </w:p>
        </w:tc>
        <w:tc>
          <w:tcPr>
            <w:tcW w:type="dxa" w:w="27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Platform through integration service</w:t>
            </w:r>
          </w:p>
        </w:tc>
        <w:tc>
          <w:tcPr>
            <w:tcW w:type="dxa" w:w="27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Submission followed by status checks</w:t>
            </w:r>
          </w:p>
        </w:tc>
        <w:tc>
          <w:tcPr>
            <w:tcW w:type="dxa" w:w="27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No blind resubmission; status is recovered using the existing request reference</w:t>
            </w:r>
          </w:p>
        </w:tc>
      </w:tr>
      <w:tr>
        <w:trPr>
          <w:cantSplit/>
          <w:trHeight w:hRule="atLeast"/>
        </w:trPr>
        <w:tc>
          <w:tcPr>
            <w:tcW w:type="dxa" w:w="117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Payment service</w:t>
            </w:r>
          </w:p>
        </w:tc>
        <w:tc>
          <w:tcPr>
            <w:tcW w:type="dxa" w:w="27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Platform and customer to bank payment service</w:t>
            </w:r>
          </w:p>
        </w:tc>
        <w:tc>
          <w:tcPr>
            <w:tcW w:type="dxa" w:w="27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Session request, customer payment, confirmed callback and settlement file</w:t>
            </w:r>
          </w:p>
        </w:tc>
        <w:tc>
          <w:tcPr>
            <w:tcW w:type="dxa" w:w="27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Unknown states are reconciled; payment is never assumed successful</w:t>
            </w:r>
          </w:p>
        </w:tc>
      </w:tr>
      <w:tr>
        <w:trPr>
          <w:cantSplit/>
          <w:trHeight w:hRule="atLeast"/>
        </w:trPr>
        <w:tc>
          <w:tcPr>
            <w:tcW w:type="dxa" w:w="117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Messaging</w:t>
            </w:r>
          </w:p>
        </w:tc>
        <w:tc>
          <w:tcPr>
            <w:tcW w:type="dxa" w:w="27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Platform to messaging service</w:t>
            </w:r>
          </w:p>
        </w:tc>
        <w:tc>
          <w:tcPr>
            <w:tcW w:type="dxa" w:w="27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Delivery request</w:t>
            </w:r>
          </w:p>
        </w:tc>
        <w:tc>
          <w:tcPr>
            <w:tcW w:type="dxa" w:w="27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Failure creates an operations task and does not silently discard the message</w:t>
            </w:r>
          </w:p>
        </w:tc>
      </w:tr>
      <w:tr>
        <w:trPr>
          <w:cantSplit/>
          <w:trHeight w:hRule="atLeast"/>
        </w:trPr>
        <w:tc>
          <w:tcPr>
            <w:tcW w:type="dxa" w:w="117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Audit evidence</w:t>
            </w:r>
          </w:p>
        </w:tc>
        <w:tc>
          <w:tcPr>
            <w:tcW w:type="dxa" w:w="27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Business services to audit service</w:t>
            </w:r>
          </w:p>
        </w:tc>
        <w:tc>
          <w:tcPr>
            <w:tcW w:type="dxa" w:w="27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Durable queued record</w:t>
            </w:r>
          </w:p>
        </w:tc>
        <w:tc>
          <w:tcPr>
            <w:tcW w:type="dxa" w:w="27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Business action is retained for retry; journey completion waits for required evidence</w:t>
            </w:r>
          </w:p>
        </w:tc>
      </w:tr>
    </w:tbl>
    <w:p>
      <w:pPr>
        <w:spacing w:after="0"/>
      </w:pPr>
    </w:p>
    <w:p>
      <w:pPr>
        <w:pStyle w:val="Heading1"/>
      </w:pPr>
      <w:r>
        <w:t>7. Data design</w:t>
      </w:r>
    </w:p>
    <w:p>
      <w:pPr>
        <w:pStyle w:val="ListBullet"/>
        <w:spacing w:after="60"/>
        <w:ind w:left="360" w:hanging="230"/>
      </w:pPr>
      <w:r>
        <w:t>Each business area owns its official data.</w:t>
      </w:r>
    </w:p>
    <w:p>
      <w:pPr>
        <w:pStyle w:val="ListBullet"/>
        <w:spacing w:after="60"/>
        <w:ind w:left="360" w:hanging="230"/>
      </w:pPr>
      <w:r>
        <w:t>Other areas use service requests or approved reporting copies.</w:t>
      </w:r>
    </w:p>
    <w:p>
      <w:pPr>
        <w:pStyle w:val="ListBullet"/>
        <w:spacing w:after="60"/>
        <w:ind w:left="360" w:hanging="230"/>
      </w:pPr>
      <w:r>
        <w:t>Direct access to another area's database is not allowed.</w:t>
      </w:r>
    </w:p>
    <w:p>
      <w:pPr>
        <w:pStyle w:val="ListBullet"/>
        <w:spacing w:after="60"/>
        <w:ind w:left="360" w:hanging="230"/>
      </w:pPr>
      <w:r>
        <w:t>Partner messages are translated before they enter the bank business model.</w:t>
      </w:r>
    </w:p>
    <w:p>
      <w:pPr>
        <w:pStyle w:val="ListBullet"/>
        <w:spacing w:after="60"/>
        <w:ind w:left="360" w:hanging="230"/>
      </w:pPr>
      <w:r>
        <w:t>Highly sensitive proposal and payment information is encrypted.</w:t>
      </w:r>
    </w:p>
    <w:p>
      <w:pPr>
        <w:pStyle w:val="ListBullet"/>
        <w:spacing w:after="60"/>
        <w:ind w:left="360" w:hanging="230"/>
      </w:pPr>
      <w:r>
        <w:t>Audit, consent and suitability evidence is append-only.</w:t>
      </w:r>
    </w:p>
    <w:p>
      <w:pPr>
        <w:pStyle w:val="ListBullet"/>
        <w:spacing w:after="60"/>
        <w:ind w:left="360" w:hanging="230"/>
      </w:pPr>
      <w:r>
        <w:t>Duplicate business requests return the original result when the same request is repeated.</w:t>
      </w:r>
    </w:p>
    <w:p>
      <w:pPr>
        <w:pStyle w:val="ListBullet"/>
        <w:spacing w:after="60"/>
        <w:ind w:left="360" w:hanging="230"/>
      </w:pPr>
      <w:r>
        <w:t>A repeated request with changed content is rejected.</w:t>
      </w:r>
    </w:p>
    <w:p>
      <w:pPr>
        <w:pStyle w:val="ListBullet"/>
        <w:spacing w:after="60"/>
        <w:ind w:left="360" w:hanging="230"/>
      </w:pPr>
      <w:r>
        <w:t>Reporting data is read-only and cannot change transaction records.</w:t>
      </w:r>
    </w:p>
    <w:p>
      <w:pPr>
        <w:pStyle w:val="Heading1"/>
      </w:pPr>
      <w:r>
        <w:t>8. Reliability and recovery</w:t>
      </w:r>
    </w:p>
    <w:p>
      <w:pPr>
        <w:pStyle w:val="ListBullet"/>
        <w:spacing w:after="60"/>
        <w:ind w:left="360" w:hanging="230"/>
      </w:pPr>
      <w:r>
        <w:t>Requests waiting for an immediate user response have clear time limits.</w:t>
      </w:r>
    </w:p>
    <w:p>
      <w:pPr>
        <w:pStyle w:val="ListBullet"/>
        <w:spacing w:after="60"/>
        <w:ind w:left="360" w:hanging="230"/>
      </w:pPr>
      <w:r>
        <w:t>Long-running quote, proposal and issuance work is tracked by status rather than holding a user connection open.</w:t>
      </w:r>
    </w:p>
    <w:p>
      <w:pPr>
        <w:pStyle w:val="ListBullet"/>
        <w:spacing w:after="60"/>
        <w:ind w:left="360" w:hanging="230"/>
      </w:pPr>
      <w:r>
        <w:t>Automatic retries are used only when repeating an action is safe.</w:t>
      </w:r>
    </w:p>
    <w:p>
      <w:pPr>
        <w:pStyle w:val="ListBullet"/>
        <w:spacing w:after="60"/>
        <w:ind w:left="360" w:hanging="230"/>
      </w:pPr>
      <w:r>
        <w:t>Payment and proposal submissions are not repeated blindly.</w:t>
      </w:r>
    </w:p>
    <w:p>
      <w:pPr>
        <w:pStyle w:val="ListBullet"/>
        <w:spacing w:after="60"/>
        <w:ind w:left="360" w:hanging="230"/>
      </w:pPr>
      <w:r>
        <w:t>One failing insurer is isolated so it cannot consume all partner connection capacity.</w:t>
      </w:r>
    </w:p>
    <w:p>
      <w:pPr>
        <w:pStyle w:val="ListBullet"/>
        <w:spacing w:after="60"/>
        <w:ind w:left="360" w:hanging="230"/>
      </w:pPr>
      <w:r>
        <w:t>Service and database backups are encrypted and tested through restore exercises.</w:t>
      </w:r>
    </w:p>
    <w:p>
      <w:pPr>
        <w:pStyle w:val="ListBullet"/>
        <w:spacing w:after="60"/>
        <w:ind w:left="360" w:hanging="230"/>
      </w:pPr>
      <w:r>
        <w:t>The primary recovery target is to restore core sale services within one hour with no more than five minutes of transaction loss.</w:t>
      </w:r>
    </w:p>
    <w:p>
      <w:pPr>
        <w:pStyle w:val="ListBullet"/>
        <w:spacing w:after="60"/>
        <w:ind w:left="360" w:hanging="230"/>
      </w:pPr>
      <w:r>
        <w:t>Audit evidence is designed for no loss during a regional recovery.</w:t>
      </w:r>
    </w:p>
    <w:p>
      <w:pPr>
        <w:pStyle w:val="ListBullet"/>
        <w:spacing w:after="60"/>
        <w:ind w:left="360" w:hanging="230"/>
      </w:pPr>
      <w:r>
        <w:t>Payment reconciliation, not database restoration, determines whether money was captured.</w:t>
      </w:r>
    </w:p>
    <w:p>
      <w:pPr>
        <w:pStyle w:val="ListBullet"/>
        <w:spacing w:after="60"/>
        <w:ind w:left="360" w:hanging="230"/>
      </w:pPr>
      <w:r>
        <w:t>Failed automatic recovery creates a named operations task.</w:t>
      </w:r>
    </w:p>
    <w:p>
      <w:pPr>
        <w:pStyle w:val="Heading1"/>
      </w:pPr>
      <w:r>
        <w:t>9. Key design decisions</w:t>
      </w:r>
    </w:p>
    <w:tbl>
      <w:tblPr>
        <w:tblStyle w:val="TableGrid"/>
        <w:tblW w:type="dxa" w:w="9360"/>
        <w:jc w:val="center"/>
        <w:tblLayout w:type="fixed"/>
        <w:tblLook w:firstColumn="1" w:firstRow="1" w:lastColumn="0" w:lastRow="0" w:noHBand="0" w:noVBand="1" w:val="04A0"/>
        <w:tblInd w:w="100" w:type="dxa"/>
      </w:tblPr>
      <w:tblGrid>
        <w:gridCol w:w="1902"/>
        <w:gridCol w:w="3196"/>
        <w:gridCol w:w="3196"/>
        <w:gridCol w:w="1066"/>
      </w:tblGrid>
      <w:tr>
        <w:trPr>
          <w:cantSplit/>
          <w:trHeight w:hRule="atLeast"/>
          <w:tblHeader w:val="true"/>
        </w:trPr>
        <w:tc>
          <w:tcPr>
            <w:tcW w:type="dxa" w:w="1902"/>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Decision</w:t>
            </w:r>
          </w:p>
        </w:tc>
        <w:tc>
          <w:tcPr>
            <w:tcW w:type="dxa" w:w="3196"/>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Proposed position</w:t>
            </w:r>
          </w:p>
        </w:tc>
        <w:tc>
          <w:tcPr>
            <w:tcW w:type="dxa" w:w="3196"/>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Reason</w:t>
            </w:r>
          </w:p>
        </w:tc>
        <w:tc>
          <w:tcPr>
            <w:tcW w:type="dxa" w:w="1066"/>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Approval state</w:t>
            </w:r>
          </w:p>
        </w:tc>
      </w:tr>
      <w:tr>
        <w:trPr>
          <w:cantSplit/>
          <w:trHeight w:hRule="atLeast"/>
        </w:trPr>
        <w:tc>
          <w:tcPr>
            <w:tcW w:type="dxa" w:w="190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Journey ownership</w:t>
            </w:r>
          </w:p>
        </w:tc>
        <w:tc>
          <w:tcPr>
            <w:tcW w:type="dxa" w:w="319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The bank owns the journey and business meaning</w:t>
            </w:r>
          </w:p>
        </w:tc>
        <w:tc>
          <w:tcPr>
            <w:tcW w:type="dxa" w:w="319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Prevents partner systems from controlling customer behaviour</w:t>
            </w:r>
          </w:p>
        </w:tc>
        <w:tc>
          <w:tcPr>
            <w:tcW w:type="dxa" w:w="1066"/>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190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Delivery scope</w:t>
            </w:r>
          </w:p>
        </w:tc>
        <w:tc>
          <w:tcPr>
            <w:tcW w:type="dxa" w:w="319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Prove one assisted Term Life journey first</w:t>
            </w:r>
          </w:p>
        </w:tc>
        <w:tc>
          <w:tcPr>
            <w:tcW w:type="dxa" w:w="319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Reduces risk while proving the complete path</w:t>
            </w:r>
          </w:p>
        </w:tc>
        <w:tc>
          <w:tcPr>
            <w:tcW w:type="dxa" w:w="1066"/>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190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Business boundaries</w:t>
            </w:r>
          </w:p>
        </w:tc>
        <w:tc>
          <w:tcPr>
            <w:tcW w:type="dxa" w:w="319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Separate ownership by responsibility and data</w:t>
            </w:r>
          </w:p>
        </w:tc>
        <w:tc>
          <w:tcPr>
            <w:tcW w:type="dxa" w:w="319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Makes rules, changes and failures accountable</w:t>
            </w:r>
          </w:p>
        </w:tc>
        <w:tc>
          <w:tcPr>
            <w:tcW w:type="dxa" w:w="1066"/>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190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Deployment</w:t>
            </w:r>
          </w:p>
        </w:tc>
        <w:tc>
          <w:tcPr>
            <w:tcW w:type="dxa" w:w="319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Combine or separate components only when ownership, scale or failure isolation requires it</w:t>
            </w:r>
          </w:p>
        </w:tc>
        <w:tc>
          <w:tcPr>
            <w:tcW w:type="dxa" w:w="319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Avoids unnecessary operational complexity</w:t>
            </w:r>
          </w:p>
        </w:tc>
        <w:tc>
          <w:tcPr>
            <w:tcW w:type="dxa" w:w="1066"/>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190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Partner access</w:t>
            </w:r>
          </w:p>
        </w:tc>
        <w:tc>
          <w:tcPr>
            <w:tcW w:type="dxa" w:w="319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All insurer communication passes through one integration boundary</w:t>
            </w:r>
          </w:p>
        </w:tc>
        <w:tc>
          <w:tcPr>
            <w:tcW w:type="dxa" w:w="319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Isolates partner formats and credentials</w:t>
            </w:r>
          </w:p>
        </w:tc>
        <w:tc>
          <w:tcPr>
            <w:tcW w:type="dxa" w:w="1066"/>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190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User access</w:t>
            </w:r>
          </w:p>
        </w:tc>
        <w:tc>
          <w:tcPr>
            <w:tcW w:type="dxa" w:w="319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Staff credentials remain on the server side</w:t>
            </w:r>
          </w:p>
        </w:tc>
        <w:tc>
          <w:tcPr>
            <w:tcW w:type="dxa" w:w="319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Reduces credential exposure on devices</w:t>
            </w:r>
          </w:p>
        </w:tc>
        <w:tc>
          <w:tcPr>
            <w:tcW w:type="dxa" w:w="1066"/>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190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Suitability</w:t>
            </w:r>
          </w:p>
        </w:tc>
        <w:tc>
          <w:tcPr>
            <w:tcW w:type="dxa" w:w="319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A valid suitability result is mandatory before quotation</w:t>
            </w:r>
          </w:p>
        </w:tc>
        <w:tc>
          <w:tcPr>
            <w:tcW w:type="dxa" w:w="319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Protects the customer and bank</w:t>
            </w:r>
          </w:p>
        </w:tc>
        <w:tc>
          <w:tcPr>
            <w:tcW w:type="dxa" w:w="1066"/>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190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Consent</w:t>
            </w:r>
          </w:p>
        </w:tc>
        <w:tc>
          <w:tcPr>
            <w:tcW w:type="dxa" w:w="319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Valid customer consent is mandatory before proposal submission</w:t>
            </w:r>
          </w:p>
        </w:tc>
        <w:tc>
          <w:tcPr>
            <w:tcW w:type="dxa" w:w="319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Preserves evidence and customer control</w:t>
            </w:r>
          </w:p>
        </w:tc>
        <w:tc>
          <w:tcPr>
            <w:tcW w:type="dxa" w:w="1066"/>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190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Payment</w:t>
            </w:r>
          </w:p>
        </w:tc>
        <w:tc>
          <w:tcPr>
            <w:tcW w:type="dxa" w:w="319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Payment is completed only on the customer's device</w:t>
            </w:r>
          </w:p>
        </w:tc>
        <w:tc>
          <w:tcPr>
            <w:tcW w:type="dxa" w:w="319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Separates the sales role from payment authorization</w:t>
            </w:r>
          </w:p>
        </w:tc>
        <w:tc>
          <w:tcPr>
            <w:tcW w:type="dxa" w:w="1066"/>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190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Sale completion</w:t>
            </w:r>
          </w:p>
        </w:tc>
        <w:tc>
          <w:tcPr>
            <w:tcW w:type="dxa" w:w="319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Issuance, reconciliation and audit evidence are all required</w:t>
            </w:r>
          </w:p>
        </w:tc>
        <w:tc>
          <w:tcPr>
            <w:tcW w:type="dxa" w:w="319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Prevents false or disputed sales reporting</w:t>
            </w:r>
          </w:p>
        </w:tc>
        <w:tc>
          <w:tcPr>
            <w:tcW w:type="dxa" w:w="1066"/>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190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Data location</w:t>
            </w:r>
          </w:p>
        </w:tc>
        <w:tc>
          <w:tcPr>
            <w:tcW w:type="dxa" w:w="319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Regulated data remains in India</w:t>
            </w:r>
          </w:p>
        </w:tc>
        <w:tc>
          <w:tcPr>
            <w:tcW w:type="dxa" w:w="3196"/>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Meets bank and regulatory expectations</w:t>
            </w:r>
          </w:p>
        </w:tc>
        <w:tc>
          <w:tcPr>
            <w:tcW w:type="dxa" w:w="1066"/>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r>
        <w:trPr>
          <w:cantSplit/>
          <w:trHeight w:hRule="atLeast"/>
        </w:trPr>
        <w:tc>
          <w:tcPr>
            <w:tcW w:type="dxa" w:w="1902"/>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Shared messaging platform</w:t>
            </w:r>
          </w:p>
        </w:tc>
        <w:tc>
          <w:tcPr>
            <w:tcW w:type="dxa" w:w="319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Deferred until measured demand justifies it</w:t>
            </w:r>
          </w:p>
        </w:tc>
        <w:tc>
          <w:tcPr>
            <w:tcW w:type="dxa" w:w="3196"/>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Keeps the first release simpler to operate</w:t>
            </w:r>
          </w:p>
        </w:tc>
        <w:tc>
          <w:tcPr>
            <w:tcW w:type="dxa" w:w="1066"/>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8"/>
              </w:rPr>
              <w:t>Pending</w:t>
            </w:r>
          </w:p>
        </w:tc>
      </w:tr>
    </w:tbl>
    <w:p>
      <w:pPr>
        <w:spacing w:after="0"/>
      </w:pPr>
    </w:p>
    <w:p>
      <w:pPr>
        <w:pStyle w:val="Heading1"/>
      </w:pPr>
      <w:r>
        <w:t>10. Open design decisions</w:t>
      </w:r>
    </w:p>
    <w:p>
      <w:pPr>
        <w:pStyle w:val="ListBullet"/>
        <w:spacing w:after="60"/>
        <w:ind w:left="360" w:hanging="230"/>
      </w:pPr>
      <w:r>
        <w:t>Customer identity for future self-service journeys</w:t>
      </w:r>
    </w:p>
    <w:p>
      <w:pPr>
        <w:pStyle w:val="ListBullet"/>
        <w:spacing w:after="60"/>
        <w:ind w:left="360" w:hanging="230"/>
      </w:pPr>
      <w:r>
        <w:t>Final product and insurer list for the first release</w:t>
      </w:r>
    </w:p>
    <w:p>
      <w:pPr>
        <w:pStyle w:val="ListBullet"/>
        <w:spacing w:after="60"/>
        <w:ind w:left="360" w:hanging="230"/>
      </w:pPr>
      <w:r>
        <w:t>Approved consent and suitability rules</w:t>
      </w:r>
    </w:p>
    <w:p>
      <w:pPr>
        <w:pStyle w:val="ListBullet"/>
        <w:spacing w:after="60"/>
        <w:ind w:left="360" w:hanging="230"/>
      </w:pPr>
      <w:r>
        <w:t>Payment settlement timing and reconciliation ownership</w:t>
      </w:r>
    </w:p>
    <w:p>
      <w:pPr>
        <w:pStyle w:val="ListBullet"/>
        <w:spacing w:after="60"/>
        <w:ind w:left="360" w:hanging="230"/>
      </w:pPr>
      <w:r>
        <w:t>Data retention and disposal periods</w:t>
      </w:r>
    </w:p>
    <w:p>
      <w:pPr>
        <w:pStyle w:val="ListBullet"/>
        <w:spacing w:after="60"/>
        <w:ind w:left="360" w:hanging="230"/>
      </w:pPr>
      <w:r>
        <w:t>Partner service limits and planned maintenance windows</w:t>
      </w:r>
    </w:p>
    <w:p>
      <w:pPr>
        <w:pStyle w:val="ListBullet"/>
        <w:spacing w:after="60"/>
        <w:ind w:left="360" w:hanging="230"/>
      </w:pPr>
      <w:r>
        <w:t>Final component deployment grouping</w:t>
      </w:r>
    </w:p>
    <w:p>
      <w:pPr>
        <w:pStyle w:val="ListBullet"/>
        <w:spacing w:after="60"/>
        <w:ind w:left="360" w:hanging="230"/>
      </w:pPr>
      <w:r>
        <w:t>Recovery capacity and cost approval</w:t>
      </w:r>
    </w:p>
    <w:p>
      <w:r>
        <w:br w:type="page"/>
      </w:r>
    </w:p>
    <w:tbl>
      <w:tblPr>
        <w:tblW w:type="dxa" w:w="9360"/>
        <w:jc w:val="center"/>
        <w:tblLayout w:type="fixed"/>
        <w:tblLook w:firstColumn="1" w:firstRow="1" w:lastColumn="0" w:lastRow="0" w:noHBand="0" w:noVBand="1" w:val="04A0"/>
        <w:tblInd w:w="100" w:type="dxa"/>
      </w:tblPr>
      <w:tblGrid>
        <w:gridCol w:w="9360"/>
      </w:tblGrid>
      <w:tr>
        <w:trPr>
          <w:cantSplit/>
          <w:trHeight w:hRule="atLeast"/>
          <w:tblHeader w:val="true"/>
        </w:trPr>
        <w:tc>
          <w:tcPr>
            <w:tcW w:type="dxa" w:w="9360"/>
            <w:vAlign w:val="center"/>
            <w:tcBorders>
              <w:top w:val="single" w:sz="10" w:color="B33A3A"/>
              <w:left w:val="single" w:sz="10" w:color="B33A3A"/>
              <w:bottom w:val="single" w:sz="10" w:color="B33A3A"/>
              <w:right w:val="single" w:sz="10" w:color="B33A3A"/>
              <w:insideH w:val="single" w:sz="10" w:color="B33A3A"/>
              <w:insideV w:val="single" w:sz="10" w:color="B33A3A"/>
            </w:tcBorders>
            <w:tcMar>
              <w:top w:w="80" w:type="dxa"/>
              <w:start w:w="100" w:type="dxa"/>
              <w:bottom w:w="80" w:type="dxa"/>
              <w:end w:w="100" w:type="dxa"/>
            </w:tcMar>
            <w:shd w:fill="FCE4E4"/>
          </w:tcPr>
          <w:p>
            <w:r>
              <w:rPr>
                <w:b/>
                <w:color w:val="B33A3A"/>
                <w:sz w:val="19"/>
              </w:rPr>
              <w:t>Approval control: review comments and recommendations do not constitute approval. The decision remains Pending until the named human stakeholder records a decision, date and signature.</w:t>
            </w:r>
          </w:p>
        </w:tc>
      </w:tr>
    </w:tbl>
    <w:p/>
    <w:p>
      <w:pPr>
        <w:pStyle w:val="Heading1"/>
      </w:pPr>
      <w:r>
        <w:t>11. Review and sign-off</w:t>
      </w:r>
    </w:p>
    <w:tbl>
      <w:tblPr>
        <w:tblStyle w:val="TableGrid"/>
        <w:tblW w:type="dxa" w:w="9360"/>
        <w:jc w:val="center"/>
        <w:tblLayout w:type="fixed"/>
        <w:tblLook w:firstColumn="1" w:firstRow="1" w:lastColumn="0" w:lastRow="0" w:noHBand="0" w:noVBand="1" w:val="04A0"/>
        <w:tblInd w:w="100" w:type="dxa"/>
      </w:tblPr>
      <w:tblGrid>
        <w:gridCol w:w="2398"/>
        <w:gridCol w:w="3248"/>
        <w:gridCol w:w="928"/>
        <w:gridCol w:w="928"/>
        <w:gridCol w:w="928"/>
        <w:gridCol w:w="930"/>
      </w:tblGrid>
      <w:tr>
        <w:trPr>
          <w:cantSplit/>
          <w:trHeight w:hRule="atLeast"/>
          <w:tblHeader w:val="true"/>
        </w:trPr>
        <w:tc>
          <w:tcPr>
            <w:tcW w:type="dxa" w:w="239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Stakeholder</w:t>
            </w:r>
          </w:p>
        </w:tc>
        <w:tc>
          <w:tcPr>
            <w:tcW w:type="dxa" w:w="324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Review responsibility</w:t>
            </w:r>
          </w:p>
        </w:tc>
        <w:tc>
          <w:tcPr>
            <w:tcW w:type="dxa" w:w="92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Decision</w:t>
            </w:r>
          </w:p>
        </w:tc>
        <w:tc>
          <w:tcPr>
            <w:tcW w:type="dxa" w:w="92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Name</w:t>
            </w:r>
          </w:p>
        </w:tc>
        <w:tc>
          <w:tcPr>
            <w:tcW w:type="dxa" w:w="928"/>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Date</w:t>
            </w:r>
          </w:p>
        </w:tc>
        <w:tc>
          <w:tcPr>
            <w:tcW w:type="dxa" w:w="93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6"/>
              </w:rPr>
              <w:t>Comments</w:t>
            </w:r>
          </w:p>
        </w:tc>
      </w:tr>
      <w:tr>
        <w:trPr>
          <w:cantSplit/>
          <w:trHeight w:hRule="atLeast"/>
        </w:trPr>
        <w:tc>
          <w:tcPr>
            <w:tcW w:type="dxa" w:w="239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Chief Technology Officer</w:t>
            </w:r>
          </w:p>
        </w:tc>
        <w:tc>
          <w:tcPr>
            <w:tcW w:type="dxa" w:w="32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Technical direction and investment alignment</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Principal Architect</w:t>
            </w:r>
          </w:p>
        </w:tc>
        <w:tc>
          <w:tcPr>
            <w:tcW w:type="dxa" w:w="32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Overall structure, boundaries and decisions</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Product Owner</w:t>
            </w:r>
          </w:p>
        </w:tc>
        <w:tc>
          <w:tcPr>
            <w:tcW w:type="dxa" w:w="32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Scope, journey and business behaviour</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Engineering Head</w:t>
            </w:r>
          </w:p>
        </w:tc>
        <w:tc>
          <w:tcPr>
            <w:tcW w:type="dxa" w:w="32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Build feasibility and engineering standards</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Security Head</w:t>
            </w:r>
          </w:p>
        </w:tc>
        <w:tc>
          <w:tcPr>
            <w:tcW w:type="dxa" w:w="32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Access, data protection and security risk</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Data and Database Architect</w:t>
            </w:r>
          </w:p>
        </w:tc>
        <w:tc>
          <w:tcPr>
            <w:tcW w:type="dxa" w:w="32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Data ownership, integrity and recovery</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Compliance and Risk Head</w:t>
            </w:r>
          </w:p>
        </w:tc>
        <w:tc>
          <w:tcPr>
            <w:tcW w:type="dxa" w:w="32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Regulatory controls and evidence</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Reliability and Operations Head</w:t>
            </w:r>
          </w:p>
        </w:tc>
        <w:tc>
          <w:tcPr>
            <w:tcW w:type="dxa" w:w="324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Operability, recovery and capacity</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shd w:fill="F7F9FB"/>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r>
        <w:trPr>
          <w:cantSplit/>
          <w:trHeight w:hRule="atLeast"/>
        </w:trPr>
        <w:tc>
          <w:tcPr>
            <w:tcW w:type="dxa" w:w="239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Quality Lead</w:t>
            </w:r>
          </w:p>
        </w:tc>
        <w:tc>
          <w:tcPr>
            <w:tcW w:type="dxa" w:w="324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t>Testability and evidence approach</w:t>
            </w:r>
          </w:p>
        </w:tc>
        <w:tc>
          <w:tcPr>
            <w:tcW w:type="dxa" w:w="928"/>
            <w:shd w:fill="FCE4E4"/>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B33A3A"/>
                <w:sz w:val="16"/>
              </w:rPr>
              <w:t>Pending</w:t>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28"/>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c>
          <w:tcPr>
            <w:tcW w:type="dxa" w:w="93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6"/>
              </w:rPr>
            </w:r>
          </w:p>
        </w:tc>
      </w:tr>
    </w:tbl>
    <w:p>
      <w:pPr>
        <w:spacing w:after="0"/>
      </w:pPr>
    </w:p>
    <w:p>
      <w:pPr>
        <w:pStyle w:val="Heading1"/>
      </w:pPr>
      <w:r>
        <w:t>12. Version history</w:t>
      </w:r>
    </w:p>
    <w:tbl>
      <w:tblPr>
        <w:tblStyle w:val="TableGrid"/>
        <w:tblW w:type="dxa" w:w="9360"/>
        <w:jc w:val="center"/>
        <w:tblLayout w:type="fixed"/>
        <w:tblLook w:firstColumn="1" w:firstRow="1" w:lastColumn="0" w:lastRow="0" w:noHBand="0" w:noVBand="1" w:val="04A0"/>
        <w:tblInd w:w="100" w:type="dxa"/>
      </w:tblPr>
      <w:tblGrid>
        <w:gridCol w:w="1337"/>
        <w:gridCol w:w="2080"/>
        <w:gridCol w:w="3862"/>
        <w:gridCol w:w="2081"/>
      </w:tblGrid>
      <w:tr>
        <w:trPr>
          <w:cantSplit/>
          <w:trHeight w:hRule="atLeast"/>
          <w:tblHeader w:val="true"/>
        </w:trPr>
        <w:tc>
          <w:tcPr>
            <w:tcW w:type="dxa" w:w="1337"/>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Version</w:t>
            </w:r>
          </w:p>
        </w:tc>
        <w:tc>
          <w:tcPr>
            <w:tcW w:type="dxa" w:w="2080"/>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Date</w:t>
            </w:r>
          </w:p>
        </w:tc>
        <w:tc>
          <w:tcPr>
            <w:tcW w:type="dxa" w:w="3862"/>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Change</w:t>
            </w:r>
          </w:p>
        </w:tc>
        <w:tc>
          <w:tcPr>
            <w:tcW w:type="dxa" w:w="2081"/>
            <w:shd w:fill="17365D"/>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b/>
                <w:color w:val="FFFFFF"/>
                <w:sz w:val="18"/>
              </w:rPr>
              <w:t>Approval state</w:t>
            </w:r>
          </w:p>
        </w:tc>
      </w:tr>
      <w:tr>
        <w:trPr>
          <w:cantSplit/>
          <w:trHeight w:hRule="atLeast"/>
        </w:trPr>
        <w:tc>
          <w:tcPr>
            <w:tcW w:type="dxa" w:w="1337"/>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0.1</w:t>
            </w:r>
          </w:p>
        </w:tc>
        <w:tc>
          <w:tcPr>
            <w:tcW w:type="dxa" w:w="2080"/>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17 August 2026</w:t>
            </w:r>
          </w:p>
        </w:tc>
        <w:tc>
          <w:tcPr>
            <w:tcW w:type="dxa" w:w="3862"/>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Initial pre-approval draft</w:t>
            </w:r>
          </w:p>
        </w:tc>
        <w:tc>
          <w:tcPr>
            <w:tcW w:type="dxa" w:w="2081"/>
            <w:vAlign w:val="center"/>
            <w:tcBorders>
              <w:top w:val="single" w:sz="6" w:color="AEB8C4"/>
              <w:left w:val="single" w:sz="6" w:color="AEB8C4"/>
              <w:bottom w:val="single" w:sz="6" w:color="AEB8C4"/>
              <w:right w:val="single" w:sz="6" w:color="AEB8C4"/>
              <w:insideH w:val="single" w:sz="6" w:color="AEB8C4"/>
              <w:insideV w:val="single" w:sz="6" w:color="AEB8C4"/>
            </w:tcBorders>
            <w:tcMar>
              <w:top w:w="80" w:type="dxa"/>
              <w:start w:w="100" w:type="dxa"/>
              <w:bottom w:w="80" w:type="dxa"/>
              <w:end w:w="100" w:type="dxa"/>
            </w:tcMar>
          </w:tcPr>
          <w:p>
            <w:pPr>
              <w:spacing w:after="0"/>
            </w:pPr>
            <w:r>
              <w:rPr>
                <w:rFonts w:ascii="Calibri" w:hAnsi="Calibri"/>
                <w:sz w:val="18"/>
              </w:rPr>
              <w:t>Not approved</w:t>
            </w:r>
          </w:p>
        </w:tc>
      </w:tr>
    </w:tbl>
    <w:p>
      <w:pPr>
        <w:spacing w:after="0"/>
      </w:pPr>
    </w:p>
    <w:sectPr w:rsidR="00FC693F" w:rsidRPr="0006063C" w:rsidSect="00034616">
      <w:headerReference w:type="default" r:id="rId9"/>
      <w:footerReference w:type="default" r:id="rId10"/>
      <w:pgSz w:w="12240" w:h="15840"/>
      <w:pgMar w:top="1008" w:right="1152" w:bottom="936"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B33A3A"/>
        <w:sz w:val="16"/>
      </w:rPr>
      <w:t xml:space="preserve">DRAFT FOR REVIEW - VERSION 0.1 - NOT APPROVED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fill="FFFFFF"/>
      <w:pBdr>
        <w:bottom w:val="single" w:sz="14" w:color="17365D"/>
      </w:pBdr>
    </w:pPr>
    <w:r>
      <w:rPr>
        <w:rFonts w:ascii="Calibri" w:hAnsi="Calibri"/>
        <w:b/>
        <w:color w:val="5B6573"/>
        <w:sz w:val="16"/>
      </w:rPr>
      <w:t>AU BANK INSURANCE PLATFORM  |  ARCHITECTURE PRE-APPROVAL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 Bank End-to-End Insurance Platform — High-Level Design</dc:title>
  <dc:subject>Architecture pre-approval document</dc:subject>
  <dc:creator>Mahesh, Principal Insurance Platform Architect</dc:creator>
  <cp:keywords>architecture, insurance platform, pre-approval, version 0.1</cp:keywords>
  <dc:description>Draft for stakeholder review. Approval remains pending.</dc:description>
  <cp:lastModifiedBy/>
  <cp:revision>1</cp:revision>
  <dcterms:created xsi:type="dcterms:W3CDTF">2013-12-23T23:15:00Z</dcterms:created>
  <dcterms:modified xsi:type="dcterms:W3CDTF">2013-12-23T23:15:00Z</dcterms:modified>
  <cp:category/>
</cp:coreProperties>
</file>