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 Bank End-to-End Insurance Platform — Security Design Review</w:t>
      </w:r>
    </w:p>
    <w:p>
      <w:pPr>
        <w:pStyle w:val="Subtitle"/>
      </w:pPr>
      <w:r>
        <w:t>Architecture pre-approval document</w:t>
      </w:r>
      <w:r>
        <w:t xml:space="preserve">  |  AU Bank End-to-End Insurance Platform</w:t>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4" w:color="B33A3A"/>
              <w:left w:val="single" w:sz="14" w:color="B33A3A"/>
              <w:bottom w:val="single" w:sz="14" w:color="B33A3A"/>
              <w:right w:val="single" w:sz="14" w:color="B33A3A"/>
              <w:insideH w:val="single" w:sz="14" w:color="B33A3A"/>
              <w:insideV w:val="single" w:sz="14" w:color="B33A3A"/>
            </w:tcBorders>
            <w:tcMar>
              <w:top w:w="80" w:type="dxa"/>
              <w:start w:w="100" w:type="dxa"/>
              <w:bottom w:w="80" w:type="dxa"/>
              <w:end w:w="100" w:type="dxa"/>
            </w:tcMar>
            <w:shd w:fill="FCE4E4"/>
          </w:tcPr>
          <w:p>
            <w:pPr>
              <w:jc w:val="center"/>
            </w:pPr>
            <w:r>
              <w:rPr>
                <w:b/>
                <w:color w:val="B33A3A"/>
                <w:sz w:val="21"/>
              </w:rPr>
              <w:t>DRAFT FOR REVIEW - NOT APPROVED - NOT AUTHORISED FOR DEVELOPMENT</w:t>
            </w:r>
          </w:p>
        </w:tc>
      </w:tr>
    </w:tbl>
    <w:p/>
    <w:tbl>
      <w:tblPr>
        <w:tblW w:type="dxa" w:w="9360"/>
        <w:jc w:val="center"/>
        <w:tblLayout w:type="fixed"/>
        <w:tblLook w:firstColumn="1" w:firstRow="1" w:lastColumn="0" w:lastRow="0" w:noHBand="0" w:noVBand="1" w:val="04A0"/>
        <w:tblInd w:w="100" w:type="dxa"/>
      </w:tblPr>
      <w:tblGrid>
        <w:gridCol w:w="1497"/>
        <w:gridCol w:w="3182"/>
        <w:gridCol w:w="1497"/>
        <w:gridCol w:w="3184"/>
      </w:tblGrid>
      <w:tr>
        <w:trPr>
          <w:cantSplit/>
          <w:trHeight w:hRule="atLeast"/>
          <w:tblHeader w:val="true"/>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Version</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0.1</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17 August 2026</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Document owner</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Security Head for security decision; Principal Architect for solution structure</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Approval state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Pending</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Purpose</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Review access control, data protection, compliance needs and security risks before development</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Next action</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Stakeholder review and recorded decision</w:t>
            </w:r>
          </w:p>
        </w:tc>
      </w:tr>
    </w:tbl>
    <w:p/>
    <w:p>
      <w:pPr>
        <w:pStyle w:val="Heading1"/>
      </w:pPr>
      <w:r>
        <w:t>1. Review position</w:t>
      </w:r>
    </w:p>
    <w:p>
      <w:pPr>
        <w:keepNext/>
        <w:jc w:val="center"/>
      </w:pPr>
      <w:r>
        <w:drawing>
          <wp:inline xmlns:a="http://schemas.openxmlformats.org/drawingml/2006/main" xmlns:pic="http://schemas.openxmlformats.org/drawingml/2006/picture">
            <wp:extent cx="6126480" cy="3446145"/>
            <wp:docPr id="1" name="Picture 1" title="Security trust zones" descr="Security trust zones. Diagram prepared for stakeholder review."/>
            <wp:cNvGraphicFramePr>
              <a:graphicFrameLocks noChangeAspect="1"/>
            </wp:cNvGraphicFramePr>
            <a:graphic>
              <a:graphicData uri="http://schemas.openxmlformats.org/drawingml/2006/picture">
                <pic:pic>
                  <pic:nvPicPr>
                    <pic:cNvPr id="0" name="security_trust_zones_v0.1.png"/>
                    <pic:cNvPicPr/>
                  </pic:nvPicPr>
                  <pic:blipFill>
                    <a:blip r:embed="rId11"/>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Security trust zones</w:t>
      </w:r>
    </w:p>
    <w:p>
      <w:r>
        <w:t>The proposed design includes the required security structure, but it has not received Security or Compliance approval. Development affecting customer identity, access, personal data, consent, suitability, payment, partner credentials or audit evidence must not treat this draft as a signed security decision.</w:t>
      </w:r>
    </w:p>
    <w:p>
      <w:pPr>
        <w:pStyle w:val="Heading1"/>
      </w:pPr>
      <w:r>
        <w:t>2. Information requiring protection</w:t>
      </w:r>
    </w:p>
    <w:tbl>
      <w:tblPr>
        <w:tblStyle w:val="TableGrid"/>
        <w:tblW w:type="dxa" w:w="9360"/>
        <w:jc w:val="center"/>
        <w:tblLayout w:type="fixed"/>
        <w:tblLook w:firstColumn="1" w:firstRow="1" w:lastColumn="0" w:lastRow="0" w:noHBand="0" w:noVBand="1" w:val="04A0"/>
        <w:tblInd w:w="100" w:type="dxa"/>
      </w:tblPr>
      <w:tblGrid>
        <w:gridCol w:w="4680"/>
        <w:gridCol w:w="4680"/>
      </w:tblGrid>
      <w:tr>
        <w:trPr>
          <w:cantSplit/>
          <w:trHeight w:hRule="atLeast"/>
          <w:tblHeader w:val="true"/>
        </w:trPr>
        <w:tc>
          <w:tcPr>
            <w:tcW w:type="dxa" w:w="468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Information</w:t>
            </w:r>
          </w:p>
        </w:tc>
        <w:tc>
          <w:tcPr>
            <w:tcW w:type="dxa" w:w="468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Protection need</w:t>
            </w:r>
          </w:p>
        </w:tc>
      </w:tr>
      <w:tr>
        <w:trPr>
          <w:cantSplit/>
          <w:trHeight w:hRule="atLeast"/>
        </w:trPr>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 identity and contact information</w:t>
            </w:r>
          </w:p>
        </w:tc>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Restricted to approved staff and business purposes</w:t>
            </w:r>
          </w:p>
        </w:tc>
      </w:tr>
      <w:tr>
        <w:trPr>
          <w:cantSplit/>
          <w:trHeight w:hRule="atLeast"/>
        </w:trPr>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Financial and income information</w:t>
            </w:r>
          </w:p>
        </w:tc>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Strong access control, encryption and audit</w:t>
            </w:r>
          </w:p>
        </w:tc>
      </w:tr>
      <w:tr>
        <w:trPr>
          <w:cantSplit/>
          <w:trHeight w:hRule="atLeast"/>
        </w:trPr>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Health and underwriting information</w:t>
            </w:r>
          </w:p>
        </w:tc>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Highest restriction and minimum collection</w:t>
            </w:r>
          </w:p>
        </w:tc>
      </w:tr>
      <w:tr>
        <w:trPr>
          <w:cantSplit/>
          <w:trHeight w:hRule="atLeast"/>
        </w:trPr>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Consent and suitability evidence</w:t>
            </w:r>
          </w:p>
        </w:tc>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Cannot be changed after issue; full history retained</w:t>
            </w:r>
          </w:p>
        </w:tc>
      </w:tr>
      <w:tr>
        <w:trPr>
          <w:cantSplit/>
          <w:trHeight w:hRule="atLeast"/>
        </w:trPr>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Proposal and policy documents</w:t>
            </w:r>
          </w:p>
        </w:tc>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Encrypted, access recorded and shared only for the journey</w:t>
            </w:r>
          </w:p>
        </w:tc>
      </w:tr>
      <w:tr>
        <w:trPr>
          <w:cantSplit/>
          <w:trHeight w:hRule="atLeast"/>
        </w:trPr>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references and reconciliation records</w:t>
            </w:r>
          </w:p>
        </w:tc>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Protected from alteration and duplicate processing</w:t>
            </w:r>
          </w:p>
        </w:tc>
      </w:tr>
      <w:tr>
        <w:trPr>
          <w:cantSplit/>
          <w:trHeight w:hRule="atLeast"/>
        </w:trPr>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Staff identity, role and certification</w:t>
            </w:r>
          </w:p>
        </w:tc>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Server-verified; never trusted from device input</w:t>
            </w:r>
          </w:p>
        </w:tc>
      </w:tr>
      <w:tr>
        <w:trPr>
          <w:cantSplit/>
          <w:trHeight w:hRule="atLeast"/>
        </w:trPr>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credentials and encryption keys</w:t>
            </w:r>
          </w:p>
        </w:tc>
        <w:tc>
          <w:tcPr>
            <w:tcW w:type="dxa" w:w="46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Kept in secure managed stores with rotation and emergency removal</w:t>
            </w:r>
          </w:p>
        </w:tc>
      </w:tr>
      <w:tr>
        <w:trPr>
          <w:cantSplit/>
          <w:trHeight w:hRule="atLeast"/>
        </w:trPr>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Audit records</w:t>
            </w:r>
          </w:p>
        </w:tc>
        <w:tc>
          <w:tcPr>
            <w:tcW w:type="dxa" w:w="46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Append-only and protected from update or deletion</w:t>
            </w:r>
          </w:p>
        </w:tc>
      </w:tr>
    </w:tbl>
    <w:p>
      <w:pPr>
        <w:spacing w:after="0"/>
      </w:pPr>
    </w:p>
    <w:p>
      <w:pPr>
        <w:pStyle w:val="Heading1"/>
      </w:pPr>
      <w:r>
        <w:t>3. Access control review</w:t>
      </w:r>
    </w:p>
    <w:tbl>
      <w:tblPr>
        <w:tblStyle w:val="TableGrid"/>
        <w:tblW w:type="dxa" w:w="9360"/>
        <w:jc w:val="center"/>
        <w:tblLayout w:type="fixed"/>
        <w:tblLook w:firstColumn="1" w:firstRow="1" w:lastColumn="0" w:lastRow="0" w:noHBand="0" w:noVBand="1" w:val="04A0"/>
        <w:tblInd w:w="100" w:type="dxa"/>
      </w:tblPr>
      <w:tblGrid>
        <w:gridCol w:w="1890"/>
        <w:gridCol w:w="3780"/>
        <w:gridCol w:w="3690"/>
      </w:tblGrid>
      <w:tr>
        <w:trPr>
          <w:cantSplit/>
          <w:trHeight w:hRule="atLeast"/>
          <w:tblHeader w:val="true"/>
        </w:trPr>
        <w:tc>
          <w:tcPr>
            <w:tcW w:type="dxa" w:w="189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Control</w:t>
            </w:r>
          </w:p>
        </w:tc>
        <w:tc>
          <w:tcPr>
            <w:tcW w:type="dxa" w:w="378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Proposed design</w:t>
            </w:r>
          </w:p>
        </w:tc>
        <w:tc>
          <w:tcPr>
            <w:tcW w:type="dxa" w:w="369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Review state</w:t>
            </w:r>
          </w:p>
        </w:tc>
      </w:tr>
      <w:tr>
        <w:trPr>
          <w:cantSplit/>
          <w:trHeight w:hRule="atLeast"/>
        </w:trPr>
        <w:tc>
          <w:tcPr>
            <w:tcW w:type="dxa" w:w="18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Staff sign-in</w:t>
            </w:r>
          </w:p>
        </w:tc>
        <w:tc>
          <w:tcPr>
            <w:tcW w:type="dxa" w:w="37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Bank workforce identity confirms the user</w:t>
            </w:r>
          </w:p>
        </w:tc>
        <w:tc>
          <w:tcPr>
            <w:tcW w:type="dxa" w:w="36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Device credentials</w:t>
            </w:r>
          </w:p>
        </w:tc>
        <w:tc>
          <w:tcPr>
            <w:tcW w:type="dxa" w:w="37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Long-lived access credentials are not stored in the Relationship Manager application</w:t>
            </w:r>
          </w:p>
        </w:tc>
        <w:tc>
          <w:tcPr>
            <w:tcW w:type="dxa" w:w="36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Permission checks</w:t>
            </w:r>
          </w:p>
        </w:tc>
        <w:tc>
          <w:tcPr>
            <w:tcW w:type="dxa" w:w="37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Role, branch, hierarchy, insurer access, assignment and certification are checked</w:t>
            </w:r>
          </w:p>
        </w:tc>
        <w:tc>
          <w:tcPr>
            <w:tcW w:type="dxa" w:w="36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Default action</w:t>
            </w:r>
          </w:p>
        </w:tc>
        <w:tc>
          <w:tcPr>
            <w:tcW w:type="dxa" w:w="37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Access is denied unless an explicit permission is returned</w:t>
            </w:r>
          </w:p>
        </w:tc>
        <w:tc>
          <w:tcPr>
            <w:tcW w:type="dxa" w:w="36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Double checking</w:t>
            </w:r>
          </w:p>
        </w:tc>
        <w:tc>
          <w:tcPr>
            <w:tcW w:type="dxa" w:w="37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entry gateway and the owning business service both check access</w:t>
            </w:r>
          </w:p>
        </w:tc>
        <w:tc>
          <w:tcPr>
            <w:tcW w:type="dxa" w:w="36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 confirmation</w:t>
            </w:r>
          </w:p>
        </w:tc>
        <w:tc>
          <w:tcPr>
            <w:tcW w:type="dxa" w:w="37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One-time password confirms consent; payment service confirms the paying customer</w:t>
            </w:r>
          </w:p>
        </w:tc>
        <w:tc>
          <w:tcPr>
            <w:tcW w:type="dxa" w:w="36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decision for broader self-service</w:t>
            </w:r>
          </w:p>
        </w:tc>
      </w:tr>
      <w:tr>
        <w:trPr>
          <w:cantSplit/>
          <w:trHeight w:hRule="atLeast"/>
        </w:trPr>
        <w:tc>
          <w:tcPr>
            <w:tcW w:type="dxa" w:w="18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Service identity</w:t>
            </w:r>
          </w:p>
        </w:tc>
        <w:tc>
          <w:tcPr>
            <w:tcW w:type="dxa" w:w="37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Each service receives a distinct identity and only the access it needs</w:t>
            </w:r>
          </w:p>
        </w:tc>
        <w:tc>
          <w:tcPr>
            <w:tcW w:type="dxa" w:w="36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Privileged changes</w:t>
            </w:r>
          </w:p>
        </w:tc>
        <w:tc>
          <w:tcPr>
            <w:tcW w:type="dxa" w:w="378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High-risk access and bulk changes require a second approver</w:t>
            </w:r>
          </w:p>
        </w:tc>
        <w:tc>
          <w:tcPr>
            <w:tcW w:type="dxa" w:w="369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r>
        <w:trPr>
          <w:cantSplit/>
          <w:trHeight w:hRule="atLeast"/>
        </w:trPr>
        <w:tc>
          <w:tcPr>
            <w:tcW w:type="dxa" w:w="18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Revocation</w:t>
            </w:r>
          </w:p>
        </w:tc>
        <w:tc>
          <w:tcPr>
            <w:tcW w:type="dxa" w:w="37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Suspended users, expired certification and removed access take effect without a long cache delay</w:t>
            </w:r>
          </w:p>
        </w:tc>
        <w:tc>
          <w:tcPr>
            <w:tcW w:type="dxa" w:w="369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confirmation</w:t>
            </w:r>
          </w:p>
        </w:tc>
      </w:tr>
    </w:tbl>
    <w:p>
      <w:pPr>
        <w:spacing w:after="0"/>
      </w:pPr>
    </w:p>
    <w:p>
      <w:pPr>
        <w:pStyle w:val="Heading1"/>
      </w:pPr>
      <w:r>
        <w:t>4. Data protection review</w:t>
      </w:r>
    </w:p>
    <w:p>
      <w:pPr>
        <w:pStyle w:val="ListBullet"/>
        <w:spacing w:after="60"/>
        <w:ind w:left="360" w:hanging="230"/>
      </w:pPr>
      <w:r>
        <w:t>All external and internal connections carrying protected data are encrypted.</w:t>
      </w:r>
    </w:p>
    <w:p>
      <w:pPr>
        <w:pStyle w:val="ListBullet"/>
        <w:spacing w:after="60"/>
        <w:ind w:left="360" w:hanging="230"/>
      </w:pPr>
      <w:r>
        <w:t>Stored personal, financial, health, proposal and policy data are encrypted.</w:t>
      </w:r>
    </w:p>
    <w:p>
      <w:pPr>
        <w:pStyle w:val="ListBullet"/>
        <w:spacing w:after="60"/>
        <w:ind w:left="360" w:hanging="230"/>
      </w:pPr>
      <w:r>
        <w:t>Encryption keys are separated from the stored data.</w:t>
      </w:r>
    </w:p>
    <w:p>
      <w:pPr>
        <w:pStyle w:val="ListBullet"/>
        <w:spacing w:after="60"/>
        <w:ind w:left="360" w:hanging="230"/>
      </w:pPr>
      <w:r>
        <w:t>Each business service uses its own database access.</w:t>
      </w:r>
    </w:p>
    <w:p>
      <w:pPr>
        <w:pStyle w:val="ListBullet"/>
        <w:spacing w:after="60"/>
        <w:ind w:left="360" w:hanging="230"/>
      </w:pPr>
      <w:r>
        <w:t>Production data stores are private and cannot be reached from the internet.</w:t>
      </w:r>
    </w:p>
    <w:p>
      <w:pPr>
        <w:pStyle w:val="ListBullet"/>
        <w:spacing w:after="60"/>
        <w:ind w:left="360" w:hanging="230"/>
      </w:pPr>
      <w:r>
        <w:t>Personal and sensitive information must not appear in application logs.</w:t>
      </w:r>
    </w:p>
    <w:p>
      <w:pPr>
        <w:pStyle w:val="ListBullet"/>
        <w:spacing w:after="60"/>
        <w:ind w:left="360" w:hanging="230"/>
      </w:pPr>
      <w:r>
        <w:t>Partner request and response bodies are not written to ordinary logs.</w:t>
      </w:r>
    </w:p>
    <w:p>
      <w:pPr>
        <w:pStyle w:val="ListBullet"/>
        <w:spacing w:after="60"/>
        <w:ind w:left="360" w:hanging="230"/>
      </w:pPr>
      <w:r>
        <w:t>Stored partner payloads and documents are encrypted and access is recorded.</w:t>
      </w:r>
    </w:p>
    <w:p>
      <w:pPr>
        <w:pStyle w:val="ListBullet"/>
        <w:spacing w:after="60"/>
        <w:ind w:left="360" w:hanging="230"/>
      </w:pPr>
      <w:r>
        <w:t>Backups, logs and archives remain in India.</w:t>
      </w:r>
    </w:p>
    <w:p>
      <w:pPr>
        <w:pStyle w:val="ListBullet"/>
        <w:spacing w:after="60"/>
        <w:ind w:left="360" w:hanging="230"/>
      </w:pPr>
      <w:r>
        <w:t>Retention and disposal are controlled by the approved data schedule.</w:t>
      </w:r>
    </w:p>
    <w:p>
      <w:pPr>
        <w:pStyle w:val="ListBullet"/>
        <w:spacing w:after="60"/>
        <w:ind w:left="360" w:hanging="230"/>
      </w:pPr>
      <w:r>
        <w:t>Audit, consent and suitability evidence cannot be changed after it is recorded.</w:t>
      </w:r>
    </w:p>
    <w:p>
      <w:pPr>
        <w:pStyle w:val="ListBullet"/>
        <w:spacing w:after="60"/>
        <w:ind w:left="360" w:hanging="230"/>
      </w:pPr>
      <w:r>
        <w:t>Lower environments use generated or masked information and never receive live customer data.</w:t>
      </w:r>
    </w:p>
    <w:p>
      <w:pPr>
        <w:pStyle w:val="Heading1"/>
      </w:pPr>
      <w:r>
        <w:t>5. Customer-protection and compliance controls</w:t>
      </w:r>
    </w:p>
    <w:tbl>
      <w:tblPr>
        <w:tblStyle w:val="TableGrid"/>
        <w:tblW w:type="dxa" w:w="9360"/>
        <w:jc w:val="center"/>
        <w:tblLayout w:type="fixed"/>
        <w:tblLook w:firstColumn="1" w:firstRow="1" w:lastColumn="0" w:lastRow="0" w:noHBand="0" w:noVBand="1" w:val="04A0"/>
        <w:tblInd w:w="100" w:type="dxa"/>
      </w:tblPr>
      <w:tblGrid>
        <w:gridCol w:w="1726"/>
        <w:gridCol w:w="3816"/>
        <w:gridCol w:w="3818"/>
      </w:tblGrid>
      <w:tr>
        <w:trPr>
          <w:cantSplit/>
          <w:trHeight w:hRule="atLeast"/>
          <w:tblHeader w:val="true"/>
        </w:trPr>
        <w:tc>
          <w:tcPr>
            <w:tcW w:type="dxa" w:w="1726"/>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Control</w:t>
            </w:r>
          </w:p>
        </w:tc>
        <w:tc>
          <w:tcPr>
            <w:tcW w:type="dxa" w:w="3816"/>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Required outcome</w:t>
            </w:r>
          </w:p>
        </w:tc>
        <w:tc>
          <w:tcPr>
            <w:tcW w:type="dxa" w:w="381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Status</w:t>
            </w:r>
          </w:p>
        </w:tc>
      </w:tr>
      <w:tr>
        <w:trPr>
          <w:cantSplit/>
          <w:trHeight w:hRule="atLeast"/>
        </w:trPr>
        <w:tc>
          <w:tcPr>
            <w:tcW w:type="dxa" w:w="172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Suitability</w:t>
            </w:r>
          </w:p>
        </w:tc>
        <w:tc>
          <w:tcPr>
            <w:tcW w:type="dxa" w:w="381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 quotation without a valid suitability result</w:t>
            </w:r>
          </w:p>
        </w:tc>
        <w:tc>
          <w:tcPr>
            <w:tcW w:type="dxa" w:w="381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Product and Compliance approval pending</w:t>
            </w:r>
          </w:p>
        </w:tc>
      </w:tr>
      <w:tr>
        <w:trPr>
          <w:cantSplit/>
          <w:trHeight w:hRule="atLeast"/>
        </w:trPr>
        <w:tc>
          <w:tcPr>
            <w:tcW w:type="dxa" w:w="172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Consent</w:t>
            </w:r>
          </w:p>
        </w:tc>
        <w:tc>
          <w:tcPr>
            <w:tcW w:type="dxa" w:w="381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 proposal without valid customer consent</w:t>
            </w:r>
          </w:p>
        </w:tc>
        <w:tc>
          <w:tcPr>
            <w:tcW w:type="dxa" w:w="381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Product and Compliance approval pending</w:t>
            </w:r>
          </w:p>
        </w:tc>
      </w:tr>
      <w:tr>
        <w:trPr>
          <w:cantSplit/>
          <w:trHeight w:hRule="atLeast"/>
        </w:trPr>
        <w:tc>
          <w:tcPr>
            <w:tcW w:type="dxa" w:w="172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Sales attribution</w:t>
            </w:r>
          </w:p>
        </w:tc>
        <w:tc>
          <w:tcPr>
            <w:tcW w:type="dxa" w:w="381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Staff and distributor identity are inserted by the server</w:t>
            </w:r>
          </w:p>
        </w:tc>
        <w:tc>
          <w:tcPr>
            <w:tcW w:type="dxa" w:w="381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Security review pending</w:t>
            </w:r>
          </w:p>
        </w:tc>
      </w:tr>
      <w:tr>
        <w:trPr>
          <w:cantSplit/>
          <w:trHeight w:hRule="atLeast"/>
        </w:trPr>
        <w:tc>
          <w:tcPr>
            <w:tcW w:type="dxa" w:w="172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separation</w:t>
            </w:r>
          </w:p>
        </w:tc>
        <w:tc>
          <w:tcPr>
            <w:tcW w:type="dxa" w:w="381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Relationship Manager cannot enter or authorize customer payment</w:t>
            </w:r>
          </w:p>
        </w:tc>
        <w:tc>
          <w:tcPr>
            <w:tcW w:type="dxa" w:w="381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Security and Compliance review pending</w:t>
            </w:r>
          </w:p>
        </w:tc>
      </w:tr>
      <w:tr>
        <w:trPr>
          <w:cantSplit/>
          <w:trHeight w:hRule="atLeast"/>
        </w:trPr>
        <w:tc>
          <w:tcPr>
            <w:tcW w:type="dxa" w:w="172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correctness</w:t>
            </w:r>
          </w:p>
        </w:tc>
        <w:tc>
          <w:tcPr>
            <w:tcW w:type="dxa" w:w="381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Charged amount must match the selected premium</w:t>
            </w:r>
          </w:p>
        </w:tc>
        <w:tc>
          <w:tcPr>
            <w:tcW w:type="dxa" w:w="381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Finance and Quality review pending</w:t>
            </w:r>
          </w:p>
        </w:tc>
      </w:tr>
      <w:tr>
        <w:trPr>
          <w:cantSplit/>
          <w:trHeight w:hRule="atLeast"/>
        </w:trPr>
        <w:tc>
          <w:tcPr>
            <w:tcW w:type="dxa" w:w="172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Policy sold status</w:t>
            </w:r>
          </w:p>
        </w:tc>
        <w:tc>
          <w:tcPr>
            <w:tcW w:type="dxa" w:w="381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Requires issuance, reconciliation and complete audit evidence</w:t>
            </w:r>
          </w:p>
        </w:tc>
        <w:tc>
          <w:tcPr>
            <w:tcW w:type="dxa" w:w="381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Product and Finance approval pending</w:t>
            </w:r>
          </w:p>
        </w:tc>
      </w:tr>
      <w:tr>
        <w:trPr>
          <w:cantSplit/>
          <w:trHeight w:hRule="atLeast"/>
        </w:trPr>
        <w:tc>
          <w:tcPr>
            <w:tcW w:type="dxa" w:w="172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Data location</w:t>
            </w:r>
          </w:p>
        </w:tc>
        <w:tc>
          <w:tcPr>
            <w:tcW w:type="dxa" w:w="381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Protected data, backups, logs and archives remain in India</w:t>
            </w:r>
          </w:p>
        </w:tc>
        <w:tc>
          <w:tcPr>
            <w:tcW w:type="dxa" w:w="381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Compliance confirmation pending</w:t>
            </w:r>
          </w:p>
        </w:tc>
      </w:tr>
      <w:tr>
        <w:trPr>
          <w:cantSplit/>
          <w:trHeight w:hRule="atLeast"/>
        </w:trPr>
        <w:tc>
          <w:tcPr>
            <w:tcW w:type="dxa" w:w="172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Evidence retention</w:t>
            </w:r>
          </w:p>
        </w:tc>
        <w:tc>
          <w:tcPr>
            <w:tcW w:type="dxa" w:w="381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Required evidence is retained and protected against alteration</w:t>
            </w:r>
          </w:p>
        </w:tc>
        <w:tc>
          <w:tcPr>
            <w:tcW w:type="dxa" w:w="381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Designed; retention period approval pending</w:t>
            </w:r>
          </w:p>
        </w:tc>
      </w:tr>
    </w:tbl>
    <w:p>
      <w:pPr>
        <w:spacing w:after="0"/>
      </w:pPr>
    </w:p>
    <w:p>
      <w:pPr>
        <w:pStyle w:val="Heading1"/>
      </w:pPr>
      <w:r>
        <w:t>6. Main security threats and planned protections</w:t>
      </w:r>
    </w:p>
    <w:tbl>
      <w:tblPr>
        <w:tblStyle w:val="TableGrid"/>
        <w:tblW w:type="dxa" w:w="9360"/>
        <w:jc w:val="center"/>
        <w:tblLayout w:type="fixed"/>
        <w:tblLook w:firstColumn="1" w:firstRow="1" w:lastColumn="0" w:lastRow="0" w:noHBand="0" w:noVBand="1" w:val="04A0"/>
        <w:tblInd w:w="100" w:type="dxa"/>
      </w:tblPr>
      <w:tblGrid>
        <w:gridCol w:w="2552"/>
        <w:gridCol w:w="2552"/>
        <w:gridCol w:w="2552"/>
        <w:gridCol w:w="1704"/>
      </w:tblGrid>
      <w:tr>
        <w:trPr>
          <w:cantSplit/>
          <w:trHeight w:hRule="atLeast"/>
          <w:tblHeader w:val="true"/>
        </w:trPr>
        <w:tc>
          <w:tcPr>
            <w:tcW w:type="dxa" w:w="255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Threat</w:t>
            </w:r>
          </w:p>
        </w:tc>
        <w:tc>
          <w:tcPr>
            <w:tcW w:type="dxa" w:w="255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Possible impact</w:t>
            </w:r>
          </w:p>
        </w:tc>
        <w:tc>
          <w:tcPr>
            <w:tcW w:type="dxa" w:w="255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Planned protection</w:t>
            </w:r>
          </w:p>
        </w:tc>
        <w:tc>
          <w:tcPr>
            <w:tcW w:type="dxa" w:w="1704"/>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Remaining action</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Stolen staff session</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Unauthorized customer or policy access</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Server-held session, short lifetime, device binding and revocation</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Security review and test</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Changed role or branch information from a device</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Unauthorized sale or data access</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Permissions resolved by the server</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Negative access tests</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Direct access to a business service</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Bypass of entry checks</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Private services, service identity and repeated access checks</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Network and access test</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 search abuse</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Large-scale exposure of customer information</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Rate limits, purpose checks, narrow results and audit</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Product and Security review</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credential theft</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Fraudulent partner calls attributed to the bank</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Secure storage, rotation, fixed outbound route and emergency removal</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Rotation exercise</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response manipulation</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Incorrect quote, proposal or policy state</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Encrypted connection, validation and translation at the boundary</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Contract and tampering tests</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Personal information in logs</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Data exposure</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Structured logging, field masking and automated log scan</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Automated proof</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Cross-service data access</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Unauthorized changes and unclear ownership</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Separate service identities and data stores</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Access-policy test</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Forged payment result</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False payment or policy issuance</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Authenticated callback, transaction matching and reconciliation</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security test</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on staff device</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Customer-protection breach</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 staff payment route; customer-only link and recorded channel</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End-to-end negative test</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Replayed request</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Duplicate proposal or payment</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Request key, stored result and duplicate-content check</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Duplicate-request tests</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Audit deletion or alteration</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Loss of evidence</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Insert-only access, locked archive and deletion-refusal test</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Data and Security approval</w:t>
            </w:r>
          </w:p>
        </w:tc>
      </w:tr>
      <w:tr>
        <w:trPr>
          <w:cantSplit/>
          <w:trHeight w:hRule="atLeast"/>
        </w:trPr>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One partner overload</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Wider platform outage</w:t>
            </w:r>
          </w:p>
        </w:tc>
        <w:tc>
          <w:tcPr>
            <w:tcW w:type="dxa" w:w="255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Separate partner connection limits and isolation</w:t>
            </w:r>
          </w:p>
        </w:tc>
        <w:tc>
          <w:tcPr>
            <w:tcW w:type="dxa" w:w="170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Load and failure test</w:t>
            </w:r>
          </w:p>
        </w:tc>
      </w:tr>
      <w:tr>
        <w:trPr>
          <w:cantSplit/>
          <w:trHeight w:hRule="atLeast"/>
        </w:trPr>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Harmful software dependency</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compromise</w:t>
            </w:r>
          </w:p>
        </w:tc>
        <w:tc>
          <w:tcPr>
            <w:tcW w:type="dxa" w:w="255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Dependency, source and application security scanning</w:t>
            </w:r>
          </w:p>
        </w:tc>
        <w:tc>
          <w:tcPr>
            <w:tcW w:type="dxa" w:w="170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Delivery pipeline evidence</w:t>
            </w:r>
          </w:p>
        </w:tc>
      </w:tr>
    </w:tbl>
    <w:p>
      <w:pPr>
        <w:spacing w:after="0"/>
      </w:pPr>
    </w:p>
    <w:p>
      <w:pPr>
        <w:pStyle w:val="Heading1"/>
      </w:pPr>
      <w:r>
        <w:t>7. Open security risks</w:t>
      </w:r>
    </w:p>
    <w:p>
      <w:pPr>
        <w:keepNext/>
        <w:jc w:val="center"/>
      </w:pPr>
      <w:r>
        <w:drawing>
          <wp:inline xmlns:a="http://schemas.openxmlformats.org/drawingml/2006/main" xmlns:pic="http://schemas.openxmlformats.org/drawingml/2006/picture">
            <wp:extent cx="6126480" cy="3446145"/>
            <wp:docPr id="2" name="Picture 2" title="Initial architecture risk heatmap" descr="Initial architecture risk heatmap. Diagram prepared for stakeholder review."/>
            <wp:cNvGraphicFramePr>
              <a:graphicFrameLocks noChangeAspect="1"/>
            </wp:cNvGraphicFramePr>
            <a:graphic>
              <a:graphicData uri="http://schemas.openxmlformats.org/drawingml/2006/picture">
                <pic:pic>
                  <pic:nvPicPr>
                    <pic:cNvPr id="0" name="architecture_risk_heatmap_v0.1.png"/>
                    <pic:cNvPicPr/>
                  </pic:nvPicPr>
                  <pic:blipFill>
                    <a:blip r:embed="rId12"/>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Initial architecture risk heatmap</w:t>
      </w:r>
    </w:p>
    <w:p>
      <w:r>
        <w:br w:type="page"/>
      </w:r>
    </w:p>
    <w:tbl>
      <w:tblPr>
        <w:tblStyle w:val="TableGrid"/>
        <w:tblW w:type="dxa" w:w="9360"/>
        <w:jc w:val="center"/>
        <w:tblLayout w:type="fixed"/>
        <w:tblLook w:firstColumn="1" w:firstRow="1" w:lastColumn="0" w:lastRow="0" w:noHBand="0" w:noVBand="1" w:val="04A0"/>
        <w:tblInd w:w="100" w:type="dxa"/>
      </w:tblPr>
      <w:tblGrid>
        <w:gridCol w:w="663"/>
        <w:gridCol w:w="3095"/>
        <w:gridCol w:w="3095"/>
        <w:gridCol w:w="2507"/>
      </w:tblGrid>
      <w:tr>
        <w:trPr>
          <w:cantSplit/>
          <w:trHeight w:hRule="atLeast"/>
          <w:tblHeader w:val="true"/>
        </w:trPr>
        <w:tc>
          <w:tcPr>
            <w:tcW w:type="dxa" w:w="66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ID</w:t>
            </w:r>
          </w:p>
        </w:tc>
        <w:tc>
          <w:tcPr>
            <w:tcW w:type="dxa" w:w="309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Open risk</w:t>
            </w:r>
          </w:p>
        </w:tc>
        <w:tc>
          <w:tcPr>
            <w:tcW w:type="dxa" w:w="309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Required decision or evidence</w:t>
            </w:r>
          </w:p>
        </w:tc>
        <w:tc>
          <w:tcPr>
            <w:tcW w:type="dxa" w:w="250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Owner</w:t>
            </w:r>
          </w:p>
        </w:tc>
      </w:tr>
      <w:tr>
        <w:trPr>
          <w:cantSplit/>
          <w:trHeight w:hRule="atLeast"/>
        </w:trPr>
        <w:tc>
          <w:tcPr>
            <w:tcW w:type="dxa" w:w="6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SEC-01</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 identity for self-service is not selected</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Approve identity and recovery approach before self-service</w:t>
            </w:r>
          </w:p>
        </w:tc>
        <w:tc>
          <w:tcPr>
            <w:tcW w:type="dxa" w:w="250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Product, Security and Architecture</w:t>
            </w:r>
          </w:p>
        </w:tc>
      </w:tr>
      <w:tr>
        <w:trPr>
          <w:cantSplit/>
          <w:trHeight w:hRule="atLeast"/>
        </w:trPr>
        <w:tc>
          <w:tcPr>
            <w:tcW w:type="dxa" w:w="6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SEC-02</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Consent and suitability rule sets are not approved</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Obtain Product and Compliance decisions</w:t>
            </w:r>
          </w:p>
        </w:tc>
        <w:tc>
          <w:tcPr>
            <w:tcW w:type="dxa" w:w="250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Product and Compliance</w:t>
            </w:r>
          </w:p>
        </w:tc>
      </w:tr>
      <w:tr>
        <w:trPr>
          <w:cantSplit/>
          <w:trHeight w:hRule="atLeast"/>
        </w:trPr>
        <w:tc>
          <w:tcPr>
            <w:tcW w:type="dxa" w:w="6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SEC-03</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credential rotation is not proven</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Complete a rotation and emergency-removal exercise</w:t>
            </w:r>
          </w:p>
        </w:tc>
        <w:tc>
          <w:tcPr>
            <w:tcW w:type="dxa" w:w="250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Security and Operations</w:t>
            </w:r>
          </w:p>
        </w:tc>
      </w:tr>
      <w:tr>
        <w:trPr>
          <w:cantSplit/>
          <w:trHeight w:hRule="atLeast"/>
        </w:trPr>
        <w:tc>
          <w:tcPr>
            <w:tcW w:type="dxa" w:w="6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SEC-04</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Prevention of personal data in logs is not proven</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Run an automated full-journey log scan</w:t>
            </w:r>
          </w:p>
        </w:tc>
        <w:tc>
          <w:tcPr>
            <w:tcW w:type="dxa" w:w="250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Engineering, Security and Quality</w:t>
            </w:r>
          </w:p>
        </w:tc>
      </w:tr>
      <w:tr>
        <w:trPr>
          <w:cantSplit/>
          <w:trHeight w:hRule="atLeast"/>
        </w:trPr>
        <w:tc>
          <w:tcPr>
            <w:tcW w:type="dxa" w:w="6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SEC-05</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callback protection is not proven</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Execute forged, replayed and delayed callback tests</w:t>
            </w:r>
          </w:p>
        </w:tc>
        <w:tc>
          <w:tcPr>
            <w:tcW w:type="dxa" w:w="250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Security, Engineering and Quality</w:t>
            </w:r>
          </w:p>
        </w:tc>
      </w:tr>
      <w:tr>
        <w:trPr>
          <w:cantSplit/>
          <w:trHeight w:hRule="atLeast"/>
        </w:trPr>
        <w:tc>
          <w:tcPr>
            <w:tcW w:type="dxa" w:w="6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SEC-06</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Audit immutability is not proven</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Attempt update and deletion and retain the evidence</w:t>
            </w:r>
          </w:p>
        </w:tc>
        <w:tc>
          <w:tcPr>
            <w:tcW w:type="dxa" w:w="250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Data, Security and Quality</w:t>
            </w:r>
          </w:p>
        </w:tc>
      </w:tr>
      <w:tr>
        <w:trPr>
          <w:cantSplit/>
          <w:trHeight w:hRule="atLeast"/>
        </w:trPr>
        <w:tc>
          <w:tcPr>
            <w:tcW w:type="dxa" w:w="6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SEC-07</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Final retention periods are not approved</w:t>
            </w:r>
          </w:p>
        </w:tc>
        <w:tc>
          <w:tcPr>
            <w:tcW w:type="dxa" w:w="30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Approve retention and disposal schedule</w:t>
            </w:r>
          </w:p>
        </w:tc>
        <w:tc>
          <w:tcPr>
            <w:tcW w:type="dxa" w:w="250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Compliance and Data</w:t>
            </w:r>
          </w:p>
        </w:tc>
      </w:tr>
      <w:tr>
        <w:trPr>
          <w:cantSplit/>
          <w:trHeight w:hRule="atLeast"/>
        </w:trPr>
        <w:tc>
          <w:tcPr>
            <w:tcW w:type="dxa" w:w="6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SEC-08</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security and service limits are not confirmed</w:t>
            </w:r>
          </w:p>
        </w:tc>
        <w:tc>
          <w:tcPr>
            <w:tcW w:type="dxa" w:w="309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Complete partner assessment and operating agreement</w:t>
            </w:r>
          </w:p>
        </w:tc>
        <w:tc>
          <w:tcPr>
            <w:tcW w:type="dxa" w:w="250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Security, Operations and Product</w:t>
            </w:r>
          </w:p>
        </w:tc>
      </w:tr>
    </w:tbl>
    <w:p>
      <w:pPr>
        <w:spacing w:after="0"/>
      </w:pPr>
    </w:p>
    <w:p>
      <w:pPr>
        <w:pStyle w:val="Heading1"/>
      </w:pPr>
      <w:r>
        <w:t>8. Security review outcome</w:t>
      </w:r>
    </w:p>
    <w:tbl>
      <w:tblPr>
        <w:tblStyle w:val="TableGrid"/>
        <w:tblW w:type="dxa" w:w="9360"/>
        <w:jc w:val="center"/>
        <w:tblLayout w:type="fixed"/>
        <w:tblLook w:firstColumn="1" w:firstRow="1" w:lastColumn="0" w:lastRow="0" w:noHBand="0" w:noVBand="1" w:val="04A0"/>
        <w:tblInd w:w="100" w:type="dxa"/>
      </w:tblPr>
      <w:tblGrid>
        <w:gridCol w:w="7567"/>
        <w:gridCol w:w="1793"/>
      </w:tblGrid>
      <w:tr>
        <w:trPr>
          <w:cantSplit/>
          <w:trHeight w:hRule="atLeast"/>
          <w:tblHeader w:val="true"/>
        </w:trPr>
        <w:tc>
          <w:tcPr>
            <w:tcW w:type="dxa" w:w="756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Item</w:t>
            </w:r>
          </w:p>
        </w:tc>
        <w:tc>
          <w:tcPr>
            <w:tcW w:type="dxa" w:w="179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Outcome</w:t>
            </w:r>
          </w:p>
        </w:tc>
      </w:tr>
      <w:tr>
        <w:trPr>
          <w:cantSplit/>
          <w:trHeight w:hRule="atLeast"/>
        </w:trPr>
        <w:tc>
          <w:tcPr>
            <w:tcW w:type="dxa" w:w="756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Architecture security input</w:t>
            </w:r>
          </w:p>
        </w:tc>
        <w:tc>
          <w:tcPr>
            <w:tcW w:type="dxa" w:w="179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Prepared</w:t>
            </w:r>
          </w:p>
        </w:tc>
      </w:tr>
      <w:tr>
        <w:trPr>
          <w:cantSplit/>
          <w:trHeight w:hRule="atLeast"/>
        </w:trPr>
        <w:tc>
          <w:tcPr>
            <w:tcW w:type="dxa" w:w="756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Security Head review</w:t>
            </w:r>
          </w:p>
        </w:tc>
        <w:tc>
          <w:tcPr>
            <w:tcW w:type="dxa" w:w="1793"/>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756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Compliance and Risk review</w:t>
            </w:r>
          </w:p>
        </w:tc>
        <w:tc>
          <w:tcPr>
            <w:tcW w:type="dxa" w:w="1793"/>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756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Human security sign-off</w:t>
            </w:r>
          </w:p>
        </w:tc>
        <w:tc>
          <w:tcPr>
            <w:tcW w:type="dxa" w:w="1793"/>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756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Permission to treat design as approved</w:t>
            </w:r>
          </w:p>
        </w:tc>
        <w:tc>
          <w:tcPr>
            <w:tcW w:type="dxa" w:w="179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w:t>
            </w:r>
          </w:p>
        </w:tc>
      </w:tr>
    </w:tbl>
    <w:p>
      <w:pPr>
        <w:spacing w:after="0"/>
      </w:pPr>
    </w:p>
    <w:p>
      <w:r>
        <w:br w:type="page"/>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0" w:color="B33A3A"/>
              <w:left w:val="single" w:sz="10" w:color="B33A3A"/>
              <w:bottom w:val="single" w:sz="10" w:color="B33A3A"/>
              <w:right w:val="single" w:sz="10" w:color="B33A3A"/>
              <w:insideH w:val="single" w:sz="10" w:color="B33A3A"/>
              <w:insideV w:val="single" w:sz="10" w:color="B33A3A"/>
            </w:tcBorders>
            <w:tcMar>
              <w:top w:w="80" w:type="dxa"/>
              <w:start w:w="100" w:type="dxa"/>
              <w:bottom w:w="80" w:type="dxa"/>
              <w:end w:w="100" w:type="dxa"/>
            </w:tcMar>
            <w:shd w:fill="FCE4E4"/>
          </w:tcPr>
          <w:p>
            <w:r>
              <w:rPr>
                <w:b/>
                <w:color w:val="B33A3A"/>
                <w:sz w:val="19"/>
              </w:rPr>
              <w:t>Approval control: review comments and recommendations do not constitute approval. The decision remains Pending until the named human stakeholder records a decision, date and signature.</w:t>
            </w:r>
          </w:p>
        </w:tc>
      </w:tr>
    </w:tbl>
    <w:p/>
    <w:p>
      <w:pPr>
        <w:pStyle w:val="Heading1"/>
      </w:pPr>
      <w:r>
        <w:t>9. Review and sign-off</w:t>
      </w:r>
    </w:p>
    <w:tbl>
      <w:tblPr>
        <w:tblStyle w:val="TableGrid"/>
        <w:tblW w:type="dxa" w:w="9360"/>
        <w:jc w:val="center"/>
        <w:tblLayout w:type="fixed"/>
        <w:tblLook w:firstColumn="1" w:firstRow="1" w:lastColumn="0" w:lastRow="0" w:noHBand="0" w:noVBand="1" w:val="04A0"/>
        <w:tblInd w:w="100" w:type="dxa"/>
      </w:tblPr>
      <w:tblGrid>
        <w:gridCol w:w="2398"/>
        <w:gridCol w:w="3248"/>
        <w:gridCol w:w="928"/>
        <w:gridCol w:w="928"/>
        <w:gridCol w:w="928"/>
        <w:gridCol w:w="930"/>
      </w:tblGrid>
      <w:tr>
        <w:trPr>
          <w:cantSplit/>
          <w:trHeight w:hRule="atLeast"/>
          <w:tblHeader w:val="true"/>
        </w:trPr>
        <w:tc>
          <w:tcPr>
            <w:tcW w:type="dxa" w:w="239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Stakeholder</w:t>
            </w:r>
          </w:p>
        </w:tc>
        <w:tc>
          <w:tcPr>
            <w:tcW w:type="dxa" w:w="324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Review responsibility</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Decision</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Name</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Date</w:t>
            </w:r>
          </w:p>
        </w:tc>
        <w:tc>
          <w:tcPr>
            <w:tcW w:type="dxa" w:w="93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Comments</w:t>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Head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outcome, risks and required controls</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Compliance and Risk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Regulatory permissibility and evidence</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Principal Architect</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Structural response to security requirements</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Product Owner</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Legitimate purpose and customer behaviour</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Data and Database Architect</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Data protection, access and recovery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Engineering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Control implementation feasibility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Reliability and Operations Head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Runtime protection, monitoring and recovery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Quality Lead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test coverage and evidence</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bl>
    <w:p>
      <w:pPr>
        <w:spacing w:after="0"/>
      </w:pPr>
    </w:p>
    <w:p>
      <w:pPr>
        <w:pStyle w:val="Heading1"/>
      </w:pPr>
      <w:r>
        <w:t>10. Version history</w:t>
      </w:r>
    </w:p>
    <w:tbl>
      <w:tblPr>
        <w:tblStyle w:val="TableGrid"/>
        <w:tblW w:type="dxa" w:w="9360"/>
        <w:jc w:val="center"/>
        <w:tblLayout w:type="fixed"/>
        <w:tblLook w:firstColumn="1" w:firstRow="1" w:lastColumn="0" w:lastRow="0" w:noHBand="0" w:noVBand="1" w:val="04A0"/>
        <w:tblInd w:w="100" w:type="dxa"/>
      </w:tblPr>
      <w:tblGrid>
        <w:gridCol w:w="1153"/>
        <w:gridCol w:w="1795"/>
        <w:gridCol w:w="4615"/>
        <w:gridCol w:w="1797"/>
      </w:tblGrid>
      <w:tr>
        <w:trPr>
          <w:cantSplit/>
          <w:trHeight w:hRule="atLeast"/>
          <w:tblHeader w:val="true"/>
        </w:trPr>
        <w:tc>
          <w:tcPr>
            <w:tcW w:type="dxa" w:w="115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Version</w:t>
            </w:r>
          </w:p>
        </w:tc>
        <w:tc>
          <w:tcPr>
            <w:tcW w:type="dxa" w:w="179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Date</w:t>
            </w:r>
          </w:p>
        </w:tc>
        <w:tc>
          <w:tcPr>
            <w:tcW w:type="dxa" w:w="461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Change</w:t>
            </w:r>
          </w:p>
        </w:tc>
        <w:tc>
          <w:tcPr>
            <w:tcW w:type="dxa" w:w="179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Approval state</w:t>
            </w:r>
          </w:p>
        </w:tc>
      </w:tr>
      <w:tr>
        <w:trPr>
          <w:cantSplit/>
          <w:trHeight w:hRule="atLeast"/>
        </w:trPr>
        <w:tc>
          <w:tcPr>
            <w:tcW w:type="dxa" w:w="115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0.1</w:t>
            </w:r>
          </w:p>
        </w:tc>
        <w:tc>
          <w:tcPr>
            <w:tcW w:type="dxa" w:w="179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17 August 2026</w:t>
            </w:r>
          </w:p>
        </w:tc>
        <w:tc>
          <w:tcPr>
            <w:tcW w:type="dxa" w:w="461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Initial pre-approval security review</w:t>
            </w:r>
          </w:p>
        </w:tc>
        <w:tc>
          <w:tcPr>
            <w:tcW w:type="dxa" w:w="179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Not approved</w:t>
            </w:r>
          </w:p>
        </w:tc>
      </w:tr>
    </w:tbl>
    <w:p>
      <w:pPr>
        <w:spacing w:after="0"/>
      </w:pPr>
    </w:p>
    <w:sectPr w:rsidR="00FC693F" w:rsidRPr="0006063C" w:rsidSect="00034616">
      <w:headerReference w:type="default" r:id="rId9"/>
      <w:footerReference w:type="default" r:id="rId10"/>
      <w:pgSz w:w="12240" w:h="15840"/>
      <w:pgMar w:top="1008"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B33A3A"/>
        <w:sz w:val="16"/>
      </w:rPr>
      <w:t xml:space="preserve">DRAFT FOR REVIEW - VERSION 0.1 - NOT APPROVED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fill="FFFFFF"/>
      <w:pBdr>
        <w:bottom w:val="single" w:sz="14" w:color="17365D"/>
      </w:pBdr>
    </w:pPr>
    <w:r>
      <w:rPr>
        <w:rFonts w:ascii="Calibri" w:hAnsi="Calibri"/>
        <w:b/>
        <w:color w:val="5B6573"/>
        <w:sz w:val="16"/>
      </w:rPr>
      <w:t>AU BANK INSURANCE PLATFORM  |  ARCHITECTURE PRE-APPROVAL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 Bank End-to-End Insurance Platform — Security Design Review</dc:title>
  <dc:subject>Architecture pre-approval document</dc:subject>
  <dc:creator>Mahesh, Principal Insurance Platform Architect</dc:creator>
  <cp:keywords>architecture, insurance platform, pre-approval, version 0.1</cp:keywords>
  <dc:description>Draft for stakeholder review. Approval remains pending.</dc:description>
  <cp:lastModifiedBy/>
  <cp:revision>1</cp:revision>
  <dcterms:created xsi:type="dcterms:W3CDTF">2013-12-23T23:15:00Z</dcterms:created>
  <dcterms:modified xsi:type="dcterms:W3CDTF">2013-12-23T23:15:00Z</dcterms:modified>
  <cp:category/>
</cp:coreProperties>
</file>