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3A22AB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tcPr>
            <w:vAlign w:val="center"/>
          </w:tcPr>
          <w:p w14:paraId="26A50166">
            <w:pPr>
              <w:spacing w:after="0" w:line="240" w:lineRule="auto"/>
            </w:pPr>
            <w:r>
              <w:rPr>
                <w:rFonts w:hint="default"/>
                <w:b w:val="0"/>
                <w:sz w:val="20"/>
                <w:lang w:val="en-US"/>
              </w:rPr>
              <w:t>01 October</w:t>
            </w:r>
            <w:r>
              <w:rPr>
                <w:b w:val="0"/>
                <w:sz w:val="20"/>
              </w:rPr>
              <w:t xml:space="preserve"> 2026</w:t>
            </w:r>
          </w:p>
        </w:tc>
      </w:tr>
      <w:tr w14:paraId="4C69BF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tcPr>
            <w:vAlign w:val="center"/>
          </w:tcPr>
          <w:p w14:paraId="3E78626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SWTID-2026-2372</w:t>
            </w:r>
          </w:p>
        </w:tc>
      </w:tr>
      <w:tr w14:paraId="2870C1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bookmarkStart w:id="0" w:name="_GoBack" w:colFirst="1" w:colLast="1"/>
            <w:r>
              <w:rPr>
                <w:rtl w:val="0"/>
              </w:rPr>
              <w:t>Project Name</w:t>
            </w:r>
          </w:p>
        </w:tc>
        <w:tc>
          <w:tcPr>
            <w:shd w:val="clear"/>
            <w:vAlign w:val="center"/>
          </w:tcPr>
          <w:p w14:paraId="13882B16">
            <w:pPr>
              <w:spacing w:after="0" w:line="240" w:lineRule="auto"/>
              <w:rPr>
                <w:rFonts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sz w:val="20"/>
              </w:rPr>
              <w:t>Streamlining IT Procurement: Automating Standard Laptop Orders with Flow Designer</w:t>
            </w:r>
          </w:p>
        </w:tc>
      </w:tr>
      <w:bookmarkEnd w:id="0"/>
      <w:tr w14:paraId="3F40EA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7ED631E9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0">
      <w:pPr>
        <w:rPr>
          <w:color w:val="0563C1"/>
          <w:u w:val="single"/>
        </w:rPr>
      </w:pPr>
      <w:r>
        <w:rPr>
          <w:sz w:val="24"/>
          <w:szCs w:val="24"/>
          <w:rtl w:val="0"/>
        </w:rPr>
        <w:t xml:space="preserve">Reference: </w:t>
      </w:r>
      <w:r>
        <w:fldChar w:fldCharType="begin"/>
      </w:r>
      <w:r>
        <w:instrText xml:space="preserve"> HYPERLINK "https://www.mural.co/templates/brainstorm-and-idea-prioritization" \h </w:instrText>
      </w:r>
      <w:r>
        <w:fldChar w:fldCharType="separate"/>
      </w:r>
      <w:r>
        <w:rPr>
          <w:color w:val="1155CC"/>
          <w:u w:val="single"/>
          <w:rtl w:val="0"/>
        </w:rPr>
        <w:t>https://www.mural.co/templates/brainstorm-and-idea-prioritization</w:t>
      </w:r>
      <w:r>
        <w:rPr>
          <w:color w:val="1155CC"/>
          <w:u w:val="single"/>
          <w:rtl w:val="0"/>
        </w:rPr>
        <w:fldChar w:fldCharType="end"/>
      </w:r>
    </w:p>
    <w:p w14:paraId="00000011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4079F"/>
    <w:p w14:paraId="02E5017D">
      <w:r>
        <w:rPr>
          <w:b/>
          <w:sz w:val="22"/>
        </w:rPr>
        <w:t>Step-1: Team Gathering, Collaboration and Select the Problem Statement</w:t>
      </w:r>
    </w:p>
    <w:p w14:paraId="70F35217">
      <w:pPr>
        <w:ind w:left="360"/>
      </w:pPr>
      <w:r>
        <w:rPr>
          <w:sz w:val="20"/>
        </w:rPr>
        <w:t>• Discuss the risk of AI-generated and cloned voices being used for impersonation, fraud and misinformation.</w:t>
      </w:r>
    </w:p>
    <w:p w14:paraId="57D1A05D">
      <w:pPr>
        <w:ind w:left="360"/>
      </w:pPr>
      <w:r>
        <w:rPr>
          <w:sz w:val="20"/>
        </w:rPr>
        <w:t>• Selected problem: Users need a reliable way to identify whether a voice is genuine or AI-generated before trusting the caller or taking an important action.</w:t>
      </w:r>
    </w:p>
    <w:p w14:paraId="41DEB200">
      <w:r>
        <w:rPr>
          <w:b/>
          <w:sz w:val="22"/>
        </w:rPr>
        <w:t>Step-2: Brainstorm, Idea Listing and Grouping</w:t>
      </w:r>
    </w:p>
    <w:p w14:paraId="3AE4ED19">
      <w:pPr>
        <w:ind w:left="360"/>
      </w:pPr>
      <w:r>
        <w:rPr>
          <w:sz w:val="20"/>
        </w:rPr>
        <w:t>• Real-time AI voice authenticity detection during calls.</w:t>
      </w:r>
    </w:p>
    <w:p w14:paraId="6A6F7019">
      <w:pPr>
        <w:ind w:left="360"/>
      </w:pPr>
      <w:r>
        <w:rPr>
          <w:sz w:val="20"/>
        </w:rPr>
        <w:t>• Deep-learning model using spectral and temporal audio features.</w:t>
      </w:r>
    </w:p>
    <w:p w14:paraId="5446A45B">
      <w:pPr>
        <w:ind w:left="360"/>
      </w:pPr>
      <w:r>
        <w:rPr>
          <w:sz w:val="20"/>
        </w:rPr>
        <w:t>• Use the AASIST model for audio anti-spoofing.</w:t>
      </w:r>
    </w:p>
    <w:p w14:paraId="68A6B00A">
      <w:pPr>
        <w:ind w:left="360"/>
      </w:pPr>
      <w:r>
        <w:rPr>
          <w:sz w:val="20"/>
        </w:rPr>
        <w:t>• Use the ASVspoof 2021 dataset containing genuine and spoofed speech.</w:t>
      </w:r>
    </w:p>
    <w:p w14:paraId="7ECD6E24">
      <w:pPr>
        <w:ind w:left="360"/>
      </w:pPr>
      <w:r>
        <w:rPr>
          <w:sz w:val="20"/>
        </w:rPr>
        <w:t>• Provide an early warning when a suspicious AI-generated voice is detected.</w:t>
      </w:r>
    </w:p>
    <w:p w14:paraId="4A9E0DE8">
      <w:pPr>
        <w:ind w:left="360"/>
      </w:pPr>
      <w:r>
        <w:rPr>
          <w:sz w:val="20"/>
        </w:rPr>
        <w:t>• Risk indicator for banking, customer support and government-service calls.</w:t>
      </w:r>
    </w:p>
    <w:p w14:paraId="612BA3E1">
      <w:pPr>
        <w:ind w:left="360"/>
      </w:pPr>
      <w:r>
        <w:rPr>
          <w:sz w:val="20"/>
        </w:rPr>
        <w:t>• Simple dashboard showing genuine / suspicious / high-risk status.</w:t>
      </w:r>
    </w:p>
    <w:p w14:paraId="0135CFC0">
      <w:pPr>
        <w:ind w:left="360"/>
      </w:pPr>
      <w:r>
        <w:rPr>
          <w:sz w:val="20"/>
        </w:rPr>
        <w:t>• Privacy-focused processing without unnecessary storage of private voice recordings.</w:t>
      </w:r>
    </w:p>
    <w:p w14:paraId="24F61A82">
      <w:pPr>
        <w:ind w:left="360"/>
      </w:pPr>
      <w:r>
        <w:rPr>
          <w:sz w:val="20"/>
        </w:rPr>
        <w:t>• Continuous improvement for new voice-cloning attacks.</w:t>
      </w:r>
    </w:p>
    <w:p w14:paraId="6B7FA63C">
      <w:r>
        <w:rPr>
          <w:b/>
          <w:sz w:val="22"/>
        </w:rPr>
        <w:t>Step-3: Idea Prioritization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009"/>
      </w:tblGrid>
      <w:tr w14:paraId="0B0AB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0F00F262">
            <w:pPr>
              <w:spacing w:after="0" w:line="240" w:lineRule="auto"/>
            </w:pPr>
            <w:r>
              <w:rPr>
                <w:b/>
                <w:sz w:val="20"/>
              </w:rPr>
              <w:t>Idea</w:t>
            </w:r>
          </w:p>
        </w:tc>
        <w:tc>
          <w:tcPr>
            <w:tcW w:w="3009" w:type="dxa"/>
            <w:vAlign w:val="center"/>
          </w:tcPr>
          <w:p w14:paraId="579BDADF">
            <w:pPr>
              <w:spacing w:after="0" w:line="240" w:lineRule="auto"/>
            </w:pPr>
            <w:r>
              <w:rPr>
                <w:b/>
                <w:sz w:val="20"/>
              </w:rPr>
              <w:t>Priority</w:t>
            </w:r>
          </w:p>
        </w:tc>
        <w:tc>
          <w:tcPr>
            <w:tcW w:w="3009" w:type="dxa"/>
            <w:vAlign w:val="center"/>
          </w:tcPr>
          <w:p w14:paraId="7B164302">
            <w:pPr>
              <w:spacing w:after="0" w:line="240" w:lineRule="auto"/>
            </w:pPr>
            <w:r>
              <w:rPr>
                <w:b/>
                <w:sz w:val="20"/>
              </w:rPr>
              <w:t>Reason</w:t>
            </w:r>
          </w:p>
        </w:tc>
      </w:tr>
      <w:tr w14:paraId="1BCEE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1D0FCCF7">
            <w:pPr>
              <w:spacing w:after="0" w:line="240" w:lineRule="auto"/>
            </w:pPr>
            <w:r>
              <w:rPr>
                <w:b w:val="0"/>
                <w:sz w:val="20"/>
              </w:rPr>
              <w:t>Real-time AI voice detection</w:t>
            </w:r>
          </w:p>
        </w:tc>
        <w:tc>
          <w:tcPr>
            <w:tcW w:w="3009" w:type="dxa"/>
            <w:vAlign w:val="center"/>
          </w:tcPr>
          <w:p w14:paraId="5F602463">
            <w:pPr>
              <w:spacing w:after="0" w:line="240" w:lineRule="auto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w="3009" w:type="dxa"/>
            <w:vAlign w:val="center"/>
          </w:tcPr>
          <w:p w14:paraId="7311B611">
            <w:pPr>
              <w:spacing w:after="0" w:line="240" w:lineRule="auto"/>
            </w:pPr>
            <w:r>
              <w:rPr>
                <w:b w:val="0"/>
                <w:sz w:val="20"/>
              </w:rPr>
              <w:t>Directly addresses impersonation and financial-scam risk.</w:t>
            </w:r>
          </w:p>
        </w:tc>
      </w:tr>
      <w:tr w14:paraId="38EA1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5A9FDD35">
            <w:pPr>
              <w:spacing w:after="0" w:line="240" w:lineRule="auto"/>
            </w:pPr>
            <w:r>
              <w:rPr>
                <w:b w:val="0"/>
                <w:sz w:val="20"/>
              </w:rPr>
              <w:t>AASIST-based anti-spoofing model</w:t>
            </w:r>
          </w:p>
        </w:tc>
        <w:tc>
          <w:tcPr>
            <w:tcW w:w="3009" w:type="dxa"/>
            <w:vAlign w:val="center"/>
          </w:tcPr>
          <w:p w14:paraId="442903FA">
            <w:pPr>
              <w:spacing w:after="0" w:line="240" w:lineRule="auto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w="3009" w:type="dxa"/>
            <w:vAlign w:val="center"/>
          </w:tcPr>
          <w:p w14:paraId="660C9737">
            <w:pPr>
              <w:spacing w:after="0" w:line="240" w:lineRule="auto"/>
            </w:pPr>
            <w:r>
              <w:rPr>
                <w:b w:val="0"/>
                <w:sz w:val="20"/>
              </w:rPr>
              <w:t>Supports detection using discriminative audio features.</w:t>
            </w:r>
          </w:p>
        </w:tc>
      </w:tr>
      <w:tr w14:paraId="78A9A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715F49D0">
            <w:pPr>
              <w:spacing w:after="0" w:line="240" w:lineRule="auto"/>
            </w:pPr>
            <w:r>
              <w:rPr>
                <w:b w:val="0"/>
                <w:sz w:val="20"/>
              </w:rPr>
              <w:t>ASVspoof 2021 dataset</w:t>
            </w:r>
          </w:p>
        </w:tc>
        <w:tc>
          <w:tcPr>
            <w:tcW w:w="3009" w:type="dxa"/>
            <w:vAlign w:val="center"/>
          </w:tcPr>
          <w:p w14:paraId="3C54685C">
            <w:pPr>
              <w:spacing w:after="0" w:line="240" w:lineRule="auto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w="3009" w:type="dxa"/>
            <w:vAlign w:val="center"/>
          </w:tcPr>
          <w:p w14:paraId="0A634C29">
            <w:pPr>
              <w:spacing w:after="0" w:line="240" w:lineRule="auto"/>
            </w:pPr>
            <w:r>
              <w:rPr>
                <w:b w:val="0"/>
                <w:sz w:val="20"/>
              </w:rPr>
              <w:t>Provides genuine and spoofed speech for development and evaluation.</w:t>
            </w:r>
          </w:p>
        </w:tc>
      </w:tr>
      <w:tr w14:paraId="3C4CF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61BB0CF9">
            <w:pPr>
              <w:spacing w:after="0" w:line="240" w:lineRule="auto"/>
            </w:pPr>
            <w:r>
              <w:rPr>
                <w:b w:val="0"/>
                <w:sz w:val="20"/>
              </w:rPr>
              <w:t>Early warning / risk alert</w:t>
            </w:r>
          </w:p>
        </w:tc>
        <w:tc>
          <w:tcPr>
            <w:tcW w:w="3009" w:type="dxa"/>
            <w:vAlign w:val="center"/>
          </w:tcPr>
          <w:p w14:paraId="1EE9D62B">
            <w:pPr>
              <w:spacing w:after="0" w:line="240" w:lineRule="auto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w="3009" w:type="dxa"/>
            <w:vAlign w:val="center"/>
          </w:tcPr>
          <w:p w14:paraId="2DE4168F">
            <w:pPr>
              <w:spacing w:after="0" w:line="240" w:lineRule="auto"/>
            </w:pPr>
            <w:r>
              <w:rPr>
                <w:b w:val="0"/>
                <w:sz w:val="20"/>
              </w:rPr>
              <w:t>Can help users stop suspicious actions before loss of money or information.</w:t>
            </w:r>
          </w:p>
        </w:tc>
      </w:tr>
      <w:tr w14:paraId="562BE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2BCF9FA1">
            <w:pPr>
              <w:spacing w:after="0" w:line="240" w:lineRule="auto"/>
            </w:pPr>
            <w:r>
              <w:rPr>
                <w:b w:val="0"/>
                <w:sz w:val="20"/>
              </w:rPr>
              <w:t>Privacy-focused processing</w:t>
            </w:r>
          </w:p>
        </w:tc>
        <w:tc>
          <w:tcPr>
            <w:tcW w:w="3009" w:type="dxa"/>
            <w:vAlign w:val="center"/>
          </w:tcPr>
          <w:p w14:paraId="78364FE6">
            <w:pPr>
              <w:spacing w:after="0" w:line="240" w:lineRule="auto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w="3009" w:type="dxa"/>
            <w:vAlign w:val="center"/>
          </w:tcPr>
          <w:p w14:paraId="79AF36CC">
            <w:pPr>
              <w:spacing w:after="0" w:line="240" w:lineRule="auto"/>
            </w:pPr>
            <w:r>
              <w:rPr>
                <w:b w:val="0"/>
                <w:sz w:val="20"/>
              </w:rPr>
              <w:t>Reduces unnecessary retention of voice data.</w:t>
            </w:r>
          </w:p>
        </w:tc>
      </w:tr>
      <w:tr w14:paraId="1EE82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09" w:type="dxa"/>
            <w:vAlign w:val="center"/>
          </w:tcPr>
          <w:p w14:paraId="23F0F9FD">
            <w:pPr>
              <w:spacing w:after="0" w:line="240" w:lineRule="auto"/>
            </w:pPr>
            <w:r>
              <w:rPr>
                <w:b w:val="0"/>
                <w:sz w:val="20"/>
              </w:rPr>
              <w:t>Risk dashboard</w:t>
            </w:r>
          </w:p>
        </w:tc>
        <w:tc>
          <w:tcPr>
            <w:tcW w:w="3009" w:type="dxa"/>
            <w:vAlign w:val="center"/>
          </w:tcPr>
          <w:p w14:paraId="6A663F5D">
            <w:pPr>
              <w:spacing w:after="0" w:line="240" w:lineRule="auto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w="3009" w:type="dxa"/>
            <w:vAlign w:val="center"/>
          </w:tcPr>
          <w:p w14:paraId="41F933E3">
            <w:pPr>
              <w:spacing w:after="0" w:line="240" w:lineRule="auto"/>
            </w:pPr>
            <w:r>
              <w:rPr>
                <w:b w:val="0"/>
                <w:sz w:val="20"/>
              </w:rPr>
              <w:t>Makes detection results easier for users and organizations to understand.</w:t>
            </w:r>
          </w:p>
        </w:tc>
      </w:tr>
    </w:tbl>
    <w:p w14:paraId="036EB35C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IBM Plex Sans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A4531C6"/>
    <w:rsid w:val="6FA53B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qFormat/>
    <w:uiPriority w:val="0"/>
  </w:style>
  <w:style w:type="paragraph" w:styleId="15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355</Words>
  <Characters>2243</Characters>
  <TotalTime>0</TotalTime>
  <ScaleCrop>false</ScaleCrop>
  <LinksUpToDate>false</LinksUpToDate>
  <CharactersWithSpaces>2546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acer</cp:lastModifiedBy>
  <dcterms:modified xsi:type="dcterms:W3CDTF">2026-10-01T11:17:50Z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eyJoZGlkIjoiMDZiNmE3NmMzNDE0YTJmMDZlNTQ4MzEzMjZlYTZlZDcifQ==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8483E704EFC0414CAF507CEEB9A6EA4C_12</vt:lpwstr>
  </property>
</Properties>
</file>