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DFD5" w14:textId="77777777" w:rsidR="00E956EA" w:rsidRPr="003D666E" w:rsidRDefault="00D539C5">
      <w:pPr>
        <w:pStyle w:val="Title"/>
        <w:spacing w:line="259" w:lineRule="auto"/>
        <w:rPr>
          <w:rFonts w:ascii="Times New Roman" w:hAnsi="Times New Roman" w:cs="Times New Roman"/>
        </w:rPr>
      </w:pPr>
      <w:r w:rsidRPr="003D666E">
        <w:rPr>
          <w:rFonts w:ascii="Times New Roman" w:hAnsi="Times New Roman" w:cs="Times New Roman"/>
        </w:rPr>
        <w:t>Ideation Phase Empathize</w:t>
      </w:r>
      <w:r w:rsidRPr="003D666E">
        <w:rPr>
          <w:rFonts w:ascii="Times New Roman" w:hAnsi="Times New Roman" w:cs="Times New Roman"/>
          <w:spacing w:val="-16"/>
        </w:rPr>
        <w:t xml:space="preserve"> </w:t>
      </w:r>
      <w:r w:rsidRPr="003D666E">
        <w:rPr>
          <w:rFonts w:ascii="Times New Roman" w:hAnsi="Times New Roman" w:cs="Times New Roman"/>
        </w:rPr>
        <w:t>&amp;</w:t>
      </w:r>
      <w:r w:rsidRPr="003D666E">
        <w:rPr>
          <w:rFonts w:ascii="Times New Roman" w:hAnsi="Times New Roman" w:cs="Times New Roman"/>
          <w:spacing w:val="-16"/>
        </w:rPr>
        <w:t xml:space="preserve"> </w:t>
      </w:r>
      <w:r w:rsidRPr="003D666E">
        <w:rPr>
          <w:rFonts w:ascii="Times New Roman" w:hAnsi="Times New Roman" w:cs="Times New Roman"/>
        </w:rPr>
        <w:t>Discover</w:t>
      </w:r>
    </w:p>
    <w:p w14:paraId="2174BDE1" w14:textId="77777777" w:rsidR="00E956EA" w:rsidRPr="003D666E" w:rsidRDefault="00E956EA">
      <w:pPr>
        <w:pStyle w:val="BodyText"/>
        <w:spacing w:before="101"/>
        <w:rPr>
          <w:rFonts w:ascii="Times New Roman" w:hAnsi="Times New Roman" w:cs="Times New Roman"/>
          <w:b/>
          <w:sz w:val="20"/>
        </w:rPr>
      </w:pPr>
    </w:p>
    <w:tbl>
      <w:tblPr>
        <w:tblW w:w="0" w:type="auto"/>
        <w:tblInd w:w="1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E956EA" w:rsidRPr="003D666E" w14:paraId="18E5A8B7" w14:textId="77777777">
        <w:trPr>
          <w:trHeight w:val="280"/>
        </w:trPr>
        <w:tc>
          <w:tcPr>
            <w:tcW w:w="4500" w:type="dxa"/>
          </w:tcPr>
          <w:p w14:paraId="16A52FDE" w14:textId="77777777" w:rsidR="00E956EA" w:rsidRPr="003D666E" w:rsidRDefault="00D539C5">
            <w:pPr>
              <w:pStyle w:val="TableParagraph"/>
              <w:spacing w:before="16" w:line="243" w:lineRule="exact"/>
              <w:rPr>
                <w:rFonts w:ascii="Times New Roman" w:hAnsi="Times New Roman" w:cs="Times New Roman"/>
              </w:rPr>
            </w:pPr>
            <w:r w:rsidRPr="003D666E">
              <w:rPr>
                <w:rFonts w:ascii="Times New Roman" w:hAnsi="Times New Roman" w:cs="Times New Roman"/>
                <w:spacing w:val="-4"/>
              </w:rPr>
              <w:t>Date</w:t>
            </w:r>
          </w:p>
        </w:tc>
        <w:tc>
          <w:tcPr>
            <w:tcW w:w="4520" w:type="dxa"/>
          </w:tcPr>
          <w:p w14:paraId="5A2A03EE" w14:textId="0CFF0E25" w:rsidR="00E956EA" w:rsidRPr="003D666E" w:rsidRDefault="00D8331A" w:rsidP="003D666E">
            <w:pPr>
              <w:pStyle w:val="TableParagraph"/>
              <w:spacing w:before="16" w:line="243" w:lineRule="exact"/>
              <w:ind w:left="109"/>
              <w:jc w:val="center"/>
              <w:rPr>
                <w:rFonts w:ascii="Times New Roman" w:hAnsi="Times New Roman" w:cs="Times New Roman"/>
              </w:rPr>
            </w:pPr>
            <w:r w:rsidRPr="003D666E">
              <w:rPr>
                <w:rFonts w:ascii="Times New Roman" w:hAnsi="Times New Roman" w:cs="Times New Roman"/>
              </w:rPr>
              <w:t>15 Feb 2026</w:t>
            </w:r>
          </w:p>
        </w:tc>
      </w:tr>
      <w:tr w:rsidR="00E956EA" w:rsidRPr="003D666E" w14:paraId="1ED08067" w14:textId="77777777">
        <w:trPr>
          <w:trHeight w:val="259"/>
        </w:trPr>
        <w:tc>
          <w:tcPr>
            <w:tcW w:w="4500" w:type="dxa"/>
          </w:tcPr>
          <w:p w14:paraId="3D86337F" w14:textId="77777777" w:rsidR="00E956EA" w:rsidRPr="003D666E" w:rsidRDefault="00D539C5">
            <w:pPr>
              <w:pStyle w:val="TableParagraph"/>
              <w:rPr>
                <w:rFonts w:ascii="Times New Roman" w:hAnsi="Times New Roman" w:cs="Times New Roman"/>
              </w:rPr>
            </w:pPr>
            <w:r w:rsidRPr="003D666E">
              <w:rPr>
                <w:rFonts w:ascii="Times New Roman" w:hAnsi="Times New Roman" w:cs="Times New Roman"/>
                <w:spacing w:val="-4"/>
              </w:rPr>
              <w:t>Team</w:t>
            </w:r>
            <w:r w:rsidRPr="003D666E">
              <w:rPr>
                <w:rFonts w:ascii="Times New Roman" w:hAnsi="Times New Roman" w:cs="Times New Roman"/>
                <w:spacing w:val="-7"/>
              </w:rPr>
              <w:t xml:space="preserve"> </w:t>
            </w:r>
            <w:r w:rsidRPr="003D666E">
              <w:rPr>
                <w:rFonts w:ascii="Times New Roman" w:hAnsi="Times New Roman" w:cs="Times New Roman"/>
                <w:spacing w:val="-5"/>
              </w:rPr>
              <w:t>ID</w:t>
            </w:r>
          </w:p>
        </w:tc>
        <w:tc>
          <w:tcPr>
            <w:tcW w:w="4520" w:type="dxa"/>
          </w:tcPr>
          <w:p w14:paraId="60725FC2" w14:textId="55520FA2" w:rsidR="00E956EA" w:rsidRPr="003D666E" w:rsidRDefault="00E46BF0" w:rsidP="003D666E">
            <w:pPr>
              <w:pStyle w:val="TableParagraph"/>
              <w:ind w:left="109"/>
              <w:jc w:val="center"/>
              <w:rPr>
                <w:rFonts w:ascii="Times New Roman" w:hAnsi="Times New Roman" w:cs="Times New Roman"/>
              </w:rPr>
            </w:pPr>
            <w:r w:rsidRPr="00E46BF0">
              <w:rPr>
                <w:rFonts w:ascii="Times New Roman" w:hAnsi="Times New Roman" w:cs="Times New Roman"/>
              </w:rPr>
              <w:t>LTVIP2026TMIDS44629</w:t>
            </w:r>
          </w:p>
        </w:tc>
      </w:tr>
      <w:tr w:rsidR="00E956EA" w:rsidRPr="003D666E" w14:paraId="42F11E6A" w14:textId="77777777" w:rsidTr="004C48F6">
        <w:trPr>
          <w:trHeight w:val="342"/>
        </w:trPr>
        <w:tc>
          <w:tcPr>
            <w:tcW w:w="4500" w:type="dxa"/>
          </w:tcPr>
          <w:p w14:paraId="3FDAAA9D" w14:textId="77777777" w:rsidR="00E956EA" w:rsidRPr="003D666E" w:rsidRDefault="00D539C5">
            <w:pPr>
              <w:pStyle w:val="TableParagraph"/>
              <w:spacing w:before="3" w:line="240" w:lineRule="auto"/>
              <w:rPr>
                <w:rFonts w:ascii="Times New Roman" w:hAnsi="Times New Roman" w:cs="Times New Roman"/>
              </w:rPr>
            </w:pPr>
            <w:r w:rsidRPr="003D666E">
              <w:rPr>
                <w:rFonts w:ascii="Times New Roman" w:hAnsi="Times New Roman" w:cs="Times New Roman"/>
              </w:rPr>
              <w:t>Project</w:t>
            </w:r>
            <w:r w:rsidRPr="003D666E">
              <w:rPr>
                <w:rFonts w:ascii="Times New Roman" w:hAnsi="Times New Roman" w:cs="Times New Roman"/>
                <w:spacing w:val="-12"/>
              </w:rPr>
              <w:t xml:space="preserve"> </w:t>
            </w:r>
            <w:r w:rsidRPr="003D666E">
              <w:rPr>
                <w:rFonts w:ascii="Times New Roman" w:hAnsi="Times New Roman" w:cs="Times New Roman"/>
                <w:spacing w:val="-4"/>
              </w:rPr>
              <w:t>Name</w:t>
            </w:r>
          </w:p>
        </w:tc>
        <w:tc>
          <w:tcPr>
            <w:tcW w:w="4520" w:type="dxa"/>
          </w:tcPr>
          <w:p w14:paraId="42D00F8B" w14:textId="0BF05814" w:rsidR="00E956EA" w:rsidRPr="00E46BF0" w:rsidRDefault="00E46BF0" w:rsidP="00E46BF0">
            <w:pPr>
              <w:pStyle w:val="TableParagraph"/>
              <w:spacing w:line="270" w:lineRule="atLeast"/>
              <w:ind w:left="109" w:right="96"/>
              <w:jc w:val="center"/>
              <w:rPr>
                <w:rFonts w:ascii="Times New Roman" w:hAnsi="Times New Roman" w:cs="Times New Roman"/>
                <w:lang w:val="en-IN"/>
              </w:rPr>
            </w:pPr>
            <w:r w:rsidRPr="00E46BF0">
              <w:rPr>
                <w:rFonts w:ascii="Times New Roman" w:hAnsi="Times New Roman" w:cs="Times New Roman"/>
                <w:lang w:val="en-IN"/>
              </w:rPr>
              <w:t>Measuring the Pulse of Prosperity: An Index of Economic Freedom Analysis</w:t>
            </w:r>
          </w:p>
        </w:tc>
      </w:tr>
      <w:tr w:rsidR="00E956EA" w:rsidRPr="003D666E" w14:paraId="082FDA60" w14:textId="77777777">
        <w:trPr>
          <w:trHeight w:val="260"/>
        </w:trPr>
        <w:tc>
          <w:tcPr>
            <w:tcW w:w="4500" w:type="dxa"/>
          </w:tcPr>
          <w:p w14:paraId="372896F5" w14:textId="77777777" w:rsidR="00E956EA" w:rsidRPr="003D666E" w:rsidRDefault="00D539C5">
            <w:pPr>
              <w:pStyle w:val="TableParagraph"/>
              <w:rPr>
                <w:rFonts w:ascii="Times New Roman" w:hAnsi="Times New Roman" w:cs="Times New Roman"/>
              </w:rPr>
            </w:pPr>
            <w:r w:rsidRPr="003D666E">
              <w:rPr>
                <w:rFonts w:ascii="Times New Roman" w:hAnsi="Times New Roman" w:cs="Times New Roman"/>
              </w:rPr>
              <w:t>Maximum</w:t>
            </w:r>
            <w:r w:rsidRPr="003D666E">
              <w:rPr>
                <w:rFonts w:ascii="Times New Roman" w:hAnsi="Times New Roman" w:cs="Times New Roman"/>
                <w:spacing w:val="-9"/>
              </w:rPr>
              <w:t xml:space="preserve"> </w:t>
            </w:r>
            <w:r w:rsidRPr="003D666E">
              <w:rPr>
                <w:rFonts w:ascii="Times New Roman" w:hAnsi="Times New Roman" w:cs="Times New Roman"/>
                <w:spacing w:val="-2"/>
              </w:rPr>
              <w:t>Marks</w:t>
            </w:r>
          </w:p>
        </w:tc>
        <w:tc>
          <w:tcPr>
            <w:tcW w:w="4520" w:type="dxa"/>
          </w:tcPr>
          <w:p w14:paraId="2B3415AA" w14:textId="77777777" w:rsidR="00E956EA" w:rsidRPr="003D666E" w:rsidRDefault="00D539C5" w:rsidP="003D666E">
            <w:pPr>
              <w:pStyle w:val="TableParagraph"/>
              <w:ind w:left="109"/>
              <w:jc w:val="center"/>
              <w:rPr>
                <w:rFonts w:ascii="Times New Roman" w:hAnsi="Times New Roman" w:cs="Times New Roman"/>
              </w:rPr>
            </w:pPr>
            <w:r w:rsidRPr="003D666E">
              <w:rPr>
                <w:rFonts w:ascii="Times New Roman" w:hAnsi="Times New Roman" w:cs="Times New Roman"/>
              </w:rPr>
              <w:t>4</w:t>
            </w:r>
            <w:r w:rsidRPr="003D666E">
              <w:rPr>
                <w:rFonts w:ascii="Times New Roman" w:hAnsi="Times New Roman" w:cs="Times New Roman"/>
                <w:spacing w:val="-3"/>
              </w:rPr>
              <w:t xml:space="preserve"> </w:t>
            </w:r>
            <w:r w:rsidRPr="003D666E">
              <w:rPr>
                <w:rFonts w:ascii="Times New Roman" w:hAnsi="Times New Roman" w:cs="Times New Roman"/>
                <w:spacing w:val="-2"/>
              </w:rPr>
              <w:t>Marks</w:t>
            </w:r>
          </w:p>
        </w:tc>
      </w:tr>
    </w:tbl>
    <w:p w14:paraId="2ED95085" w14:textId="77777777" w:rsidR="00E956EA" w:rsidRPr="003D666E" w:rsidRDefault="00E956EA">
      <w:pPr>
        <w:pStyle w:val="BodyText"/>
        <w:spacing w:before="135"/>
        <w:rPr>
          <w:rFonts w:ascii="Times New Roman" w:hAnsi="Times New Roman" w:cs="Times New Roman"/>
          <w:b/>
          <w:sz w:val="28"/>
        </w:rPr>
      </w:pPr>
    </w:p>
    <w:p w14:paraId="61F2C845" w14:textId="77777777" w:rsidR="00E956EA" w:rsidRDefault="00D539C5">
      <w:pPr>
        <w:ind w:left="1157"/>
        <w:jc w:val="both"/>
        <w:rPr>
          <w:rFonts w:ascii="Times New Roman" w:hAnsi="Times New Roman" w:cs="Times New Roman"/>
          <w:b/>
          <w:spacing w:val="-2"/>
          <w:sz w:val="24"/>
        </w:rPr>
      </w:pPr>
      <w:r w:rsidRPr="003D666E">
        <w:rPr>
          <w:rFonts w:ascii="Times New Roman" w:hAnsi="Times New Roman" w:cs="Times New Roman"/>
          <w:b/>
          <w:sz w:val="24"/>
        </w:rPr>
        <w:t>Empathy</w:t>
      </w:r>
      <w:r w:rsidRPr="003D666E">
        <w:rPr>
          <w:rFonts w:ascii="Times New Roman" w:hAnsi="Times New Roman" w:cs="Times New Roman"/>
          <w:b/>
          <w:spacing w:val="-6"/>
          <w:sz w:val="24"/>
        </w:rPr>
        <w:t xml:space="preserve"> </w:t>
      </w:r>
      <w:r w:rsidRPr="003D666E">
        <w:rPr>
          <w:rFonts w:ascii="Times New Roman" w:hAnsi="Times New Roman" w:cs="Times New Roman"/>
          <w:b/>
          <w:sz w:val="24"/>
        </w:rPr>
        <w:t>Map</w:t>
      </w:r>
      <w:r w:rsidRPr="003D666E">
        <w:rPr>
          <w:rFonts w:ascii="Times New Roman" w:hAnsi="Times New Roman" w:cs="Times New Roman"/>
          <w:b/>
          <w:spacing w:val="-4"/>
          <w:sz w:val="24"/>
        </w:rPr>
        <w:t xml:space="preserve"> </w:t>
      </w:r>
      <w:r w:rsidRPr="003D666E">
        <w:rPr>
          <w:rFonts w:ascii="Times New Roman" w:hAnsi="Times New Roman" w:cs="Times New Roman"/>
          <w:b/>
          <w:spacing w:val="-2"/>
          <w:sz w:val="24"/>
        </w:rPr>
        <w:t>Canvas:</w:t>
      </w:r>
    </w:p>
    <w:p w14:paraId="4E28DB97" w14:textId="77777777" w:rsidR="00E46BF0" w:rsidRPr="00E46BF0" w:rsidRDefault="00E46BF0" w:rsidP="00E46BF0">
      <w:pPr>
        <w:ind w:left="1157"/>
        <w:jc w:val="both"/>
        <w:rPr>
          <w:rFonts w:ascii="Times New Roman" w:hAnsi="Times New Roman" w:cs="Times New Roman"/>
          <w:noProof/>
          <w:lang w:val="en-IN"/>
        </w:rPr>
      </w:pPr>
      <w:r w:rsidRPr="00E46BF0">
        <w:rPr>
          <w:rFonts w:ascii="Times New Roman" w:hAnsi="Times New Roman" w:cs="Times New Roman"/>
          <w:noProof/>
          <w:lang w:val="en-IN"/>
        </w:rPr>
        <w:t>An empathy map is a simple and visual tool that captures knowledge about users’ behaviors, needs, and challenges.</w:t>
      </w:r>
    </w:p>
    <w:p w14:paraId="107D0FB1" w14:textId="77777777" w:rsidR="00E46BF0" w:rsidRPr="00E46BF0" w:rsidRDefault="00E46BF0" w:rsidP="00E46BF0">
      <w:pPr>
        <w:ind w:left="1157"/>
        <w:jc w:val="both"/>
        <w:rPr>
          <w:rFonts w:ascii="Times New Roman" w:hAnsi="Times New Roman" w:cs="Times New Roman"/>
          <w:noProof/>
          <w:lang w:val="en-IN"/>
        </w:rPr>
      </w:pPr>
      <w:r w:rsidRPr="00E46BF0">
        <w:rPr>
          <w:rFonts w:ascii="Times New Roman" w:hAnsi="Times New Roman" w:cs="Times New Roman"/>
          <w:noProof/>
          <w:lang w:val="en-IN"/>
        </w:rPr>
        <w:t xml:space="preserve">The primary user of the </w:t>
      </w:r>
      <w:r w:rsidRPr="00E46BF0">
        <w:rPr>
          <w:rFonts w:ascii="Times New Roman" w:hAnsi="Times New Roman" w:cs="Times New Roman"/>
          <w:b/>
          <w:bCs/>
          <w:noProof/>
          <w:lang w:val="en-IN"/>
        </w:rPr>
        <w:t>Economic Freedom Analysis Dashboard</w:t>
      </w:r>
      <w:r w:rsidRPr="00E46BF0">
        <w:rPr>
          <w:rFonts w:ascii="Times New Roman" w:hAnsi="Times New Roman" w:cs="Times New Roman"/>
          <w:noProof/>
          <w:lang w:val="en-IN"/>
        </w:rPr>
        <w:t xml:space="preserve"> is a policy maker, economist, researcher, or business strategist who needs to monitor national economic performance, regulatory efficiency, and market openness. These users often work with large volumes of raw statistical data from international economic reports but lack a centralized platform to analyze trends, compare countries, or evaluate reform outcomes effectively.</w:t>
      </w:r>
    </w:p>
    <w:p w14:paraId="28CFB8FE" w14:textId="77777777" w:rsidR="00E46BF0" w:rsidRPr="00E46BF0" w:rsidRDefault="00E46BF0" w:rsidP="00E46BF0">
      <w:pPr>
        <w:ind w:left="1157"/>
        <w:jc w:val="both"/>
        <w:rPr>
          <w:rFonts w:ascii="Times New Roman" w:hAnsi="Times New Roman" w:cs="Times New Roman"/>
          <w:noProof/>
          <w:lang w:val="en-IN"/>
        </w:rPr>
      </w:pPr>
      <w:r w:rsidRPr="00E46BF0">
        <w:rPr>
          <w:rFonts w:ascii="Times New Roman" w:hAnsi="Times New Roman" w:cs="Times New Roman"/>
          <w:noProof/>
          <w:lang w:val="en-IN"/>
        </w:rPr>
        <w:t>Due to the absence of interactive and visual analytics tools, users often feel overwhelmed and uncertain when making policy recommendations, investment decisions, or economic assessments. They require a comprehensive, user-friendly dashboard that presents clear KPIs, trend analysis, country comparisons, and indicator-level insights.</w:t>
      </w:r>
    </w:p>
    <w:p w14:paraId="43F8AAE3" w14:textId="77777777" w:rsidR="00E46BF0" w:rsidRPr="00E46BF0" w:rsidRDefault="00E46BF0" w:rsidP="00E46BF0">
      <w:pPr>
        <w:ind w:left="1157"/>
        <w:jc w:val="both"/>
        <w:rPr>
          <w:rFonts w:ascii="Times New Roman" w:hAnsi="Times New Roman" w:cs="Times New Roman"/>
          <w:noProof/>
          <w:lang w:val="en-IN"/>
        </w:rPr>
      </w:pPr>
      <w:r w:rsidRPr="00E46BF0">
        <w:rPr>
          <w:rFonts w:ascii="Times New Roman" w:hAnsi="Times New Roman" w:cs="Times New Roman"/>
          <w:noProof/>
          <w:lang w:val="en-IN"/>
        </w:rPr>
        <w:t>A well-designed Tableau dashboard can transform complex economic data into actionable insights, enabling informed decision-making, evidence-based policy reforms, and strategic planning to enhance economic freedom and national prosperity.</w:t>
      </w:r>
    </w:p>
    <w:p w14:paraId="26950CFE" w14:textId="3319DFE8" w:rsidR="008D6846" w:rsidRPr="003D666E" w:rsidRDefault="00954743" w:rsidP="00206F12">
      <w:pPr>
        <w:pStyle w:val="BodyText"/>
        <w:spacing w:before="183"/>
        <w:ind w:right="1313"/>
        <w:jc w:val="center"/>
        <w:rPr>
          <w:rFonts w:ascii="Times New Roman" w:hAnsi="Times New Roman" w:cs="Times New Roman"/>
          <w:sz w:val="20"/>
        </w:rPr>
        <w:sectPr w:rsidR="008D6846" w:rsidRPr="003D666E">
          <w:type w:val="continuous"/>
          <w:pgSz w:w="11920" w:h="16840"/>
          <w:pgMar w:top="840" w:right="141" w:bottom="280" w:left="283" w:header="720" w:footer="720" w:gutter="0"/>
          <w:cols w:space="720"/>
        </w:sect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7E2BAED" wp14:editId="4EBD7104">
                <wp:simplePos x="0" y="0"/>
                <wp:positionH relativeFrom="column">
                  <wp:posOffset>6416675</wp:posOffset>
                </wp:positionH>
                <wp:positionV relativeFrom="paragraph">
                  <wp:posOffset>4612005</wp:posOffset>
                </wp:positionV>
                <wp:extent cx="624840" cy="640080"/>
                <wp:effectExtent l="0" t="0" r="22860" b="26670"/>
                <wp:wrapNone/>
                <wp:docPr id="749821395" name="Rectangle 3"/>
                <wp:cNvGraphicFramePr/>
                <a:graphic xmlns:a="http://schemas.openxmlformats.org/drawingml/2006/main">
                  <a:graphicData uri="http://schemas.microsoft.com/office/word/2010/wordprocessingShape">
                    <wps:wsp>
                      <wps:cNvSpPr/>
                      <wps:spPr>
                        <a:xfrm>
                          <a:off x="0" y="0"/>
                          <a:ext cx="624840" cy="640080"/>
                        </a:xfrm>
                        <a:prstGeom prst="rect">
                          <a:avLst/>
                        </a:prstGeom>
                        <a:solidFill>
                          <a:srgbClr val="ECAAB3"/>
                        </a:solidFill>
                        <a:ln>
                          <a:solidFill>
                            <a:srgbClr val="ECAAB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C092EF" w14:textId="217EBCD3" w:rsidR="00954743" w:rsidRPr="00263552" w:rsidRDefault="00263552" w:rsidP="00954743">
                            <w:pPr>
                              <w:jc w:val="center"/>
                              <w:rPr>
                                <w:b/>
                                <w:bCs/>
                                <w:color w:val="000000" w:themeColor="text1"/>
                                <w:sz w:val="16"/>
                                <w:szCs w:val="16"/>
                              </w:rPr>
                            </w:pPr>
                            <w:r w:rsidRPr="00263552">
                              <w:rPr>
                                <w:b/>
                                <w:bCs/>
                                <w:color w:val="000000" w:themeColor="text1"/>
                                <w:sz w:val="16"/>
                                <w:szCs w:val="16"/>
                              </w:rPr>
                              <w:t>Higher employment rates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2BAED" id="Rectangle 3" o:spid="_x0000_s1026" style="position:absolute;left:0;text-align:left;margin-left:505.25pt;margin-top:363.15pt;width:49.2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" fillcolor="#ecaab3" strokecolor="#ecaab3" strokeweight="2pt">
                <v:textbox>
                  <w:txbxContent>
                    <w:p w14:paraId="09C092EF" w14:textId="217EBCD3" w:rsidR="00954743" w:rsidRPr="00263552" w:rsidRDefault="00263552" w:rsidP="00954743">
                      <w:pPr>
                        <w:jc w:val="center"/>
                        <w:rPr>
                          <w:b/>
                          <w:bCs/>
                          <w:color w:val="000000" w:themeColor="text1"/>
                          <w:sz w:val="16"/>
                          <w:szCs w:val="16"/>
                        </w:rPr>
                      </w:pPr>
                      <w:r w:rsidRPr="00263552">
                        <w:rPr>
                          <w:b/>
                          <w:bCs/>
                          <w:color w:val="000000" w:themeColor="text1"/>
                          <w:sz w:val="16"/>
                          <w:szCs w:val="16"/>
                        </w:rPr>
                        <w:t>Higher employment rates</w:t>
                      </w:r>
                    </w:p>
                  </w:txbxContent>
                </v:textbox>
              </v:rect>
            </w:pict>
          </mc:Fallback>
        </mc:AlternateContent>
      </w:r>
      <w:r w:rsidR="00206F12">
        <w:rPr>
          <w:rFonts w:ascii="Times New Roman" w:hAnsi="Times New Roman" w:cs="Times New Roman"/>
          <w:noProof/>
        </w:rPr>
        <w:t xml:space="preserve">             </w:t>
      </w:r>
      <w:r w:rsidR="00263552">
        <w:rPr>
          <w:rFonts w:ascii="Times New Roman" w:hAnsi="Times New Roman" w:cs="Times New Roman"/>
          <w:noProof/>
          <w:sz w:val="20"/>
        </w:rPr>
        <w:drawing>
          <wp:inline distT="0" distB="0" distL="0" distR="0" wp14:anchorId="02AF9D87" wp14:editId="54A590ED">
            <wp:extent cx="7299960" cy="5174615"/>
            <wp:effectExtent l="0" t="0" r="0" b="6985"/>
            <wp:docPr id="617373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73232" name="Picture 617373232"/>
                    <pic:cNvPicPr/>
                  </pic:nvPicPr>
                  <pic:blipFill rotWithShape="1">
                    <a:blip r:embed="rId5" cstate="print">
                      <a:extLst>
                        <a:ext uri="{28A0092B-C50C-407E-A947-70E740481C1C}">
                          <a14:useLocalDpi xmlns:a14="http://schemas.microsoft.com/office/drawing/2010/main" val="0"/>
                        </a:ext>
                      </a:extLst>
                    </a:blip>
                    <a:srcRect t="2043"/>
                    <a:stretch>
                      <a:fillRect/>
                    </a:stretch>
                  </pic:blipFill>
                  <pic:spPr bwMode="auto">
                    <a:xfrm>
                      <a:off x="0" y="0"/>
                      <a:ext cx="7299960" cy="5174615"/>
                    </a:xfrm>
                    <a:prstGeom prst="rect">
                      <a:avLst/>
                    </a:prstGeom>
                    <a:ln>
                      <a:noFill/>
                    </a:ln>
                    <a:extLst>
                      <a:ext uri="{53640926-AAD7-44D8-BBD7-CCE9431645EC}">
                        <a14:shadowObscured xmlns:a14="http://schemas.microsoft.com/office/drawing/2010/main"/>
                      </a:ext>
                    </a:extLst>
                  </pic:spPr>
                </pic:pic>
              </a:graphicData>
            </a:graphic>
          </wp:inline>
        </w:drawing>
      </w:r>
    </w:p>
    <w:p w14:paraId="3F2033E8" w14:textId="31CB3C6F" w:rsidR="00E956EA" w:rsidRPr="003D666E" w:rsidRDefault="00E956EA" w:rsidP="003D666E">
      <w:pPr>
        <w:pStyle w:val="BodyText"/>
        <w:spacing w:before="4"/>
        <w:rPr>
          <w:rFonts w:ascii="Times New Roman" w:hAnsi="Times New Roman" w:cs="Times New Roman"/>
          <w:sz w:val="16"/>
        </w:rPr>
      </w:pPr>
    </w:p>
    <w:sectPr w:rsidR="00E956EA" w:rsidRPr="003D666E" w:rsidSect="003D666E">
      <w:type w:val="continuous"/>
      <w:pgSz w:w="11920" w:h="16840"/>
      <w:pgMar w:top="194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EA"/>
    <w:rsid w:val="000A7F1A"/>
    <w:rsid w:val="001422CE"/>
    <w:rsid w:val="00206F12"/>
    <w:rsid w:val="00207445"/>
    <w:rsid w:val="00263552"/>
    <w:rsid w:val="002749B9"/>
    <w:rsid w:val="003D666E"/>
    <w:rsid w:val="004C48F6"/>
    <w:rsid w:val="004F2EDC"/>
    <w:rsid w:val="005E1D0C"/>
    <w:rsid w:val="00615CD4"/>
    <w:rsid w:val="00620615"/>
    <w:rsid w:val="00700863"/>
    <w:rsid w:val="007D48B4"/>
    <w:rsid w:val="007F38F6"/>
    <w:rsid w:val="00881A66"/>
    <w:rsid w:val="008D6846"/>
    <w:rsid w:val="00933EF3"/>
    <w:rsid w:val="00954743"/>
    <w:rsid w:val="009B544C"/>
    <w:rsid w:val="00B54AE6"/>
    <w:rsid w:val="00C10475"/>
    <w:rsid w:val="00D539C5"/>
    <w:rsid w:val="00D8331A"/>
    <w:rsid w:val="00E46BF0"/>
    <w:rsid w:val="00E956EA"/>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7570"/>
  <w15:docId w15:val="{59954BFA-A32E-447F-9CD4-D9D469F2C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left="4218" w:right="437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0" w:lineRule="exact"/>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733966">
      <w:bodyDiv w:val="1"/>
      <w:marLeft w:val="0"/>
      <w:marRight w:val="0"/>
      <w:marTop w:val="0"/>
      <w:marBottom w:val="0"/>
      <w:divBdr>
        <w:top w:val="none" w:sz="0" w:space="0" w:color="auto"/>
        <w:left w:val="none" w:sz="0" w:space="0" w:color="auto"/>
        <w:bottom w:val="none" w:sz="0" w:space="0" w:color="auto"/>
        <w:right w:val="none" w:sz="0" w:space="0" w:color="auto"/>
      </w:divBdr>
    </w:div>
    <w:div w:id="1980958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822C2-7AE5-4A56-8528-C8B95276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Empathy Map.docx</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Map.docx</dc:title>
  <dc:creator>Shavan kumar</dc:creator>
  <cp:lastModifiedBy>Pc Adithya</cp:lastModifiedBy>
  <cp:revision>5</cp:revision>
  <dcterms:created xsi:type="dcterms:W3CDTF">2026-02-16T08:16:00Z</dcterms:created>
  <dcterms:modified xsi:type="dcterms:W3CDTF">2026-02-24T13:55:00Z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