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7B7D" w14:textId="799AE40F" w:rsidR="000C259A" w:rsidRPr="00AE3617" w:rsidRDefault="00177A88" w:rsidP="00177A88">
      <w:pPr>
        <w:jc w:val="center"/>
        <w:rPr>
          <w:rFonts w:ascii="Times New Roman" w:hAnsi="Times New Roman" w:cs="Times New Roman"/>
          <w:b/>
          <w:sz w:val="36"/>
          <w:szCs w:val="36"/>
        </w:rPr>
      </w:pPr>
      <w:r w:rsidRPr="00AE3617">
        <w:rPr>
          <w:rFonts w:ascii="Times New Roman" w:hAnsi="Times New Roman" w:cs="Times New Roman"/>
          <w:b/>
          <w:sz w:val="36"/>
          <w:szCs w:val="36"/>
        </w:rPr>
        <w:t xml:space="preserve">UCSD </w:t>
      </w:r>
      <w:r w:rsidR="002F13A5">
        <w:rPr>
          <w:rFonts w:ascii="Times New Roman" w:hAnsi="Times New Roman" w:cs="Times New Roman"/>
          <w:b/>
          <w:sz w:val="36"/>
          <w:szCs w:val="36"/>
        </w:rPr>
        <w:t xml:space="preserve">Koman </w:t>
      </w:r>
      <w:r w:rsidRPr="00AE3617">
        <w:rPr>
          <w:rFonts w:ascii="Times New Roman" w:hAnsi="Times New Roman" w:cs="Times New Roman"/>
          <w:b/>
          <w:sz w:val="36"/>
          <w:szCs w:val="36"/>
        </w:rPr>
        <w:t>Outpatient Pavilion Case and Patient Selection Criteria</w:t>
      </w:r>
    </w:p>
    <w:p w14:paraId="30C03758" w14:textId="77777777" w:rsidR="00AE37BA" w:rsidRPr="00AE3617" w:rsidRDefault="00AE37BA" w:rsidP="00AE37BA">
      <w:pPr>
        <w:rPr>
          <w:rFonts w:ascii="Times New Roman" w:hAnsi="Times New Roman" w:cs="Times New Roman"/>
        </w:rPr>
      </w:pPr>
    </w:p>
    <w:p w14:paraId="5917F1ED" w14:textId="185A416A" w:rsidR="00AE37BA" w:rsidRPr="00AE3617" w:rsidRDefault="00AE37BA" w:rsidP="00AE37BA">
      <w:pPr>
        <w:rPr>
          <w:rFonts w:ascii="Times New Roman" w:hAnsi="Times New Roman" w:cs="Times New Roman"/>
          <w:b/>
          <w:sz w:val="28"/>
          <w:szCs w:val="28"/>
        </w:rPr>
      </w:pPr>
      <w:r w:rsidRPr="00AE3617">
        <w:rPr>
          <w:rFonts w:ascii="Times New Roman" w:hAnsi="Times New Roman" w:cs="Times New Roman"/>
          <w:b/>
          <w:sz w:val="28"/>
          <w:szCs w:val="28"/>
        </w:rPr>
        <w:t>Patient Selection</w:t>
      </w:r>
      <w:r w:rsidR="00B47017" w:rsidRPr="00AE3617">
        <w:rPr>
          <w:rFonts w:ascii="Times New Roman" w:hAnsi="Times New Roman" w:cs="Times New Roman"/>
          <w:b/>
          <w:sz w:val="28"/>
          <w:szCs w:val="28"/>
        </w:rPr>
        <w:t xml:space="preserve"> </w:t>
      </w:r>
      <w:r w:rsidR="00B47017" w:rsidRPr="00AE3617">
        <w:rPr>
          <w:rFonts w:ascii="Times New Roman" w:hAnsi="Times New Roman" w:cs="Times New Roman"/>
          <w:i/>
          <w:sz w:val="28"/>
          <w:szCs w:val="28"/>
        </w:rPr>
        <w:t>The list below is not</w:t>
      </w:r>
      <w:r w:rsidR="00CB34E6">
        <w:rPr>
          <w:rFonts w:ascii="Times New Roman" w:hAnsi="Times New Roman" w:cs="Times New Roman"/>
          <w:i/>
          <w:sz w:val="28"/>
          <w:szCs w:val="28"/>
        </w:rPr>
        <w:t xml:space="preserve"> necessarily</w:t>
      </w:r>
      <w:r w:rsidR="00B47017" w:rsidRPr="00AE3617">
        <w:rPr>
          <w:rFonts w:ascii="Times New Roman" w:hAnsi="Times New Roman" w:cs="Times New Roman"/>
          <w:i/>
          <w:sz w:val="28"/>
          <w:szCs w:val="28"/>
        </w:rPr>
        <w:t xml:space="preserve"> exclusion criteria (unless specifically stated as such), but rather cases that</w:t>
      </w:r>
      <w:r w:rsidR="00B63F3D">
        <w:rPr>
          <w:rFonts w:ascii="Times New Roman" w:hAnsi="Times New Roman" w:cs="Times New Roman"/>
          <w:i/>
          <w:sz w:val="28"/>
          <w:szCs w:val="28"/>
        </w:rPr>
        <w:t xml:space="preserve"> may</w:t>
      </w:r>
      <w:r w:rsidR="00B47017" w:rsidRPr="00AE3617">
        <w:rPr>
          <w:rFonts w:ascii="Times New Roman" w:hAnsi="Times New Roman" w:cs="Times New Roman"/>
          <w:i/>
          <w:sz w:val="28"/>
          <w:szCs w:val="28"/>
        </w:rPr>
        <w:t xml:space="preserve"> require further MD review and potential workup before receiving clearance to have surgery at KOP</w:t>
      </w:r>
      <w:r w:rsidR="00B52BF3" w:rsidRPr="00AE3617">
        <w:rPr>
          <w:rFonts w:ascii="Times New Roman" w:hAnsi="Times New Roman" w:cs="Times New Roman"/>
          <w:i/>
          <w:sz w:val="28"/>
          <w:szCs w:val="28"/>
        </w:rPr>
        <w:t xml:space="preserve">. Please contact </w:t>
      </w:r>
      <w:r w:rsidR="005732DB" w:rsidRPr="00AE3617">
        <w:rPr>
          <w:rFonts w:ascii="Times New Roman" w:hAnsi="Times New Roman" w:cs="Times New Roman"/>
          <w:i/>
          <w:sz w:val="28"/>
          <w:szCs w:val="28"/>
        </w:rPr>
        <w:t>APC</w:t>
      </w:r>
      <w:r w:rsidR="00B52BF3" w:rsidRPr="00AE3617">
        <w:rPr>
          <w:rFonts w:ascii="Times New Roman" w:hAnsi="Times New Roman" w:cs="Times New Roman"/>
          <w:i/>
          <w:sz w:val="28"/>
          <w:szCs w:val="28"/>
        </w:rPr>
        <w:t xml:space="preserve"> regarding questions for KOP clearance.</w:t>
      </w:r>
    </w:p>
    <w:p w14:paraId="06A8EB77" w14:textId="56650CF6" w:rsidR="00AE37BA" w:rsidRDefault="00AE37BA" w:rsidP="00AE37BA">
      <w:pPr>
        <w:rPr>
          <w:rFonts w:ascii="Times New Roman" w:hAnsi="Times New Roman" w:cs="Times New Roman"/>
        </w:rPr>
      </w:pPr>
    </w:p>
    <w:p w14:paraId="7DAF1B4C" w14:textId="2240BABD" w:rsidR="007A2592" w:rsidRDefault="007A2592" w:rsidP="00AE37BA">
      <w:pPr>
        <w:rPr>
          <w:rFonts w:ascii="Times New Roman" w:hAnsi="Times New Roman" w:cs="Times New Roman"/>
        </w:rPr>
      </w:pPr>
      <w:r w:rsidRPr="00940CBF">
        <w:rPr>
          <w:rFonts w:ascii="Times New Roman" w:hAnsi="Times New Roman" w:cs="Times New Roman"/>
          <w:b/>
          <w:bCs/>
          <w:u w:val="single"/>
        </w:rPr>
        <w:t>General Theme</w:t>
      </w:r>
      <w:r>
        <w:rPr>
          <w:rFonts w:ascii="Times New Roman" w:hAnsi="Times New Roman" w:cs="Times New Roman"/>
        </w:rPr>
        <w:t xml:space="preserve"> – What determines if an outpatient surgery should be done at KOP versus main OR? This is not always black and white and will require clinical judgement. </w:t>
      </w:r>
      <w:r w:rsidR="00E3662D">
        <w:rPr>
          <w:rFonts w:ascii="Times New Roman" w:hAnsi="Times New Roman" w:cs="Times New Roman"/>
        </w:rPr>
        <w:t>The following guidelines aim to set some expectations but does not fill all the holes. In general, the thought process is that if the MD feels</w:t>
      </w:r>
      <w:r w:rsidR="00840217">
        <w:rPr>
          <w:rFonts w:ascii="Times New Roman" w:hAnsi="Times New Roman" w:cs="Times New Roman"/>
        </w:rPr>
        <w:t xml:space="preserve"> the following, surgery may need to move to the main hospital</w:t>
      </w:r>
      <w:r w:rsidR="00E3662D">
        <w:rPr>
          <w:rFonts w:ascii="Times New Roman" w:hAnsi="Times New Roman" w:cs="Times New Roman"/>
        </w:rPr>
        <w:t>:</w:t>
      </w:r>
    </w:p>
    <w:p w14:paraId="3CA21DC4" w14:textId="1ED81C9C" w:rsidR="00E3662D" w:rsidRDefault="00E3662D" w:rsidP="00E3662D">
      <w:pPr>
        <w:pStyle w:val="ListParagraph"/>
        <w:numPr>
          <w:ilvl w:val="0"/>
          <w:numId w:val="35"/>
        </w:numPr>
        <w:rPr>
          <w:rFonts w:ascii="Times New Roman" w:hAnsi="Times New Roman" w:cs="Times New Roman"/>
        </w:rPr>
      </w:pPr>
      <w:r>
        <w:rPr>
          <w:rFonts w:ascii="Times New Roman" w:hAnsi="Times New Roman" w:cs="Times New Roman"/>
        </w:rPr>
        <w:t>patient will be very high risk for admission</w:t>
      </w:r>
      <w:r>
        <w:rPr>
          <w:rFonts w:ascii="Times New Roman" w:hAnsi="Times New Roman" w:cs="Times New Roman"/>
        </w:rPr>
        <w:softHyphen/>
        <w:t>, patient should be done in the main operating room</w:t>
      </w:r>
      <w:r w:rsidR="002D3827">
        <w:rPr>
          <w:rFonts w:ascii="Times New Roman" w:hAnsi="Times New Roman" w:cs="Times New Roman"/>
        </w:rPr>
        <w:t>. This is also dependent on the type of surgery and anesthesia plan (not just patient comorbidities)</w:t>
      </w:r>
    </w:p>
    <w:p w14:paraId="07F4F4E3" w14:textId="12D348E6" w:rsidR="00E3662D" w:rsidRDefault="00E3662D" w:rsidP="00E3662D">
      <w:pPr>
        <w:pStyle w:val="ListParagraph"/>
        <w:numPr>
          <w:ilvl w:val="0"/>
          <w:numId w:val="35"/>
        </w:numPr>
        <w:rPr>
          <w:rFonts w:ascii="Times New Roman" w:hAnsi="Times New Roman" w:cs="Times New Roman"/>
        </w:rPr>
      </w:pPr>
      <w:r>
        <w:rPr>
          <w:rFonts w:ascii="Times New Roman" w:hAnsi="Times New Roman" w:cs="Times New Roman"/>
        </w:rPr>
        <w:t>patient will require more invasive monitoring for safe anesthesia (</w:t>
      </w:r>
      <w:proofErr w:type="gramStart"/>
      <w:r>
        <w:rPr>
          <w:rFonts w:ascii="Times New Roman" w:hAnsi="Times New Roman" w:cs="Times New Roman"/>
        </w:rPr>
        <w:t>i.e.</w:t>
      </w:r>
      <w:proofErr w:type="gramEnd"/>
      <w:r>
        <w:rPr>
          <w:rFonts w:ascii="Times New Roman" w:hAnsi="Times New Roman" w:cs="Times New Roman"/>
        </w:rPr>
        <w:t xml:space="preserve"> arterial line, central line), patient should be done in the main operating room</w:t>
      </w:r>
    </w:p>
    <w:p w14:paraId="445CE3CE" w14:textId="6147DA50" w:rsidR="00E3662D" w:rsidRDefault="00E3662D" w:rsidP="00E3662D">
      <w:pPr>
        <w:pStyle w:val="ListParagraph"/>
        <w:numPr>
          <w:ilvl w:val="0"/>
          <w:numId w:val="35"/>
        </w:numPr>
        <w:rPr>
          <w:rFonts w:ascii="Times New Roman" w:hAnsi="Times New Roman" w:cs="Times New Roman"/>
        </w:rPr>
      </w:pPr>
      <w:r>
        <w:rPr>
          <w:rFonts w:ascii="Times New Roman" w:hAnsi="Times New Roman" w:cs="Times New Roman"/>
        </w:rPr>
        <w:t>patient is at high risk for serious morbidity or complication that, if occurs, KOP does not have the resources to manage (</w:t>
      </w:r>
      <w:proofErr w:type="gramStart"/>
      <w:r>
        <w:rPr>
          <w:rFonts w:ascii="Times New Roman" w:hAnsi="Times New Roman" w:cs="Times New Roman"/>
        </w:rPr>
        <w:t>i.e.</w:t>
      </w:r>
      <w:proofErr w:type="gramEnd"/>
      <w:r>
        <w:rPr>
          <w:rFonts w:ascii="Times New Roman" w:hAnsi="Times New Roman" w:cs="Times New Roman"/>
        </w:rPr>
        <w:t xml:space="preserve"> </w:t>
      </w:r>
      <w:proofErr w:type="spellStart"/>
      <w:r>
        <w:rPr>
          <w:rFonts w:ascii="Times New Roman" w:hAnsi="Times New Roman" w:cs="Times New Roman"/>
        </w:rPr>
        <w:t>cath</w:t>
      </w:r>
      <w:proofErr w:type="spellEnd"/>
      <w:r>
        <w:rPr>
          <w:rFonts w:ascii="Times New Roman" w:hAnsi="Times New Roman" w:cs="Times New Roman"/>
        </w:rPr>
        <w:t xml:space="preserve"> lab, stroke team, labor &amp; delivery/intraoperative fetal monitoring)</w:t>
      </w:r>
    </w:p>
    <w:p w14:paraId="28B86ED5" w14:textId="77777777" w:rsidR="007A2592" w:rsidRDefault="007A2592" w:rsidP="00AE37BA">
      <w:pPr>
        <w:rPr>
          <w:rFonts w:ascii="Times New Roman" w:hAnsi="Times New Roman" w:cs="Times New Roman"/>
        </w:rPr>
      </w:pPr>
    </w:p>
    <w:p w14:paraId="339207F1" w14:textId="2229F5B4" w:rsidR="00E34F83" w:rsidRDefault="00E34F83" w:rsidP="00AE37BA">
      <w:pPr>
        <w:rPr>
          <w:rFonts w:ascii="Times New Roman" w:hAnsi="Times New Roman" w:cs="Times New Roman"/>
        </w:rPr>
      </w:pPr>
      <w:r>
        <w:rPr>
          <w:rFonts w:ascii="Times New Roman" w:hAnsi="Times New Roman" w:cs="Times New Roman"/>
        </w:rPr>
        <w:t xml:space="preserve">Recommendations are based on UCSD specific practices and the following article on patient selection for adult ambulatory surgery: </w:t>
      </w:r>
      <w:hyperlink r:id="rId5" w:history="1">
        <w:r w:rsidRPr="00846EF7">
          <w:rPr>
            <w:rStyle w:val="Hyperlink"/>
            <w:rFonts w:ascii="Times New Roman" w:hAnsi="Times New Roman" w:cs="Times New Roman"/>
          </w:rPr>
          <w:t>https://journals.lww.com/anesthesia-analgesia/Fulltext/2021/12000/Patient_Selection_for_Adult_Ambulatory_Surgery__A.10.aspx</w:t>
        </w:r>
      </w:hyperlink>
    </w:p>
    <w:p w14:paraId="1CB64A1F" w14:textId="77777777" w:rsidR="00E34F83" w:rsidRDefault="00E34F83" w:rsidP="00AE37BA">
      <w:pPr>
        <w:rPr>
          <w:rFonts w:ascii="Times New Roman" w:hAnsi="Times New Roman" w:cs="Times New Roman"/>
        </w:rPr>
      </w:pPr>
    </w:p>
    <w:p w14:paraId="0C0A6D9B" w14:textId="77777777" w:rsidR="00E34F83" w:rsidRDefault="00B95615" w:rsidP="00E34F83">
      <w:pPr>
        <w:rPr>
          <w:rFonts w:ascii="Times New Roman" w:hAnsi="Times New Roman" w:cs="Times New Roman"/>
          <w:b/>
        </w:rPr>
      </w:pPr>
      <w:r w:rsidRPr="00AE3617">
        <w:rPr>
          <w:rFonts w:ascii="Times New Roman" w:hAnsi="Times New Roman" w:cs="Times New Roman"/>
          <w:b/>
        </w:rPr>
        <w:t>Admission status</w:t>
      </w:r>
      <w:r w:rsidR="00E34F83">
        <w:rPr>
          <w:rFonts w:ascii="Times New Roman" w:hAnsi="Times New Roman" w:cs="Times New Roman"/>
          <w:b/>
        </w:rPr>
        <w:t xml:space="preserve"> </w:t>
      </w:r>
    </w:p>
    <w:p w14:paraId="56CBB4DD" w14:textId="66F78367" w:rsidR="00B95615" w:rsidRPr="00543B3B" w:rsidRDefault="00B95615" w:rsidP="00E34F83">
      <w:pPr>
        <w:pStyle w:val="ListParagraph"/>
        <w:numPr>
          <w:ilvl w:val="0"/>
          <w:numId w:val="34"/>
        </w:numPr>
        <w:rPr>
          <w:rFonts w:ascii="Times New Roman" w:hAnsi="Times New Roman" w:cs="Times New Roman"/>
          <w:b/>
        </w:rPr>
      </w:pPr>
      <w:r w:rsidRPr="00E34F83">
        <w:rPr>
          <w:rFonts w:ascii="Times New Roman" w:hAnsi="Times New Roman" w:cs="Times New Roman"/>
        </w:rPr>
        <w:t xml:space="preserve">Patients requiring 23h observation or high chance of admission are to be excluded from </w:t>
      </w:r>
      <w:proofErr w:type="gramStart"/>
      <w:r w:rsidRPr="00E34F83">
        <w:rPr>
          <w:rFonts w:ascii="Times New Roman" w:hAnsi="Times New Roman" w:cs="Times New Roman"/>
        </w:rPr>
        <w:t>KOP</w:t>
      </w:r>
      <w:proofErr w:type="gramEnd"/>
    </w:p>
    <w:p w14:paraId="2B6FB3AE" w14:textId="77777777" w:rsidR="00543B3B" w:rsidRDefault="00543B3B" w:rsidP="00543B3B">
      <w:pPr>
        <w:rPr>
          <w:rFonts w:ascii="Times New Roman" w:hAnsi="Times New Roman" w:cs="Times New Roman"/>
          <w:b/>
        </w:rPr>
      </w:pPr>
    </w:p>
    <w:p w14:paraId="1E647C15" w14:textId="07BCDFF5" w:rsidR="00543B3B" w:rsidRDefault="00543B3B" w:rsidP="00543B3B">
      <w:pPr>
        <w:rPr>
          <w:rFonts w:ascii="Times New Roman" w:hAnsi="Times New Roman" w:cs="Times New Roman"/>
          <w:b/>
        </w:rPr>
      </w:pPr>
      <w:r>
        <w:rPr>
          <w:rFonts w:ascii="Times New Roman" w:hAnsi="Times New Roman" w:cs="Times New Roman"/>
          <w:b/>
        </w:rPr>
        <w:t>GLP-agonists</w:t>
      </w:r>
    </w:p>
    <w:p w14:paraId="38B3E2B9" w14:textId="3AF03C6A" w:rsidR="00543B3B" w:rsidRDefault="004026A5" w:rsidP="00543B3B">
      <w:pPr>
        <w:pStyle w:val="ListParagraph"/>
        <w:numPr>
          <w:ilvl w:val="0"/>
          <w:numId w:val="34"/>
        </w:numPr>
        <w:rPr>
          <w:rFonts w:ascii="Times New Roman" w:hAnsi="Times New Roman" w:cs="Times New Roman"/>
          <w:bCs/>
        </w:rPr>
      </w:pPr>
      <w:r>
        <w:rPr>
          <w:rFonts w:ascii="Times New Roman" w:hAnsi="Times New Roman" w:cs="Times New Roman"/>
          <w:bCs/>
        </w:rPr>
        <w:t xml:space="preserve">The </w:t>
      </w:r>
      <w:r w:rsidR="00543B3B">
        <w:rPr>
          <w:rFonts w:ascii="Times New Roman" w:hAnsi="Times New Roman" w:cs="Times New Roman"/>
          <w:bCs/>
        </w:rPr>
        <w:t xml:space="preserve">ASA </w:t>
      </w:r>
      <w:r>
        <w:rPr>
          <w:rFonts w:ascii="Times New Roman" w:hAnsi="Times New Roman" w:cs="Times New Roman"/>
          <w:bCs/>
        </w:rPr>
        <w:t>consensus statement</w:t>
      </w:r>
      <w:r w:rsidR="00543B3B">
        <w:rPr>
          <w:rFonts w:ascii="Times New Roman" w:hAnsi="Times New Roman" w:cs="Times New Roman"/>
          <w:bCs/>
        </w:rPr>
        <w:t xml:space="preserve"> apply for both inpatient and outpatient elective surgeries (not unique to KOP)</w:t>
      </w:r>
    </w:p>
    <w:p w14:paraId="1C01D66A" w14:textId="0DC56301" w:rsidR="00543B3B" w:rsidRDefault="00543B3B" w:rsidP="00543B3B">
      <w:pPr>
        <w:pStyle w:val="ListParagraph"/>
        <w:numPr>
          <w:ilvl w:val="0"/>
          <w:numId w:val="34"/>
        </w:numPr>
        <w:rPr>
          <w:rFonts w:ascii="Times New Roman" w:hAnsi="Times New Roman" w:cs="Times New Roman"/>
          <w:bCs/>
        </w:rPr>
      </w:pPr>
      <w:r>
        <w:rPr>
          <w:rFonts w:ascii="Times New Roman" w:hAnsi="Times New Roman" w:cs="Times New Roman"/>
          <w:bCs/>
        </w:rPr>
        <w:t>If case is deemed urgent but patient has not appropriately stopped their GLP-agonist and are considered full-stomach, consider transferring surgery to main hospital rather than performing at outpatient surgery center.</w:t>
      </w:r>
    </w:p>
    <w:p w14:paraId="41F5896F" w14:textId="7C940400" w:rsidR="00543B3B" w:rsidRPr="00543B3B" w:rsidRDefault="00543B3B" w:rsidP="00543B3B">
      <w:pPr>
        <w:pStyle w:val="ListParagraph"/>
        <w:numPr>
          <w:ilvl w:val="0"/>
          <w:numId w:val="34"/>
        </w:numPr>
        <w:rPr>
          <w:rFonts w:ascii="Times New Roman" w:hAnsi="Times New Roman" w:cs="Times New Roman"/>
          <w:bCs/>
        </w:rPr>
      </w:pPr>
      <w:r>
        <w:rPr>
          <w:rFonts w:ascii="Times New Roman" w:hAnsi="Times New Roman" w:cs="Times New Roman"/>
          <w:bCs/>
        </w:rPr>
        <w:t>Generally, patients should stop weekly dosing one week prior to elective surgery or daily dosing one day prior to elective surgery. If they did not stop their GLP-agonist in a timely manner but are close to it (e.g., stopped 5-7 days prior), consider gastric ultrasound to assess for full stomach (may ask regional anesthesia to perform) combined with symptom assessment. Decision to proceed should be done on a case-by-case basis.</w:t>
      </w:r>
    </w:p>
    <w:p w14:paraId="4078FD68" w14:textId="5546EAEC" w:rsidR="00280DB9" w:rsidRDefault="00280DB9" w:rsidP="00280DB9">
      <w:pPr>
        <w:rPr>
          <w:rFonts w:ascii="Times New Roman" w:hAnsi="Times New Roman" w:cs="Times New Roman"/>
          <w:b/>
        </w:rPr>
      </w:pPr>
    </w:p>
    <w:p w14:paraId="1CAF366E" w14:textId="1DE1ADF7" w:rsidR="00280DB9" w:rsidRDefault="00280DB9" w:rsidP="00280DB9">
      <w:pPr>
        <w:rPr>
          <w:rFonts w:ascii="Times New Roman" w:hAnsi="Times New Roman" w:cs="Times New Roman"/>
          <w:b/>
        </w:rPr>
      </w:pPr>
      <w:r>
        <w:rPr>
          <w:rFonts w:ascii="Times New Roman" w:hAnsi="Times New Roman" w:cs="Times New Roman"/>
          <w:b/>
        </w:rPr>
        <w:t>COVID history</w:t>
      </w:r>
    </w:p>
    <w:p w14:paraId="1E681F6B" w14:textId="580D35CF" w:rsidR="00F222B0" w:rsidRPr="00F222B0" w:rsidRDefault="00840217" w:rsidP="00F222B0">
      <w:pPr>
        <w:pStyle w:val="ListParagraph"/>
        <w:numPr>
          <w:ilvl w:val="0"/>
          <w:numId w:val="34"/>
        </w:numPr>
        <w:rPr>
          <w:rFonts w:ascii="Times New Roman" w:hAnsi="Times New Roman" w:cs="Times New Roman"/>
          <w:bCs/>
        </w:rPr>
      </w:pPr>
      <w:r>
        <w:rPr>
          <w:rFonts w:ascii="Times New Roman" w:hAnsi="Times New Roman" w:cs="Times New Roman"/>
          <w:bCs/>
        </w:rPr>
        <w:t>Please review the most updated guidelines for UCSD for COVID-related issues. This will be based on a tier-based system and ongoing changes to our pandemic-related guidelines.</w:t>
      </w:r>
    </w:p>
    <w:p w14:paraId="74900834" w14:textId="1419B32B" w:rsidR="00E34F83" w:rsidRDefault="00E34F83" w:rsidP="00E34F83">
      <w:pPr>
        <w:rPr>
          <w:rFonts w:ascii="Times New Roman" w:hAnsi="Times New Roman" w:cs="Times New Roman"/>
        </w:rPr>
      </w:pPr>
    </w:p>
    <w:p w14:paraId="04173DF4" w14:textId="53CD1FC1" w:rsidR="00E34F83" w:rsidRDefault="00E34F83" w:rsidP="00E34F83">
      <w:pPr>
        <w:rPr>
          <w:rFonts w:ascii="Times New Roman" w:hAnsi="Times New Roman" w:cs="Times New Roman"/>
          <w:b/>
          <w:bCs/>
        </w:rPr>
      </w:pPr>
      <w:r>
        <w:rPr>
          <w:rFonts w:ascii="Times New Roman" w:hAnsi="Times New Roman" w:cs="Times New Roman"/>
          <w:b/>
          <w:bCs/>
        </w:rPr>
        <w:lastRenderedPageBreak/>
        <w:t xml:space="preserve">Surgical Case Duration  </w:t>
      </w:r>
    </w:p>
    <w:p w14:paraId="4FDCA57E" w14:textId="5843C58F" w:rsidR="00E34F83" w:rsidRPr="00E34F83" w:rsidRDefault="00BA3507" w:rsidP="00E34F83">
      <w:pPr>
        <w:pStyle w:val="ListParagraph"/>
        <w:numPr>
          <w:ilvl w:val="0"/>
          <w:numId w:val="33"/>
        </w:numPr>
        <w:rPr>
          <w:rFonts w:ascii="Times New Roman" w:hAnsi="Times New Roman" w:cs="Times New Roman"/>
          <w:b/>
          <w:bCs/>
        </w:rPr>
      </w:pPr>
      <w:r>
        <w:rPr>
          <w:rFonts w:ascii="Times New Roman" w:hAnsi="Times New Roman" w:cs="Times New Roman"/>
        </w:rPr>
        <w:t>There is no limit for surgical case duration, however, if anticipated PACU length of stay would go beyond 8pm, then will need to be discussed with anesthesia and nursing.</w:t>
      </w:r>
    </w:p>
    <w:p w14:paraId="247CEF01" w14:textId="4053ABC2" w:rsidR="00E34F83" w:rsidRDefault="00E34F83" w:rsidP="00E34F83">
      <w:pPr>
        <w:rPr>
          <w:rFonts w:ascii="Times New Roman" w:hAnsi="Times New Roman" w:cs="Times New Roman"/>
        </w:rPr>
      </w:pPr>
    </w:p>
    <w:p w14:paraId="64F0F86F" w14:textId="5930E23B" w:rsidR="00E34F83" w:rsidRDefault="00E34F83" w:rsidP="00E34F83">
      <w:pPr>
        <w:rPr>
          <w:rFonts w:ascii="Times New Roman" w:hAnsi="Times New Roman" w:cs="Times New Roman"/>
        </w:rPr>
      </w:pPr>
      <w:r>
        <w:rPr>
          <w:rFonts w:ascii="Times New Roman" w:hAnsi="Times New Roman" w:cs="Times New Roman"/>
          <w:b/>
          <w:bCs/>
        </w:rPr>
        <w:t>ASA Physical Status score</w:t>
      </w:r>
      <w:r>
        <w:rPr>
          <w:rFonts w:ascii="Times New Roman" w:hAnsi="Times New Roman" w:cs="Times New Roman"/>
        </w:rPr>
        <w:t xml:space="preserve"> </w:t>
      </w:r>
    </w:p>
    <w:p w14:paraId="4363D251" w14:textId="7B35C899" w:rsidR="00E34F83" w:rsidRDefault="00E34F83" w:rsidP="00E34F83">
      <w:pPr>
        <w:pStyle w:val="ListParagraph"/>
        <w:numPr>
          <w:ilvl w:val="0"/>
          <w:numId w:val="33"/>
        </w:numPr>
        <w:rPr>
          <w:rFonts w:ascii="Times New Roman" w:hAnsi="Times New Roman" w:cs="Times New Roman"/>
        </w:rPr>
      </w:pPr>
      <w:r>
        <w:rPr>
          <w:rFonts w:ascii="Times New Roman" w:hAnsi="Times New Roman" w:cs="Times New Roman"/>
        </w:rPr>
        <w:t xml:space="preserve">ASA 3 is appropriate as long as comorbidities are </w:t>
      </w:r>
      <w:proofErr w:type="gramStart"/>
      <w:r>
        <w:rPr>
          <w:rFonts w:ascii="Times New Roman" w:hAnsi="Times New Roman" w:cs="Times New Roman"/>
        </w:rPr>
        <w:t>stabilized</w:t>
      </w:r>
      <w:proofErr w:type="gramEnd"/>
    </w:p>
    <w:p w14:paraId="595D99FB" w14:textId="111835EC" w:rsidR="00E34F83" w:rsidRPr="00E34F83" w:rsidRDefault="00E34F83" w:rsidP="00E34F83">
      <w:pPr>
        <w:pStyle w:val="ListParagraph"/>
        <w:numPr>
          <w:ilvl w:val="0"/>
          <w:numId w:val="33"/>
        </w:numPr>
        <w:rPr>
          <w:rFonts w:ascii="Times New Roman" w:hAnsi="Times New Roman" w:cs="Times New Roman"/>
        </w:rPr>
      </w:pPr>
      <w:r>
        <w:rPr>
          <w:rFonts w:ascii="Times New Roman" w:hAnsi="Times New Roman" w:cs="Times New Roman"/>
        </w:rPr>
        <w:t xml:space="preserve">ASA 4 is appropriate for </w:t>
      </w:r>
      <w:proofErr w:type="gramStart"/>
      <w:r>
        <w:rPr>
          <w:rFonts w:ascii="Times New Roman" w:hAnsi="Times New Roman" w:cs="Times New Roman"/>
        </w:rPr>
        <w:t>low risk</w:t>
      </w:r>
      <w:proofErr w:type="gramEnd"/>
      <w:r>
        <w:rPr>
          <w:rFonts w:ascii="Times New Roman" w:hAnsi="Times New Roman" w:cs="Times New Roman"/>
        </w:rPr>
        <w:t xml:space="preserve"> procedures performed under non-general anesthesia (i.e. local, regional anesthesia, sedation) if comorbidities stabilized</w:t>
      </w:r>
    </w:p>
    <w:p w14:paraId="02B3CD30" w14:textId="77777777" w:rsidR="00B95615" w:rsidRPr="00AE3617" w:rsidRDefault="00B95615" w:rsidP="00AE37BA">
      <w:pPr>
        <w:rPr>
          <w:rFonts w:ascii="Times New Roman" w:hAnsi="Times New Roman" w:cs="Times New Roman"/>
        </w:rPr>
      </w:pPr>
    </w:p>
    <w:p w14:paraId="195DE9F5" w14:textId="75A0C2DD" w:rsidR="00CB575D" w:rsidRDefault="00CB575D" w:rsidP="00CB575D">
      <w:pPr>
        <w:rPr>
          <w:rFonts w:ascii="Times New Roman" w:hAnsi="Times New Roman" w:cs="Times New Roman"/>
          <w:b/>
        </w:rPr>
      </w:pPr>
      <w:r w:rsidRPr="00AE3617">
        <w:rPr>
          <w:rFonts w:ascii="Times New Roman" w:hAnsi="Times New Roman" w:cs="Times New Roman"/>
          <w:b/>
        </w:rPr>
        <w:t>Age</w:t>
      </w:r>
    </w:p>
    <w:p w14:paraId="636DC73E" w14:textId="6BA8D44C" w:rsidR="00E34F83" w:rsidRPr="00AE3617" w:rsidRDefault="00E34F83" w:rsidP="00E34F83">
      <w:pPr>
        <w:pStyle w:val="ListParagraph"/>
        <w:numPr>
          <w:ilvl w:val="0"/>
          <w:numId w:val="33"/>
        </w:numPr>
        <w:rPr>
          <w:rStyle w:val="eop"/>
          <w:rFonts w:ascii="Times New Roman" w:hAnsi="Times New Roman" w:cs="Times New Roman"/>
          <w:b/>
          <w:i/>
          <w:u w:val="single"/>
        </w:rPr>
      </w:pPr>
      <w:r w:rsidRPr="00AE3617">
        <w:rPr>
          <w:rStyle w:val="normaltextrun"/>
          <w:rFonts w:ascii="Times New Roman" w:hAnsi="Times New Roman" w:cs="Times New Roman"/>
        </w:rPr>
        <w:t xml:space="preserve">Children </w:t>
      </w:r>
      <w:r>
        <w:rPr>
          <w:rStyle w:val="normaltextrun"/>
          <w:rFonts w:ascii="Times New Roman" w:hAnsi="Times New Roman" w:cs="Times New Roman"/>
        </w:rPr>
        <w:t xml:space="preserve">&lt; 8 years old excluded. All children ≤13 years of age need to be approved by pediatric </w:t>
      </w:r>
      <w:proofErr w:type="gramStart"/>
      <w:r>
        <w:rPr>
          <w:rStyle w:val="normaltextrun"/>
          <w:rFonts w:ascii="Times New Roman" w:hAnsi="Times New Roman" w:cs="Times New Roman"/>
        </w:rPr>
        <w:t>anesthesiology</w:t>
      </w:r>
      <w:proofErr w:type="gramEnd"/>
    </w:p>
    <w:p w14:paraId="33607F63" w14:textId="0DD633BF" w:rsidR="00E34F83" w:rsidRPr="00840217" w:rsidRDefault="00E34F83" w:rsidP="00E34F83">
      <w:pPr>
        <w:pStyle w:val="ListParagraph"/>
        <w:numPr>
          <w:ilvl w:val="0"/>
          <w:numId w:val="33"/>
        </w:numPr>
        <w:rPr>
          <w:rFonts w:ascii="Times New Roman" w:hAnsi="Times New Roman" w:cs="Times New Roman"/>
          <w:b/>
        </w:rPr>
      </w:pPr>
      <w:r>
        <w:rPr>
          <w:rFonts w:ascii="Times New Roman" w:hAnsi="Times New Roman" w:cs="Times New Roman"/>
          <w:bCs/>
        </w:rPr>
        <w:t>There is no exclusion for age in the elderly population</w:t>
      </w:r>
    </w:p>
    <w:p w14:paraId="6D8BEF4A" w14:textId="491B4A00" w:rsidR="00840217" w:rsidRPr="00E34F83" w:rsidRDefault="00840217" w:rsidP="00E34F83">
      <w:pPr>
        <w:pStyle w:val="ListParagraph"/>
        <w:numPr>
          <w:ilvl w:val="0"/>
          <w:numId w:val="33"/>
        </w:numPr>
        <w:rPr>
          <w:rFonts w:ascii="Times New Roman" w:hAnsi="Times New Roman" w:cs="Times New Roman"/>
          <w:b/>
        </w:rPr>
      </w:pPr>
      <w:r>
        <w:rPr>
          <w:rFonts w:ascii="Times New Roman" w:hAnsi="Times New Roman" w:cs="Times New Roman"/>
          <w:bCs/>
        </w:rPr>
        <w:t xml:space="preserve">Patients </w:t>
      </w:r>
      <w:r w:rsidR="002D6FAA">
        <w:rPr>
          <w:rFonts w:ascii="Times New Roman" w:hAnsi="Times New Roman" w:cs="Times New Roman"/>
          <w:bCs/>
        </w:rPr>
        <w:t>≤ 13 years old</w:t>
      </w:r>
      <w:r>
        <w:rPr>
          <w:rFonts w:ascii="Times New Roman" w:hAnsi="Times New Roman" w:cs="Times New Roman"/>
          <w:bCs/>
        </w:rPr>
        <w:t xml:space="preserve"> will be performed by a pediatric anesthesiologist. They will also need to be available/in-house for postoperative recovery.</w:t>
      </w:r>
    </w:p>
    <w:p w14:paraId="44BF9271" w14:textId="0461D0B9" w:rsidR="00E34F83" w:rsidRDefault="00E34F83" w:rsidP="004612C9">
      <w:pPr>
        <w:rPr>
          <w:rFonts w:ascii="Times New Roman" w:hAnsi="Times New Roman" w:cs="Times New Roman"/>
          <w:b/>
        </w:rPr>
      </w:pPr>
    </w:p>
    <w:p w14:paraId="6633D72C" w14:textId="3790EA40" w:rsidR="004612C9" w:rsidRPr="00AE3617" w:rsidRDefault="004612C9" w:rsidP="004612C9">
      <w:pPr>
        <w:rPr>
          <w:rFonts w:ascii="Times New Roman" w:hAnsi="Times New Roman" w:cs="Times New Roman"/>
          <w:b/>
        </w:rPr>
      </w:pPr>
      <w:r w:rsidRPr="00AE3617">
        <w:rPr>
          <w:rFonts w:ascii="Times New Roman" w:hAnsi="Times New Roman" w:cs="Times New Roman"/>
          <w:b/>
        </w:rPr>
        <w:t>Women of childbearing age</w:t>
      </w:r>
    </w:p>
    <w:p w14:paraId="472B4A5E" w14:textId="6EFA4D43" w:rsidR="004612C9" w:rsidRDefault="004612C9" w:rsidP="00E34F83">
      <w:pPr>
        <w:pStyle w:val="ListParagraph"/>
        <w:numPr>
          <w:ilvl w:val="0"/>
          <w:numId w:val="33"/>
        </w:numPr>
        <w:rPr>
          <w:rFonts w:ascii="Times New Roman" w:hAnsi="Times New Roman" w:cs="Times New Roman"/>
        </w:rPr>
      </w:pPr>
      <w:r w:rsidRPr="00E34F83">
        <w:rPr>
          <w:rFonts w:ascii="Times New Roman" w:hAnsi="Times New Roman" w:cs="Times New Roman"/>
        </w:rPr>
        <w:t xml:space="preserve">If patient is pregnant </w:t>
      </w:r>
      <w:r w:rsidR="00CC78EE" w:rsidRPr="00E34F83">
        <w:rPr>
          <w:rFonts w:ascii="Times New Roman" w:hAnsi="Times New Roman" w:cs="Times New Roman"/>
        </w:rPr>
        <w:t>≥</w:t>
      </w:r>
      <w:r w:rsidRPr="00E34F83">
        <w:rPr>
          <w:rFonts w:ascii="Times New Roman" w:hAnsi="Times New Roman" w:cs="Times New Roman"/>
        </w:rPr>
        <w:t xml:space="preserve"> 24 weeks</w:t>
      </w:r>
      <w:r w:rsidR="00CC78EE" w:rsidRPr="00E34F83">
        <w:rPr>
          <w:rFonts w:ascii="Times New Roman" w:hAnsi="Times New Roman" w:cs="Times New Roman"/>
        </w:rPr>
        <w:t xml:space="preserve"> (as they would require fetal monitoring and on-site OB surgeon in the event of a crash c-section needed)</w:t>
      </w:r>
      <w:r w:rsidR="00E34F83">
        <w:rPr>
          <w:rFonts w:ascii="Times New Roman" w:hAnsi="Times New Roman" w:cs="Times New Roman"/>
        </w:rPr>
        <w:t>, they are excluded from KOP</w:t>
      </w:r>
    </w:p>
    <w:p w14:paraId="1372EAD2" w14:textId="403604CA" w:rsidR="00AC74A6" w:rsidRDefault="00AC74A6" w:rsidP="00E34F83">
      <w:pPr>
        <w:pStyle w:val="ListParagraph"/>
        <w:numPr>
          <w:ilvl w:val="0"/>
          <w:numId w:val="33"/>
        </w:numPr>
        <w:rPr>
          <w:rFonts w:ascii="Times New Roman" w:hAnsi="Times New Roman" w:cs="Times New Roman"/>
        </w:rPr>
      </w:pPr>
      <w:r>
        <w:rPr>
          <w:rFonts w:ascii="Times New Roman" w:hAnsi="Times New Roman" w:cs="Times New Roman"/>
        </w:rPr>
        <w:t xml:space="preserve">Patients who are less than 24 weeks now usually receive </w:t>
      </w:r>
      <w:proofErr w:type="gramStart"/>
      <w:r>
        <w:rPr>
          <w:rFonts w:ascii="Times New Roman" w:hAnsi="Times New Roman" w:cs="Times New Roman"/>
        </w:rPr>
        <w:t>pre</w:t>
      </w:r>
      <w:proofErr w:type="gramEnd"/>
      <w:r>
        <w:rPr>
          <w:rFonts w:ascii="Times New Roman" w:hAnsi="Times New Roman" w:cs="Times New Roman"/>
        </w:rPr>
        <w:t xml:space="preserve"> and post-op fetal heart monitoring checks. This is to be performed by L&amp;D nurses. Because they are unavailable to come to KOP, these patients are then performed at the main hospitals. </w:t>
      </w:r>
      <w:r w:rsidRPr="00543B3B">
        <w:rPr>
          <w:rFonts w:ascii="Times New Roman" w:hAnsi="Times New Roman" w:cs="Times New Roman"/>
          <w:u w:val="single"/>
        </w:rPr>
        <w:t>However, if the case is done under local/MAC and it is agreed by OB (and in writing) to forego pre- and postop testing, it can be done at KOP.</w:t>
      </w:r>
    </w:p>
    <w:p w14:paraId="0D6C3C4A" w14:textId="2E3B3537" w:rsidR="00E34F83" w:rsidRDefault="00E34F83" w:rsidP="00E34F83">
      <w:pPr>
        <w:rPr>
          <w:rFonts w:ascii="Times New Roman" w:hAnsi="Times New Roman" w:cs="Times New Roman"/>
        </w:rPr>
      </w:pPr>
    </w:p>
    <w:p w14:paraId="30753A7A" w14:textId="5D3AD1CD" w:rsidR="00E34F83" w:rsidRDefault="00E34F83" w:rsidP="00E34F83">
      <w:pPr>
        <w:rPr>
          <w:rFonts w:ascii="Times New Roman" w:hAnsi="Times New Roman" w:cs="Times New Roman"/>
          <w:b/>
          <w:bCs/>
        </w:rPr>
      </w:pPr>
      <w:r>
        <w:rPr>
          <w:rFonts w:ascii="Times New Roman" w:hAnsi="Times New Roman" w:cs="Times New Roman"/>
          <w:b/>
          <w:bCs/>
        </w:rPr>
        <w:t>Obesity</w:t>
      </w:r>
    </w:p>
    <w:p w14:paraId="348F8622" w14:textId="179A53E6" w:rsidR="00E34F83" w:rsidRDefault="006444C0" w:rsidP="00E34F83">
      <w:pPr>
        <w:pStyle w:val="ListParagraph"/>
        <w:numPr>
          <w:ilvl w:val="0"/>
          <w:numId w:val="33"/>
        </w:numPr>
        <w:rPr>
          <w:rFonts w:ascii="Times New Roman" w:hAnsi="Times New Roman" w:cs="Times New Roman"/>
        </w:rPr>
      </w:pPr>
      <w:r>
        <w:rPr>
          <w:rFonts w:ascii="Times New Roman" w:hAnsi="Times New Roman" w:cs="Times New Roman"/>
        </w:rPr>
        <w:t>No exclusion, however, will be addressed on case-by-case basis if BMI &gt;40kg/m</w:t>
      </w:r>
      <w:r w:rsidRPr="006444C0">
        <w:rPr>
          <w:rFonts w:ascii="Times New Roman" w:hAnsi="Times New Roman" w:cs="Times New Roman"/>
          <w:vertAlign w:val="superscript"/>
        </w:rPr>
        <w:t>2</w:t>
      </w:r>
      <w:r>
        <w:rPr>
          <w:rFonts w:ascii="Times New Roman" w:hAnsi="Times New Roman" w:cs="Times New Roman"/>
        </w:rPr>
        <w:t>:</w:t>
      </w:r>
    </w:p>
    <w:p w14:paraId="4CAF117C" w14:textId="11D3872B" w:rsidR="006444C0" w:rsidRDefault="006444C0" w:rsidP="006444C0">
      <w:pPr>
        <w:pStyle w:val="ListParagraph"/>
        <w:numPr>
          <w:ilvl w:val="1"/>
          <w:numId w:val="33"/>
        </w:numPr>
        <w:rPr>
          <w:rFonts w:ascii="Times New Roman" w:hAnsi="Times New Roman" w:cs="Times New Roman"/>
        </w:rPr>
      </w:pPr>
      <w:r>
        <w:rPr>
          <w:rFonts w:ascii="Times New Roman" w:hAnsi="Times New Roman" w:cs="Times New Roman"/>
        </w:rPr>
        <w:t xml:space="preserve">BMI 40 – 50: as long </w:t>
      </w:r>
      <w:r w:rsidR="00A47F0F">
        <w:rPr>
          <w:rFonts w:ascii="Times New Roman" w:hAnsi="Times New Roman" w:cs="Times New Roman"/>
        </w:rPr>
        <w:t xml:space="preserve">as </w:t>
      </w:r>
      <w:r>
        <w:rPr>
          <w:rFonts w:ascii="Times New Roman" w:hAnsi="Times New Roman" w:cs="Times New Roman"/>
        </w:rPr>
        <w:t>comorbidities optimized</w:t>
      </w:r>
    </w:p>
    <w:p w14:paraId="7D18FB52" w14:textId="1828DF06" w:rsidR="006444C0" w:rsidRDefault="006444C0" w:rsidP="006444C0">
      <w:pPr>
        <w:pStyle w:val="ListParagraph"/>
        <w:numPr>
          <w:ilvl w:val="1"/>
          <w:numId w:val="33"/>
        </w:numPr>
        <w:rPr>
          <w:rFonts w:ascii="Times New Roman" w:hAnsi="Times New Roman" w:cs="Times New Roman"/>
        </w:rPr>
      </w:pPr>
      <w:r>
        <w:rPr>
          <w:rFonts w:ascii="Times New Roman" w:hAnsi="Times New Roman" w:cs="Times New Roman"/>
        </w:rPr>
        <w:t>BMI 50</w:t>
      </w:r>
      <w:r w:rsidR="002D6FAA">
        <w:rPr>
          <w:rFonts w:ascii="Times New Roman" w:hAnsi="Times New Roman" w:cs="Times New Roman"/>
        </w:rPr>
        <w:t xml:space="preserve"> - 60</w:t>
      </w:r>
      <w:r>
        <w:rPr>
          <w:rFonts w:ascii="Times New Roman" w:hAnsi="Times New Roman" w:cs="Times New Roman"/>
        </w:rPr>
        <w:t>: okay for low-risk procedures in absence of severe cardiopulmonary comorbidities</w:t>
      </w:r>
    </w:p>
    <w:p w14:paraId="1A0E6DEB" w14:textId="37FB63D1" w:rsidR="002D6FAA" w:rsidRDefault="002D6FAA" w:rsidP="006444C0">
      <w:pPr>
        <w:pStyle w:val="ListParagraph"/>
        <w:numPr>
          <w:ilvl w:val="1"/>
          <w:numId w:val="33"/>
        </w:numPr>
        <w:rPr>
          <w:rFonts w:ascii="Times New Roman" w:hAnsi="Times New Roman" w:cs="Times New Roman"/>
        </w:rPr>
      </w:pPr>
      <w:r>
        <w:rPr>
          <w:rFonts w:ascii="Times New Roman" w:hAnsi="Times New Roman" w:cs="Times New Roman"/>
        </w:rPr>
        <w:t>BMI &gt; 60: consider likely not appropriate</w:t>
      </w:r>
    </w:p>
    <w:p w14:paraId="10513CE5" w14:textId="358BDFA8" w:rsidR="006444C0" w:rsidRDefault="006444C0" w:rsidP="006444C0">
      <w:pPr>
        <w:rPr>
          <w:rFonts w:ascii="Times New Roman" w:hAnsi="Times New Roman" w:cs="Times New Roman"/>
        </w:rPr>
      </w:pPr>
    </w:p>
    <w:p w14:paraId="520FEF7F" w14:textId="0B4431AA" w:rsidR="006444C0" w:rsidRDefault="006444C0" w:rsidP="006444C0">
      <w:pPr>
        <w:rPr>
          <w:rFonts w:ascii="Times New Roman" w:hAnsi="Times New Roman" w:cs="Times New Roman"/>
        </w:rPr>
      </w:pPr>
      <w:r>
        <w:rPr>
          <w:rFonts w:ascii="Times New Roman" w:hAnsi="Times New Roman" w:cs="Times New Roman"/>
          <w:b/>
          <w:bCs/>
        </w:rPr>
        <w:t>Obstructive Sleep Apnea</w:t>
      </w:r>
    </w:p>
    <w:p w14:paraId="52320C71" w14:textId="396B3F33" w:rsidR="006444C0" w:rsidRDefault="006444C0" w:rsidP="006444C0">
      <w:pPr>
        <w:pStyle w:val="ListParagraph"/>
        <w:numPr>
          <w:ilvl w:val="0"/>
          <w:numId w:val="33"/>
        </w:numPr>
        <w:rPr>
          <w:rFonts w:ascii="Times New Roman" w:hAnsi="Times New Roman" w:cs="Times New Roman"/>
        </w:rPr>
      </w:pPr>
      <w:r>
        <w:rPr>
          <w:rFonts w:ascii="Times New Roman" w:hAnsi="Times New Roman" w:cs="Times New Roman"/>
        </w:rPr>
        <w:t>Not an absolute exclusion, however, patients with OSA are screened on a case-by-case basis. This will be dependent on patients’ home care situation and expected pain from surgery</w:t>
      </w:r>
    </w:p>
    <w:p w14:paraId="090DFDD5" w14:textId="74B8DB83" w:rsidR="006444C0" w:rsidRDefault="006444C0" w:rsidP="006444C0">
      <w:pPr>
        <w:pStyle w:val="ListParagraph"/>
        <w:numPr>
          <w:ilvl w:val="0"/>
          <w:numId w:val="33"/>
        </w:numPr>
        <w:rPr>
          <w:rFonts w:ascii="Times New Roman" w:hAnsi="Times New Roman" w:cs="Times New Roman"/>
        </w:rPr>
      </w:pPr>
      <w:r>
        <w:rPr>
          <w:rFonts w:ascii="Times New Roman" w:hAnsi="Times New Roman" w:cs="Times New Roman"/>
        </w:rPr>
        <w:t xml:space="preserve">Preoperative sleep study is NOT required </w:t>
      </w:r>
    </w:p>
    <w:p w14:paraId="72CA252D" w14:textId="40B9B32D" w:rsidR="006444C0" w:rsidRDefault="006444C0" w:rsidP="006444C0">
      <w:pPr>
        <w:pStyle w:val="ListParagraph"/>
        <w:numPr>
          <w:ilvl w:val="0"/>
          <w:numId w:val="33"/>
        </w:numPr>
        <w:rPr>
          <w:rFonts w:ascii="Times New Roman" w:hAnsi="Times New Roman" w:cs="Times New Roman"/>
        </w:rPr>
      </w:pPr>
      <w:r>
        <w:rPr>
          <w:rFonts w:ascii="Times New Roman" w:hAnsi="Times New Roman" w:cs="Times New Roman"/>
        </w:rPr>
        <w:t>Patients compliant with CPAP are encouraged to continue usage</w:t>
      </w:r>
      <w:r w:rsidR="00840217">
        <w:rPr>
          <w:rFonts w:ascii="Times New Roman" w:hAnsi="Times New Roman" w:cs="Times New Roman"/>
        </w:rPr>
        <w:t>. They are encouraged to bring their device with them in the case it would be beneficial for them to use it in the PACU. It is okay for patients to use their home CPAP machine at UCSD without the need for biomed clearance.</w:t>
      </w:r>
    </w:p>
    <w:p w14:paraId="07CAD370" w14:textId="6D6C296A" w:rsidR="00F0381A" w:rsidRPr="006444C0" w:rsidRDefault="00F0381A" w:rsidP="006444C0">
      <w:pPr>
        <w:pStyle w:val="ListParagraph"/>
        <w:numPr>
          <w:ilvl w:val="0"/>
          <w:numId w:val="33"/>
        </w:numPr>
        <w:rPr>
          <w:rFonts w:ascii="Times New Roman" w:hAnsi="Times New Roman" w:cs="Times New Roman"/>
        </w:rPr>
      </w:pPr>
      <w:r>
        <w:rPr>
          <w:rFonts w:ascii="Times New Roman" w:hAnsi="Times New Roman" w:cs="Times New Roman"/>
        </w:rPr>
        <w:t>Patients with OSA should be scheduled as early in the day as possible</w:t>
      </w:r>
    </w:p>
    <w:p w14:paraId="62D0D9C7" w14:textId="62645E71" w:rsidR="00CB575D" w:rsidRDefault="00CB575D" w:rsidP="00AE37BA">
      <w:pPr>
        <w:rPr>
          <w:rFonts w:ascii="Times New Roman" w:hAnsi="Times New Roman" w:cs="Times New Roman"/>
        </w:rPr>
      </w:pPr>
    </w:p>
    <w:p w14:paraId="3F8809DD" w14:textId="0FFB1C73" w:rsidR="006444C0" w:rsidRDefault="006444C0" w:rsidP="00AE37BA">
      <w:pPr>
        <w:rPr>
          <w:rFonts w:ascii="Times New Roman" w:hAnsi="Times New Roman" w:cs="Times New Roman"/>
          <w:b/>
          <w:bCs/>
        </w:rPr>
      </w:pPr>
      <w:r>
        <w:rPr>
          <w:rFonts w:ascii="Times New Roman" w:hAnsi="Times New Roman" w:cs="Times New Roman"/>
          <w:b/>
          <w:bCs/>
        </w:rPr>
        <w:t>Cardiac Disease</w:t>
      </w:r>
    </w:p>
    <w:p w14:paraId="2F7F1BEE" w14:textId="410B2672" w:rsidR="006444C0" w:rsidRDefault="006444C0" w:rsidP="006444C0">
      <w:pPr>
        <w:pStyle w:val="ListParagraph"/>
        <w:numPr>
          <w:ilvl w:val="0"/>
          <w:numId w:val="33"/>
        </w:numPr>
        <w:rPr>
          <w:rFonts w:ascii="Times New Roman" w:hAnsi="Times New Roman" w:cs="Times New Roman"/>
        </w:rPr>
      </w:pPr>
      <w:r>
        <w:rPr>
          <w:rFonts w:ascii="Times New Roman" w:hAnsi="Times New Roman" w:cs="Times New Roman"/>
        </w:rPr>
        <w:t>Asymptomatic cardiac patients – who are optimized – do not require cardiac testing</w:t>
      </w:r>
    </w:p>
    <w:p w14:paraId="63CEC3B2" w14:textId="258A5EE0" w:rsidR="006444C0" w:rsidRDefault="006444C0" w:rsidP="006444C0">
      <w:pPr>
        <w:pStyle w:val="ListParagraph"/>
        <w:numPr>
          <w:ilvl w:val="0"/>
          <w:numId w:val="33"/>
        </w:numPr>
        <w:rPr>
          <w:rFonts w:ascii="Times New Roman" w:hAnsi="Times New Roman" w:cs="Times New Roman"/>
        </w:rPr>
      </w:pPr>
      <w:r>
        <w:rPr>
          <w:rFonts w:ascii="Times New Roman" w:hAnsi="Times New Roman" w:cs="Times New Roman"/>
        </w:rPr>
        <w:lastRenderedPageBreak/>
        <w:t xml:space="preserve">Surgery </w:t>
      </w:r>
      <w:r w:rsidRPr="00F0381A">
        <w:rPr>
          <w:rFonts w:ascii="Times New Roman" w:hAnsi="Times New Roman" w:cs="Times New Roman"/>
        </w:rPr>
        <w:t>should not be postponed solely on blood pressure values</w:t>
      </w:r>
      <w:r>
        <w:rPr>
          <w:rFonts w:ascii="Times New Roman" w:hAnsi="Times New Roman" w:cs="Times New Roman"/>
        </w:rPr>
        <w:t xml:space="preserve"> unless patient has malignant hypertension (diastolic BP &gt;110mHg) with signs of acute end-organ damage</w:t>
      </w:r>
    </w:p>
    <w:p w14:paraId="48667C29" w14:textId="6E300478" w:rsidR="006444C0" w:rsidRDefault="006444C0" w:rsidP="006444C0">
      <w:pPr>
        <w:pStyle w:val="ListParagraph"/>
        <w:numPr>
          <w:ilvl w:val="0"/>
          <w:numId w:val="33"/>
        </w:numPr>
        <w:rPr>
          <w:rFonts w:ascii="Times New Roman" w:hAnsi="Times New Roman" w:cs="Times New Roman"/>
        </w:rPr>
      </w:pPr>
      <w:r>
        <w:rPr>
          <w:rFonts w:ascii="Times New Roman" w:hAnsi="Times New Roman" w:cs="Times New Roman"/>
        </w:rPr>
        <w:t>Exclude if patient had myocardial infarction least than 30 days ago</w:t>
      </w:r>
    </w:p>
    <w:p w14:paraId="4328689A" w14:textId="1F652916" w:rsidR="006444C0" w:rsidRDefault="006444C0" w:rsidP="006444C0">
      <w:pPr>
        <w:pStyle w:val="ListParagraph"/>
        <w:numPr>
          <w:ilvl w:val="0"/>
          <w:numId w:val="33"/>
        </w:numPr>
        <w:rPr>
          <w:rFonts w:ascii="Times New Roman" w:hAnsi="Times New Roman" w:cs="Times New Roman"/>
        </w:rPr>
      </w:pPr>
      <w:r>
        <w:rPr>
          <w:rFonts w:ascii="Times New Roman" w:hAnsi="Times New Roman" w:cs="Times New Roman"/>
        </w:rPr>
        <w:t>Patients with decompensated, new onset, or untreated heart failure as well as symptomatic patients with low left ventricular ejection fraction (&lt;35%) are excluded</w:t>
      </w:r>
    </w:p>
    <w:p w14:paraId="06E5E752" w14:textId="07DDE175" w:rsidR="006444C0" w:rsidRDefault="006444C0" w:rsidP="006444C0">
      <w:pPr>
        <w:pStyle w:val="ListParagraph"/>
        <w:numPr>
          <w:ilvl w:val="0"/>
          <w:numId w:val="33"/>
        </w:numPr>
        <w:rPr>
          <w:rFonts w:ascii="Times New Roman" w:hAnsi="Times New Roman" w:cs="Times New Roman"/>
        </w:rPr>
      </w:pPr>
      <w:r>
        <w:rPr>
          <w:rFonts w:ascii="Times New Roman" w:hAnsi="Times New Roman" w:cs="Times New Roman"/>
        </w:rPr>
        <w:t>Patients with symptomatic (</w:t>
      </w:r>
      <w:proofErr w:type="gramStart"/>
      <w:r>
        <w:rPr>
          <w:rFonts w:ascii="Times New Roman" w:hAnsi="Times New Roman" w:cs="Times New Roman"/>
        </w:rPr>
        <w:t>i.e.</w:t>
      </w:r>
      <w:proofErr w:type="gramEnd"/>
      <w:r>
        <w:rPr>
          <w:rFonts w:ascii="Times New Roman" w:hAnsi="Times New Roman" w:cs="Times New Roman"/>
        </w:rPr>
        <w:t xml:space="preserve"> fatigue, dizziness, syncope, palpitations, chest pain, dyspnea) new onset atrial fibrillation (or other similar arrythmia) are to be excluded</w:t>
      </w:r>
    </w:p>
    <w:p w14:paraId="661EF18F" w14:textId="6FA5E80F" w:rsidR="006444C0" w:rsidRDefault="006444C0" w:rsidP="006444C0">
      <w:pPr>
        <w:pStyle w:val="ListParagraph"/>
        <w:numPr>
          <w:ilvl w:val="0"/>
          <w:numId w:val="33"/>
        </w:numPr>
        <w:rPr>
          <w:rFonts w:ascii="Times New Roman" w:hAnsi="Times New Roman" w:cs="Times New Roman"/>
        </w:rPr>
      </w:pPr>
      <w:r>
        <w:rPr>
          <w:rFonts w:ascii="Times New Roman" w:hAnsi="Times New Roman" w:cs="Times New Roman"/>
        </w:rPr>
        <w:t>Patients with severe valve disease (</w:t>
      </w:r>
      <w:proofErr w:type="gramStart"/>
      <w:r>
        <w:rPr>
          <w:rFonts w:ascii="Times New Roman" w:hAnsi="Times New Roman" w:cs="Times New Roman"/>
        </w:rPr>
        <w:t>i.e.</w:t>
      </w:r>
      <w:proofErr w:type="gramEnd"/>
      <w:r>
        <w:rPr>
          <w:rFonts w:ascii="Times New Roman" w:hAnsi="Times New Roman" w:cs="Times New Roman"/>
        </w:rPr>
        <w:t xml:space="preserve"> severe aortic stenosis) are excluded unless low-risk procedure not requiring general anesthesia</w:t>
      </w:r>
    </w:p>
    <w:p w14:paraId="4AC48D0C" w14:textId="01F4CB13" w:rsidR="006444C0" w:rsidRDefault="006444C0" w:rsidP="006444C0">
      <w:pPr>
        <w:pStyle w:val="ListParagraph"/>
        <w:numPr>
          <w:ilvl w:val="0"/>
          <w:numId w:val="33"/>
        </w:numPr>
        <w:rPr>
          <w:rFonts w:ascii="Times New Roman" w:hAnsi="Times New Roman" w:cs="Times New Roman"/>
        </w:rPr>
      </w:pPr>
      <w:r>
        <w:rPr>
          <w:rFonts w:ascii="Times New Roman" w:hAnsi="Times New Roman" w:cs="Times New Roman"/>
        </w:rPr>
        <w:t>Patients with coronary stents are suitable if comorbidity burden is low, sufficient time has elapsed since stent implantation (30 days for bare metal stent, 6 months for newer drug-eluting stent, or 12 months for older drug-eluting stent)</w:t>
      </w:r>
      <w:r w:rsidR="008D2BA5">
        <w:rPr>
          <w:rFonts w:ascii="Times New Roman" w:hAnsi="Times New Roman" w:cs="Times New Roman"/>
        </w:rPr>
        <w:t xml:space="preserve"> allowing time to interrupt dual anti-platelet therapy, or patient has transitioned to a state of stable ischemic coronary disease.</w:t>
      </w:r>
    </w:p>
    <w:p w14:paraId="271F574B" w14:textId="26B7E776" w:rsidR="00F0381A" w:rsidRPr="00F0381A" w:rsidRDefault="00F0381A" w:rsidP="00F0381A">
      <w:pPr>
        <w:pStyle w:val="ListParagraph"/>
        <w:numPr>
          <w:ilvl w:val="1"/>
          <w:numId w:val="33"/>
        </w:numPr>
        <w:rPr>
          <w:rFonts w:ascii="Times New Roman" w:hAnsi="Times New Roman" w:cs="Times New Roman"/>
        </w:rPr>
      </w:pPr>
      <w:r w:rsidRPr="00F0381A">
        <w:rPr>
          <w:rFonts w:ascii="Times New Roman" w:hAnsi="Times New Roman" w:cs="Times New Roman"/>
        </w:rPr>
        <w:t>Patients who are on Dual anti-platelet therapy and do not have increased risk factors for stent thrombosis can discontinue their Plavix/Pradaxa/</w:t>
      </w:r>
      <w:proofErr w:type="spellStart"/>
      <w:r w:rsidRPr="00F0381A">
        <w:rPr>
          <w:rFonts w:ascii="Times New Roman" w:hAnsi="Times New Roman" w:cs="Times New Roman"/>
        </w:rPr>
        <w:t>etc</w:t>
      </w:r>
      <w:proofErr w:type="spellEnd"/>
      <w:r w:rsidRPr="00F0381A">
        <w:rPr>
          <w:rFonts w:ascii="Times New Roman" w:hAnsi="Times New Roman" w:cs="Times New Roman"/>
        </w:rPr>
        <w:t xml:space="preserve"> and remain on aspirin ONLY with permission from cardiologist</w:t>
      </w:r>
    </w:p>
    <w:p w14:paraId="26D29236" w14:textId="3AFEE0E2" w:rsidR="008D2BA5" w:rsidRDefault="008D2BA5" w:rsidP="006444C0">
      <w:pPr>
        <w:pStyle w:val="ListParagraph"/>
        <w:numPr>
          <w:ilvl w:val="0"/>
          <w:numId w:val="33"/>
        </w:numPr>
        <w:rPr>
          <w:rFonts w:ascii="Times New Roman" w:hAnsi="Times New Roman" w:cs="Times New Roman"/>
        </w:rPr>
      </w:pPr>
      <w:r>
        <w:rPr>
          <w:rFonts w:ascii="Times New Roman" w:hAnsi="Times New Roman" w:cs="Times New Roman"/>
        </w:rPr>
        <w:t>Electronic implantable device</w:t>
      </w:r>
      <w:r w:rsidR="005069CB">
        <w:rPr>
          <w:rFonts w:ascii="Times New Roman" w:hAnsi="Times New Roman" w:cs="Times New Roman"/>
        </w:rPr>
        <w:t xml:space="preserve"> (</w:t>
      </w:r>
      <w:proofErr w:type="gramStart"/>
      <w:r w:rsidR="005069CB">
        <w:rPr>
          <w:rFonts w:ascii="Times New Roman" w:hAnsi="Times New Roman" w:cs="Times New Roman"/>
        </w:rPr>
        <w:t>i.e.</w:t>
      </w:r>
      <w:proofErr w:type="gramEnd"/>
      <w:r w:rsidR="005069CB">
        <w:rPr>
          <w:rFonts w:ascii="Times New Roman" w:hAnsi="Times New Roman" w:cs="Times New Roman"/>
        </w:rPr>
        <w:t xml:space="preserve"> ICD, pacemaker) – these patients are appropriate if potential for electromagnetic interference is low (i.e. proximity to surgical field), devices have been appropriately interrogated, and there is a plan for intraoperative and postoperative programming. </w:t>
      </w:r>
      <w:proofErr w:type="gramStart"/>
      <w:r w:rsidR="005069CB">
        <w:rPr>
          <w:rFonts w:ascii="Times New Roman" w:hAnsi="Times New Roman" w:cs="Times New Roman"/>
        </w:rPr>
        <w:t>In regards to</w:t>
      </w:r>
      <w:proofErr w:type="gramEnd"/>
      <w:r w:rsidR="005069CB">
        <w:rPr>
          <w:rFonts w:ascii="Times New Roman" w:hAnsi="Times New Roman" w:cs="Times New Roman"/>
        </w:rPr>
        <w:t xml:space="preserve"> ICD, this will be on a case-by-case basis dependent on the surgical procedure and underlying heart disease</w:t>
      </w:r>
      <w:r w:rsidR="002D6FAA">
        <w:rPr>
          <w:rFonts w:ascii="Times New Roman" w:hAnsi="Times New Roman" w:cs="Times New Roman"/>
        </w:rPr>
        <w:t xml:space="preserve"> (i.e. ICD for severe heart failure likely not a candidate; ICD for rare </w:t>
      </w:r>
      <w:proofErr w:type="spellStart"/>
      <w:r w:rsidR="002D6FAA">
        <w:rPr>
          <w:rFonts w:ascii="Times New Roman" w:hAnsi="Times New Roman" w:cs="Times New Roman"/>
        </w:rPr>
        <w:t>Vtach</w:t>
      </w:r>
      <w:proofErr w:type="spellEnd"/>
      <w:r w:rsidR="002D6FAA">
        <w:rPr>
          <w:rFonts w:ascii="Times New Roman" w:hAnsi="Times New Roman" w:cs="Times New Roman"/>
        </w:rPr>
        <w:t xml:space="preserve"> could be appropriate)</w:t>
      </w:r>
      <w:r w:rsidR="005069CB">
        <w:rPr>
          <w:rFonts w:ascii="Times New Roman" w:hAnsi="Times New Roman" w:cs="Times New Roman"/>
        </w:rPr>
        <w:t>.</w:t>
      </w:r>
    </w:p>
    <w:p w14:paraId="5F060116" w14:textId="115EA6EE" w:rsidR="00BA3507" w:rsidRDefault="00BA3507" w:rsidP="006444C0">
      <w:pPr>
        <w:pStyle w:val="ListParagraph"/>
        <w:numPr>
          <w:ilvl w:val="0"/>
          <w:numId w:val="33"/>
        </w:numPr>
        <w:rPr>
          <w:rFonts w:ascii="Times New Roman" w:hAnsi="Times New Roman" w:cs="Times New Roman"/>
        </w:rPr>
      </w:pPr>
      <w:r>
        <w:rPr>
          <w:rFonts w:ascii="Times New Roman" w:hAnsi="Times New Roman" w:cs="Times New Roman"/>
        </w:rPr>
        <w:t>Patients with severe coronary artery disease and positive stress test with no further recommendations from cardiology for intervention, then case must be discussed with anesthesia. Appropriateness for KOP will depend on functional status and the required level of anesthesia.</w:t>
      </w:r>
    </w:p>
    <w:p w14:paraId="67AF0545" w14:textId="0A4B0199" w:rsidR="005069CB" w:rsidRDefault="005069CB" w:rsidP="005069CB">
      <w:pPr>
        <w:rPr>
          <w:rFonts w:ascii="Times New Roman" w:hAnsi="Times New Roman" w:cs="Times New Roman"/>
          <w:b/>
          <w:bCs/>
        </w:rPr>
      </w:pPr>
    </w:p>
    <w:p w14:paraId="7A88FA9C" w14:textId="0EFD3D0B" w:rsidR="005069CB" w:rsidRDefault="005069CB" w:rsidP="005069CB">
      <w:pPr>
        <w:rPr>
          <w:rFonts w:ascii="Times New Roman" w:hAnsi="Times New Roman" w:cs="Times New Roman"/>
          <w:b/>
          <w:bCs/>
        </w:rPr>
      </w:pPr>
      <w:r>
        <w:rPr>
          <w:rFonts w:ascii="Times New Roman" w:hAnsi="Times New Roman" w:cs="Times New Roman"/>
          <w:b/>
          <w:bCs/>
        </w:rPr>
        <w:t>Pulmonary Disease</w:t>
      </w:r>
    </w:p>
    <w:p w14:paraId="241B7B48" w14:textId="089509CD" w:rsidR="005069CB" w:rsidRDefault="005069CB" w:rsidP="005069CB">
      <w:pPr>
        <w:pStyle w:val="ListParagraph"/>
        <w:numPr>
          <w:ilvl w:val="0"/>
          <w:numId w:val="33"/>
        </w:numPr>
        <w:rPr>
          <w:rFonts w:ascii="Times New Roman" w:hAnsi="Times New Roman" w:cs="Times New Roman"/>
        </w:rPr>
      </w:pPr>
      <w:r>
        <w:rPr>
          <w:rFonts w:ascii="Times New Roman" w:hAnsi="Times New Roman" w:cs="Times New Roman"/>
        </w:rPr>
        <w:t xml:space="preserve">Patients with </w:t>
      </w:r>
      <w:r w:rsidRPr="001451E8">
        <w:rPr>
          <w:rFonts w:ascii="Times New Roman" w:hAnsi="Times New Roman" w:cs="Times New Roman"/>
          <w:u w:val="single"/>
        </w:rPr>
        <w:t>severe</w:t>
      </w:r>
      <w:r>
        <w:rPr>
          <w:rFonts w:ascii="Times New Roman" w:hAnsi="Times New Roman" w:cs="Times New Roman"/>
        </w:rPr>
        <w:t xml:space="preserve"> chronic obstructive pulmonary disease (COPD)</w:t>
      </w:r>
      <w:r w:rsidR="00F0381A">
        <w:rPr>
          <w:rFonts w:ascii="Times New Roman" w:hAnsi="Times New Roman" w:cs="Times New Roman"/>
        </w:rPr>
        <w:t xml:space="preserve"> or asthma</w:t>
      </w:r>
      <w:r>
        <w:rPr>
          <w:rFonts w:ascii="Times New Roman" w:hAnsi="Times New Roman" w:cs="Times New Roman"/>
        </w:rPr>
        <w:t xml:space="preserve"> are to be excluded</w:t>
      </w:r>
      <w:r w:rsidR="00840217">
        <w:rPr>
          <w:rFonts w:ascii="Times New Roman" w:hAnsi="Times New Roman" w:cs="Times New Roman"/>
        </w:rPr>
        <w:t xml:space="preserve"> for most surgeries, unless </w:t>
      </w:r>
      <w:r w:rsidR="00177B05">
        <w:rPr>
          <w:rFonts w:ascii="Times New Roman" w:hAnsi="Times New Roman" w:cs="Times New Roman"/>
        </w:rPr>
        <w:t xml:space="preserve">it is a </w:t>
      </w:r>
      <w:proofErr w:type="gramStart"/>
      <w:r w:rsidR="00177B05">
        <w:rPr>
          <w:rFonts w:ascii="Times New Roman" w:hAnsi="Times New Roman" w:cs="Times New Roman"/>
        </w:rPr>
        <w:t>low risk</w:t>
      </w:r>
      <w:proofErr w:type="gramEnd"/>
      <w:r w:rsidR="00177B05">
        <w:rPr>
          <w:rFonts w:ascii="Times New Roman" w:hAnsi="Times New Roman" w:cs="Times New Roman"/>
        </w:rPr>
        <w:t xml:space="preserve"> procedure that will not require airway manipulation</w:t>
      </w:r>
      <w:r>
        <w:rPr>
          <w:rFonts w:ascii="Times New Roman" w:hAnsi="Times New Roman" w:cs="Times New Roman"/>
        </w:rPr>
        <w:t xml:space="preserve">. </w:t>
      </w:r>
    </w:p>
    <w:p w14:paraId="532C14F9" w14:textId="1AA983E4" w:rsidR="00841E59" w:rsidRDefault="00841E59" w:rsidP="005069CB">
      <w:pPr>
        <w:pStyle w:val="ListParagraph"/>
        <w:numPr>
          <w:ilvl w:val="0"/>
          <w:numId w:val="33"/>
        </w:numPr>
        <w:rPr>
          <w:rFonts w:ascii="Times New Roman" w:hAnsi="Times New Roman" w:cs="Times New Roman"/>
        </w:rPr>
      </w:pPr>
      <w:r>
        <w:rPr>
          <w:rFonts w:ascii="Times New Roman" w:hAnsi="Times New Roman" w:cs="Times New Roman"/>
        </w:rPr>
        <w:t>Patients using home oxygen scheduled under GA should be excluded</w:t>
      </w:r>
      <w:r w:rsidR="00F323D9">
        <w:rPr>
          <w:rFonts w:ascii="Times New Roman" w:hAnsi="Times New Roman" w:cs="Times New Roman"/>
        </w:rPr>
        <w:t>. Patients that will be done under regional and/or MAC should bring their home oxygen and be considered case-by-case.</w:t>
      </w:r>
    </w:p>
    <w:p w14:paraId="418EA6C2" w14:textId="42101A8A" w:rsidR="00F323D9" w:rsidRDefault="00F323D9" w:rsidP="00F323D9">
      <w:pPr>
        <w:pStyle w:val="ListParagraph"/>
        <w:numPr>
          <w:ilvl w:val="1"/>
          <w:numId w:val="33"/>
        </w:numPr>
        <w:rPr>
          <w:rFonts w:ascii="Times New Roman" w:hAnsi="Times New Roman" w:cs="Times New Roman"/>
        </w:rPr>
      </w:pPr>
      <w:r>
        <w:rPr>
          <w:rFonts w:ascii="Times New Roman" w:hAnsi="Times New Roman" w:cs="Times New Roman"/>
        </w:rPr>
        <w:t>If allowed to proceed, patients should be instructed to bring their home oxygen</w:t>
      </w:r>
    </w:p>
    <w:p w14:paraId="13959FA0" w14:textId="46E5554E" w:rsidR="00F0381A" w:rsidRDefault="00F0381A" w:rsidP="00F0381A">
      <w:pPr>
        <w:pStyle w:val="ListParagraph"/>
        <w:numPr>
          <w:ilvl w:val="0"/>
          <w:numId w:val="33"/>
        </w:numPr>
        <w:rPr>
          <w:rFonts w:ascii="Times New Roman" w:hAnsi="Times New Roman" w:cs="Times New Roman"/>
        </w:rPr>
      </w:pPr>
      <w:r w:rsidRPr="00AE3617">
        <w:rPr>
          <w:rFonts w:ascii="Times New Roman" w:hAnsi="Times New Roman" w:cs="Times New Roman"/>
        </w:rPr>
        <w:t>Pulmonary HTN patients – generally those with severe pulmonary artery pressure will be excluded</w:t>
      </w:r>
      <w:r w:rsidR="00177B05">
        <w:rPr>
          <w:rFonts w:ascii="Times New Roman" w:hAnsi="Times New Roman" w:cs="Times New Roman"/>
        </w:rPr>
        <w:t xml:space="preserve">, unless it is a </w:t>
      </w:r>
      <w:proofErr w:type="gramStart"/>
      <w:r w:rsidR="00177B05">
        <w:rPr>
          <w:rFonts w:ascii="Times New Roman" w:hAnsi="Times New Roman" w:cs="Times New Roman"/>
        </w:rPr>
        <w:t>low risk</w:t>
      </w:r>
      <w:proofErr w:type="gramEnd"/>
      <w:r w:rsidR="00177B05">
        <w:rPr>
          <w:rFonts w:ascii="Times New Roman" w:hAnsi="Times New Roman" w:cs="Times New Roman"/>
        </w:rPr>
        <w:t xml:space="preserve"> procedure that will not require airway manipulation</w:t>
      </w:r>
      <w:r w:rsidRPr="00AE3617">
        <w:rPr>
          <w:rFonts w:ascii="Times New Roman" w:hAnsi="Times New Roman" w:cs="Times New Roman"/>
        </w:rPr>
        <w:t xml:space="preserve">. </w:t>
      </w:r>
    </w:p>
    <w:p w14:paraId="5638D276" w14:textId="5CEEE0DE" w:rsidR="00F0381A" w:rsidRPr="00F0381A" w:rsidRDefault="00F0381A" w:rsidP="00F0381A">
      <w:pPr>
        <w:pStyle w:val="ListParagraph"/>
        <w:numPr>
          <w:ilvl w:val="0"/>
          <w:numId w:val="33"/>
        </w:numPr>
        <w:rPr>
          <w:rFonts w:ascii="Times New Roman" w:hAnsi="Times New Roman" w:cs="Times New Roman"/>
        </w:rPr>
      </w:pPr>
      <w:r w:rsidRPr="00AE3617">
        <w:rPr>
          <w:rFonts w:ascii="Times New Roman" w:hAnsi="Times New Roman" w:cs="Times New Roman"/>
        </w:rPr>
        <w:t xml:space="preserve">Patient w/ history </w:t>
      </w:r>
      <w:proofErr w:type="gramStart"/>
      <w:r w:rsidRPr="00AE3617">
        <w:rPr>
          <w:rFonts w:ascii="Times New Roman" w:hAnsi="Times New Roman" w:cs="Times New Roman"/>
        </w:rPr>
        <w:t>of  pulmonary</w:t>
      </w:r>
      <w:proofErr w:type="gramEnd"/>
      <w:r w:rsidRPr="00AE3617">
        <w:rPr>
          <w:rFonts w:ascii="Times New Roman" w:hAnsi="Times New Roman" w:cs="Times New Roman"/>
        </w:rPr>
        <w:t xml:space="preserve"> embolus within 6 months will </w:t>
      </w:r>
      <w:r>
        <w:rPr>
          <w:rFonts w:ascii="Times New Roman" w:hAnsi="Times New Roman" w:cs="Times New Roman"/>
        </w:rPr>
        <w:t xml:space="preserve">generally </w:t>
      </w:r>
      <w:r w:rsidRPr="00AE3617">
        <w:rPr>
          <w:rFonts w:ascii="Times New Roman" w:hAnsi="Times New Roman" w:cs="Times New Roman"/>
        </w:rPr>
        <w:t>be excluded</w:t>
      </w:r>
    </w:p>
    <w:p w14:paraId="05F13FDF" w14:textId="5E746FCB" w:rsidR="005069CB" w:rsidRDefault="005069CB" w:rsidP="005069CB">
      <w:pPr>
        <w:rPr>
          <w:rFonts w:ascii="Times New Roman" w:hAnsi="Times New Roman" w:cs="Times New Roman"/>
        </w:rPr>
      </w:pPr>
    </w:p>
    <w:p w14:paraId="560E5A87" w14:textId="68156167" w:rsidR="006444C0" w:rsidRDefault="005069CB" w:rsidP="00AE37BA">
      <w:pPr>
        <w:rPr>
          <w:rFonts w:ascii="Times New Roman" w:hAnsi="Times New Roman" w:cs="Times New Roman"/>
          <w:b/>
          <w:bCs/>
        </w:rPr>
      </w:pPr>
      <w:r>
        <w:rPr>
          <w:rFonts w:ascii="Times New Roman" w:hAnsi="Times New Roman" w:cs="Times New Roman"/>
          <w:b/>
          <w:bCs/>
        </w:rPr>
        <w:t xml:space="preserve">End-stage </w:t>
      </w:r>
      <w:proofErr w:type="gramStart"/>
      <w:r>
        <w:rPr>
          <w:rFonts w:ascii="Times New Roman" w:hAnsi="Times New Roman" w:cs="Times New Roman"/>
          <w:b/>
          <w:bCs/>
        </w:rPr>
        <w:t>Renal Disease</w:t>
      </w:r>
      <w:proofErr w:type="gramEnd"/>
    </w:p>
    <w:p w14:paraId="1746A248" w14:textId="48ACD846" w:rsidR="005069CB" w:rsidRDefault="005069CB" w:rsidP="005069CB">
      <w:pPr>
        <w:pStyle w:val="ListParagraph"/>
        <w:numPr>
          <w:ilvl w:val="0"/>
          <w:numId w:val="33"/>
        </w:numPr>
        <w:rPr>
          <w:rFonts w:ascii="Times New Roman" w:hAnsi="Times New Roman" w:cs="Times New Roman"/>
        </w:rPr>
      </w:pPr>
      <w:r>
        <w:rPr>
          <w:rFonts w:ascii="Times New Roman" w:hAnsi="Times New Roman" w:cs="Times New Roman"/>
        </w:rPr>
        <w:t xml:space="preserve">Patients with ESRD </w:t>
      </w:r>
      <w:r w:rsidRPr="00177B05">
        <w:rPr>
          <w:rFonts w:ascii="Times New Roman" w:hAnsi="Times New Roman" w:cs="Times New Roman"/>
          <w:u w:val="single"/>
        </w:rPr>
        <w:t>not on dialysis</w:t>
      </w:r>
      <w:r>
        <w:rPr>
          <w:rFonts w:ascii="Times New Roman" w:hAnsi="Times New Roman" w:cs="Times New Roman"/>
        </w:rPr>
        <w:t xml:space="preserve"> are </w:t>
      </w:r>
      <w:r w:rsidR="002D6FAA">
        <w:rPr>
          <w:rFonts w:ascii="Times New Roman" w:hAnsi="Times New Roman" w:cs="Times New Roman"/>
        </w:rPr>
        <w:t xml:space="preserve">generally </w:t>
      </w:r>
      <w:r>
        <w:rPr>
          <w:rFonts w:ascii="Times New Roman" w:hAnsi="Times New Roman" w:cs="Times New Roman"/>
        </w:rPr>
        <w:t>excluded</w:t>
      </w:r>
      <w:r w:rsidR="002D6FAA">
        <w:rPr>
          <w:rFonts w:ascii="Times New Roman" w:hAnsi="Times New Roman" w:cs="Times New Roman"/>
        </w:rPr>
        <w:t xml:space="preserve"> especially if general anesthesia case</w:t>
      </w:r>
    </w:p>
    <w:p w14:paraId="3D0E17D0" w14:textId="2CB5868C" w:rsidR="005069CB" w:rsidRDefault="005069CB" w:rsidP="005069CB">
      <w:pPr>
        <w:pStyle w:val="ListParagraph"/>
        <w:numPr>
          <w:ilvl w:val="0"/>
          <w:numId w:val="33"/>
        </w:numPr>
        <w:rPr>
          <w:rFonts w:ascii="Times New Roman" w:hAnsi="Times New Roman" w:cs="Times New Roman"/>
        </w:rPr>
      </w:pPr>
      <w:r>
        <w:rPr>
          <w:rFonts w:ascii="Times New Roman" w:hAnsi="Times New Roman" w:cs="Times New Roman"/>
        </w:rPr>
        <w:t xml:space="preserve">If on dialysis, exclusion will be on a case-by-case basis. Patients undergoing low-risk non-general anesthesia cases are allowed. Patients requiring general anesthesia will be based on overall comorbidity burden and surgical procedure. Patients will generally </w:t>
      </w:r>
      <w:r>
        <w:rPr>
          <w:rFonts w:ascii="Times New Roman" w:hAnsi="Times New Roman" w:cs="Times New Roman"/>
        </w:rPr>
        <w:lastRenderedPageBreak/>
        <w:t xml:space="preserve">require preoperative potassium drawn. All patients on dialysis should have had their </w:t>
      </w:r>
      <w:r w:rsidR="00F0381A">
        <w:rPr>
          <w:rFonts w:ascii="Times New Roman" w:hAnsi="Times New Roman" w:cs="Times New Roman"/>
        </w:rPr>
        <w:t>dialysis at least a day before their surgery</w:t>
      </w:r>
    </w:p>
    <w:p w14:paraId="4AF77AAE" w14:textId="3B8208CE" w:rsidR="00F0381A" w:rsidRDefault="00F0381A" w:rsidP="005069CB">
      <w:pPr>
        <w:pStyle w:val="ListParagraph"/>
        <w:numPr>
          <w:ilvl w:val="0"/>
          <w:numId w:val="33"/>
        </w:numPr>
        <w:rPr>
          <w:rFonts w:ascii="Times New Roman" w:hAnsi="Times New Roman" w:cs="Times New Roman"/>
        </w:rPr>
      </w:pPr>
      <w:r>
        <w:rPr>
          <w:rFonts w:ascii="Times New Roman" w:hAnsi="Times New Roman" w:cs="Times New Roman"/>
        </w:rPr>
        <w:t xml:space="preserve">Comorbidities need to </w:t>
      </w:r>
      <w:proofErr w:type="gramStart"/>
      <w:r>
        <w:rPr>
          <w:rFonts w:ascii="Times New Roman" w:hAnsi="Times New Roman" w:cs="Times New Roman"/>
        </w:rPr>
        <w:t>optimized</w:t>
      </w:r>
      <w:proofErr w:type="gramEnd"/>
      <w:r>
        <w:rPr>
          <w:rFonts w:ascii="Times New Roman" w:hAnsi="Times New Roman" w:cs="Times New Roman"/>
        </w:rPr>
        <w:t xml:space="preserve"> as well; however, chronic anemia and asymptomatic hyperkalemia (K&lt;6.0) </w:t>
      </w:r>
      <w:r w:rsidR="00177B05">
        <w:rPr>
          <w:rFonts w:ascii="Times New Roman" w:hAnsi="Times New Roman" w:cs="Times New Roman"/>
        </w:rPr>
        <w:t>are</w:t>
      </w:r>
      <w:r>
        <w:rPr>
          <w:rFonts w:ascii="Times New Roman" w:hAnsi="Times New Roman" w:cs="Times New Roman"/>
        </w:rPr>
        <w:t xml:space="preserve"> acceptable</w:t>
      </w:r>
    </w:p>
    <w:p w14:paraId="568D7B0B" w14:textId="7DAD40E8" w:rsidR="00F0381A" w:rsidRDefault="00F0381A" w:rsidP="00F0381A">
      <w:pPr>
        <w:rPr>
          <w:rFonts w:ascii="Times New Roman" w:hAnsi="Times New Roman" w:cs="Times New Roman"/>
        </w:rPr>
      </w:pPr>
    </w:p>
    <w:p w14:paraId="7A9FF1F9" w14:textId="5F3C19CE" w:rsidR="00F0381A" w:rsidRDefault="00F0381A" w:rsidP="00F0381A">
      <w:pPr>
        <w:rPr>
          <w:rFonts w:ascii="Times New Roman" w:hAnsi="Times New Roman" w:cs="Times New Roman"/>
          <w:b/>
          <w:bCs/>
        </w:rPr>
      </w:pPr>
      <w:r>
        <w:rPr>
          <w:rFonts w:ascii="Times New Roman" w:hAnsi="Times New Roman" w:cs="Times New Roman"/>
          <w:b/>
          <w:bCs/>
        </w:rPr>
        <w:t>Previous Stroke/Transient Ischemic Attack</w:t>
      </w:r>
    </w:p>
    <w:p w14:paraId="1FB6DA1E" w14:textId="153100F0" w:rsidR="00F0381A" w:rsidRPr="00F0381A" w:rsidRDefault="00F0381A" w:rsidP="00F0381A">
      <w:pPr>
        <w:pStyle w:val="ListParagraph"/>
        <w:numPr>
          <w:ilvl w:val="0"/>
          <w:numId w:val="33"/>
        </w:numPr>
        <w:rPr>
          <w:rFonts w:ascii="Times New Roman" w:hAnsi="Times New Roman" w:cs="Times New Roman"/>
        </w:rPr>
      </w:pPr>
      <w:r>
        <w:rPr>
          <w:rFonts w:ascii="Times New Roman" w:hAnsi="Times New Roman" w:cs="Times New Roman"/>
        </w:rPr>
        <w:t>Elective surgery should be delayed for at least 9 months</w:t>
      </w:r>
    </w:p>
    <w:p w14:paraId="0EC1F8DD" w14:textId="77777777" w:rsidR="005069CB" w:rsidRPr="00AE3617" w:rsidRDefault="005069CB" w:rsidP="00AE37BA">
      <w:pPr>
        <w:rPr>
          <w:rFonts w:ascii="Times New Roman" w:hAnsi="Times New Roman" w:cs="Times New Roman"/>
        </w:rPr>
      </w:pPr>
    </w:p>
    <w:p w14:paraId="013F9B23" w14:textId="2DC300A8" w:rsidR="00257731" w:rsidRPr="00AE3617" w:rsidRDefault="00F0381A" w:rsidP="00AE37BA">
      <w:pPr>
        <w:rPr>
          <w:rFonts w:ascii="Times New Roman" w:hAnsi="Times New Roman" w:cs="Times New Roman"/>
          <w:b/>
        </w:rPr>
      </w:pPr>
      <w:r>
        <w:rPr>
          <w:rFonts w:ascii="Times New Roman" w:hAnsi="Times New Roman" w:cs="Times New Roman"/>
          <w:b/>
        </w:rPr>
        <w:t>Malignant Hyperthermia</w:t>
      </w:r>
    </w:p>
    <w:p w14:paraId="78C4131F" w14:textId="16BFF9CE" w:rsidR="00ED4877" w:rsidRPr="00AE3617" w:rsidRDefault="00ED4877" w:rsidP="00ED4877">
      <w:pPr>
        <w:pStyle w:val="ListParagraph"/>
        <w:numPr>
          <w:ilvl w:val="0"/>
          <w:numId w:val="4"/>
        </w:numPr>
        <w:rPr>
          <w:rFonts w:ascii="Times New Roman" w:hAnsi="Times New Roman" w:cs="Times New Roman"/>
        </w:rPr>
      </w:pPr>
      <w:r w:rsidRPr="00AE3617">
        <w:rPr>
          <w:rFonts w:ascii="Times New Roman" w:hAnsi="Times New Roman" w:cs="Times New Roman"/>
        </w:rPr>
        <w:t xml:space="preserve">Patient with prior history or strong family history of </w:t>
      </w:r>
      <w:r w:rsidR="00CC78EE">
        <w:rPr>
          <w:rFonts w:ascii="Times New Roman" w:hAnsi="Times New Roman" w:cs="Times New Roman"/>
        </w:rPr>
        <w:t>malignant hyperthermia (MH)</w:t>
      </w:r>
      <w:r w:rsidR="00B47017" w:rsidRPr="00AE3617">
        <w:rPr>
          <w:rFonts w:ascii="Times New Roman" w:hAnsi="Times New Roman" w:cs="Times New Roman"/>
        </w:rPr>
        <w:t xml:space="preserve"> are allowed, howeve</w:t>
      </w:r>
      <w:r w:rsidR="00F0381A">
        <w:rPr>
          <w:rFonts w:ascii="Times New Roman" w:hAnsi="Times New Roman" w:cs="Times New Roman"/>
        </w:rPr>
        <w:t>r, this needs to be communicated to KOP early for preparation</w:t>
      </w:r>
    </w:p>
    <w:p w14:paraId="0184E799" w14:textId="77777777" w:rsidR="0042767C" w:rsidRPr="00AE3617" w:rsidRDefault="0042767C" w:rsidP="0042767C">
      <w:pPr>
        <w:rPr>
          <w:rFonts w:ascii="Times New Roman" w:hAnsi="Times New Roman" w:cs="Times New Roman"/>
        </w:rPr>
      </w:pPr>
    </w:p>
    <w:p w14:paraId="62B587B6" w14:textId="033B0E07" w:rsidR="0042767C" w:rsidRPr="00AE3617" w:rsidRDefault="0042767C" w:rsidP="0042767C">
      <w:pPr>
        <w:rPr>
          <w:rFonts w:ascii="Times New Roman" w:hAnsi="Times New Roman" w:cs="Times New Roman"/>
        </w:rPr>
      </w:pPr>
      <w:r w:rsidRPr="001E3733">
        <w:rPr>
          <w:rFonts w:ascii="Times New Roman" w:hAnsi="Times New Roman" w:cs="Times New Roman"/>
          <w:b/>
        </w:rPr>
        <w:t>DMII</w:t>
      </w:r>
      <w:r w:rsidR="00B52BF3" w:rsidRPr="001E3733">
        <w:rPr>
          <w:rFonts w:ascii="Times New Roman" w:hAnsi="Times New Roman" w:cs="Times New Roman"/>
          <w:b/>
        </w:rPr>
        <w:t xml:space="preserve"> </w:t>
      </w:r>
      <w:r w:rsidR="00B52BF3" w:rsidRPr="00AE3617">
        <w:rPr>
          <w:rFonts w:ascii="Times New Roman" w:hAnsi="Times New Roman" w:cs="Times New Roman"/>
        </w:rPr>
        <w:t xml:space="preserve">– diabetes is NOT an </w:t>
      </w:r>
      <w:proofErr w:type="gramStart"/>
      <w:r w:rsidR="00B52BF3" w:rsidRPr="00AE3617">
        <w:rPr>
          <w:rFonts w:ascii="Times New Roman" w:hAnsi="Times New Roman" w:cs="Times New Roman"/>
        </w:rPr>
        <w:t>exclusion criteria</w:t>
      </w:r>
      <w:proofErr w:type="gramEnd"/>
      <w:r w:rsidR="00B52BF3" w:rsidRPr="00AE3617">
        <w:rPr>
          <w:rFonts w:ascii="Times New Roman" w:hAnsi="Times New Roman" w:cs="Times New Roman"/>
        </w:rPr>
        <w:t>, but those with uncontrolled diabetes should be forwarded to MD for further review</w:t>
      </w:r>
    </w:p>
    <w:p w14:paraId="7FEF5058" w14:textId="672366A0" w:rsidR="0042767C" w:rsidRPr="007133F5" w:rsidRDefault="0042767C" w:rsidP="0042767C">
      <w:pPr>
        <w:pStyle w:val="paragraph"/>
        <w:numPr>
          <w:ilvl w:val="0"/>
          <w:numId w:val="29"/>
        </w:numPr>
        <w:spacing w:before="0" w:beforeAutospacing="0" w:after="0" w:afterAutospacing="0"/>
        <w:textAlignment w:val="baseline"/>
        <w:rPr>
          <w:rStyle w:val="eop"/>
          <w:sz w:val="22"/>
          <w:szCs w:val="22"/>
        </w:rPr>
      </w:pPr>
      <w:r w:rsidRPr="00AE3617">
        <w:rPr>
          <w:rStyle w:val="normaltextrun"/>
        </w:rPr>
        <w:t xml:space="preserve">Should be scheduled </w:t>
      </w:r>
      <w:r w:rsidR="00543B3B">
        <w:rPr>
          <w:rStyle w:val="normaltextrun"/>
        </w:rPr>
        <w:t>as close to</w:t>
      </w:r>
      <w:r w:rsidRPr="00AE3617">
        <w:rPr>
          <w:rStyle w:val="normaltextrun"/>
        </w:rPr>
        <w:t xml:space="preserve"> first case of the day to minimize interruption of insulin dosing routine and ability to return to regular dosing </w:t>
      </w:r>
      <w:proofErr w:type="gramStart"/>
      <w:r w:rsidRPr="00AE3617">
        <w:rPr>
          <w:rStyle w:val="normaltextrun"/>
        </w:rPr>
        <w:t>as soon as possible</w:t>
      </w:r>
      <w:proofErr w:type="gramEnd"/>
      <w:r w:rsidRPr="00AE3617">
        <w:rPr>
          <w:rStyle w:val="eop"/>
        </w:rPr>
        <w:t> </w:t>
      </w:r>
    </w:p>
    <w:p w14:paraId="26614998" w14:textId="573A2FC3" w:rsidR="007133F5" w:rsidRPr="00AE3617" w:rsidRDefault="007133F5" w:rsidP="0042767C">
      <w:pPr>
        <w:pStyle w:val="paragraph"/>
        <w:numPr>
          <w:ilvl w:val="0"/>
          <w:numId w:val="29"/>
        </w:numPr>
        <w:spacing w:before="0" w:beforeAutospacing="0" w:after="0" w:afterAutospacing="0"/>
        <w:textAlignment w:val="baseline"/>
        <w:rPr>
          <w:sz w:val="22"/>
          <w:szCs w:val="22"/>
        </w:rPr>
      </w:pPr>
      <w:r>
        <w:rPr>
          <w:rStyle w:val="eop"/>
        </w:rPr>
        <w:t>Patients with poorly controlled diabetes and non-compliant with their medications (evidenced by fasting glucose ≥ 300) should be reviewed on a case-by-case basis.</w:t>
      </w:r>
    </w:p>
    <w:p w14:paraId="1AEA2DD1" w14:textId="77777777" w:rsidR="0042767C" w:rsidRPr="00AE3617" w:rsidRDefault="0042767C" w:rsidP="0042767C">
      <w:pPr>
        <w:pStyle w:val="paragraph"/>
        <w:numPr>
          <w:ilvl w:val="0"/>
          <w:numId w:val="29"/>
        </w:numPr>
        <w:spacing w:before="0" w:beforeAutospacing="0" w:after="0" w:afterAutospacing="0"/>
        <w:textAlignment w:val="baseline"/>
        <w:rPr>
          <w:sz w:val="22"/>
          <w:szCs w:val="22"/>
        </w:rPr>
      </w:pPr>
      <w:r w:rsidRPr="00AE3617">
        <w:rPr>
          <w:rStyle w:val="normaltextrun"/>
        </w:rPr>
        <w:t>Provide specific instructions to patients:</w:t>
      </w:r>
      <w:r w:rsidRPr="00AE3617">
        <w:rPr>
          <w:rStyle w:val="eop"/>
        </w:rPr>
        <w:t> </w:t>
      </w:r>
    </w:p>
    <w:p w14:paraId="24EC697E" w14:textId="77777777" w:rsidR="0042767C" w:rsidRPr="00AE3617" w:rsidRDefault="0042767C" w:rsidP="0042767C">
      <w:pPr>
        <w:pStyle w:val="paragraph"/>
        <w:numPr>
          <w:ilvl w:val="1"/>
          <w:numId w:val="29"/>
        </w:numPr>
        <w:spacing w:before="0" w:beforeAutospacing="0" w:after="0" w:afterAutospacing="0"/>
        <w:textAlignment w:val="baseline"/>
        <w:rPr>
          <w:sz w:val="22"/>
          <w:szCs w:val="22"/>
        </w:rPr>
      </w:pPr>
      <w:r w:rsidRPr="00AE3617">
        <w:rPr>
          <w:rStyle w:val="normaltextrun"/>
        </w:rPr>
        <w:t>Preop: check blood glucose regularly while fasting</w:t>
      </w:r>
      <w:r w:rsidRPr="00AE3617">
        <w:rPr>
          <w:rStyle w:val="eop"/>
        </w:rPr>
        <w:t> </w:t>
      </w:r>
    </w:p>
    <w:p w14:paraId="1C97D3F4" w14:textId="77777777" w:rsidR="0042767C" w:rsidRPr="00AE3617" w:rsidRDefault="0042767C" w:rsidP="0042767C">
      <w:pPr>
        <w:pStyle w:val="paragraph"/>
        <w:numPr>
          <w:ilvl w:val="1"/>
          <w:numId w:val="29"/>
        </w:numPr>
        <w:spacing w:before="0" w:beforeAutospacing="0" w:after="0" w:afterAutospacing="0"/>
        <w:textAlignment w:val="baseline"/>
        <w:rPr>
          <w:sz w:val="22"/>
          <w:szCs w:val="22"/>
        </w:rPr>
      </w:pPr>
      <w:r w:rsidRPr="00AE3617">
        <w:rPr>
          <w:rStyle w:val="normaltextrun"/>
        </w:rPr>
        <w:t>Have glucose tabs/sugar water available while travelling to and from surgical facility</w:t>
      </w:r>
      <w:r w:rsidRPr="00AE3617">
        <w:rPr>
          <w:rStyle w:val="eop"/>
        </w:rPr>
        <w:t> </w:t>
      </w:r>
    </w:p>
    <w:p w14:paraId="07AAEE91" w14:textId="77777777" w:rsidR="0042767C" w:rsidRPr="00AE3617" w:rsidRDefault="0042767C" w:rsidP="0042767C">
      <w:pPr>
        <w:pStyle w:val="paragraph"/>
        <w:numPr>
          <w:ilvl w:val="1"/>
          <w:numId w:val="29"/>
        </w:numPr>
        <w:spacing w:before="0" w:beforeAutospacing="0" w:after="0" w:afterAutospacing="0"/>
        <w:textAlignment w:val="baseline"/>
        <w:rPr>
          <w:sz w:val="22"/>
          <w:szCs w:val="22"/>
        </w:rPr>
      </w:pPr>
      <w:r w:rsidRPr="00AE3617">
        <w:rPr>
          <w:rStyle w:val="normaltextrun"/>
        </w:rPr>
        <w:t>Only resume oral hypoglycemic therapy if patient is tolerating PO. Otherwise continue to hold when patient gets home</w:t>
      </w:r>
      <w:r w:rsidRPr="00AE3617">
        <w:rPr>
          <w:rStyle w:val="eop"/>
        </w:rPr>
        <w:t> </w:t>
      </w:r>
    </w:p>
    <w:p w14:paraId="438EE99F" w14:textId="77777777" w:rsidR="0042767C" w:rsidRPr="00AE3617" w:rsidRDefault="0042767C" w:rsidP="0042767C">
      <w:pPr>
        <w:pStyle w:val="paragraph"/>
        <w:numPr>
          <w:ilvl w:val="1"/>
          <w:numId w:val="29"/>
        </w:numPr>
        <w:spacing w:before="0" w:beforeAutospacing="0" w:after="0" w:afterAutospacing="0"/>
        <w:textAlignment w:val="baseline"/>
        <w:rPr>
          <w:rStyle w:val="eop"/>
          <w:sz w:val="22"/>
          <w:szCs w:val="22"/>
        </w:rPr>
      </w:pPr>
      <w:r w:rsidRPr="00AE3617">
        <w:rPr>
          <w:rStyle w:val="normaltextrun"/>
        </w:rPr>
        <w:t>Consider telling patients to delay their usual daily insulin regimen until they are tolerating their usual diet.</w:t>
      </w:r>
      <w:r w:rsidRPr="00AE3617">
        <w:rPr>
          <w:rStyle w:val="eop"/>
        </w:rPr>
        <w:t> </w:t>
      </w:r>
    </w:p>
    <w:p w14:paraId="76DCE547" w14:textId="77777777" w:rsidR="0042767C" w:rsidRPr="00AE3617" w:rsidRDefault="0042767C" w:rsidP="0042767C">
      <w:pPr>
        <w:pStyle w:val="paragraph"/>
        <w:spacing w:before="0" w:beforeAutospacing="0" w:after="0" w:afterAutospacing="0"/>
        <w:textAlignment w:val="baseline"/>
      </w:pPr>
    </w:p>
    <w:p w14:paraId="1354CB55" w14:textId="77777777" w:rsidR="0042767C" w:rsidRPr="00AE3617" w:rsidRDefault="0042767C" w:rsidP="0042767C">
      <w:pPr>
        <w:pStyle w:val="paragraph"/>
        <w:spacing w:before="0" w:beforeAutospacing="0" w:after="0" w:afterAutospacing="0"/>
        <w:textAlignment w:val="baseline"/>
        <w:rPr>
          <w:b/>
        </w:rPr>
      </w:pPr>
      <w:r w:rsidRPr="00AE3617">
        <w:rPr>
          <w:b/>
        </w:rPr>
        <w:t>Liver</w:t>
      </w:r>
    </w:p>
    <w:p w14:paraId="37093D24" w14:textId="1A7DB896" w:rsidR="0042767C" w:rsidRDefault="0042767C" w:rsidP="0042767C">
      <w:pPr>
        <w:pStyle w:val="paragraph"/>
        <w:numPr>
          <w:ilvl w:val="0"/>
          <w:numId w:val="31"/>
        </w:numPr>
        <w:spacing w:before="0" w:beforeAutospacing="0" w:after="0" w:afterAutospacing="0"/>
        <w:textAlignment w:val="baseline"/>
      </w:pPr>
      <w:r w:rsidRPr="00AE3617">
        <w:t xml:space="preserve">Patients with hepatic failure or </w:t>
      </w:r>
      <w:r w:rsidR="00B52BF3" w:rsidRPr="00AE3617">
        <w:t xml:space="preserve">severe </w:t>
      </w:r>
      <w:r w:rsidRPr="00AE3617">
        <w:t xml:space="preserve">cirrhosis are </w:t>
      </w:r>
      <w:r w:rsidR="00BA3507">
        <w:t xml:space="preserve">generally </w:t>
      </w:r>
      <w:r w:rsidRPr="00AE3617">
        <w:t xml:space="preserve">not appropriate for </w:t>
      </w:r>
      <w:r w:rsidR="00B52BF3" w:rsidRPr="00AE3617">
        <w:t xml:space="preserve">KOP. </w:t>
      </w:r>
    </w:p>
    <w:p w14:paraId="13CABACE" w14:textId="636D1DDE" w:rsidR="002F1735" w:rsidRDefault="002F1735" w:rsidP="002F1735">
      <w:pPr>
        <w:pStyle w:val="paragraph"/>
        <w:spacing w:before="0" w:beforeAutospacing="0" w:after="0" w:afterAutospacing="0"/>
        <w:textAlignment w:val="baseline"/>
      </w:pPr>
    </w:p>
    <w:p w14:paraId="6C1FADDB" w14:textId="422BEFD2" w:rsidR="002F1735" w:rsidRDefault="002F1735" w:rsidP="002F1735">
      <w:pPr>
        <w:pStyle w:val="paragraph"/>
        <w:spacing w:before="0" w:beforeAutospacing="0" w:after="0" w:afterAutospacing="0"/>
        <w:textAlignment w:val="baseline"/>
        <w:rPr>
          <w:b/>
        </w:rPr>
      </w:pPr>
      <w:r>
        <w:rPr>
          <w:b/>
        </w:rPr>
        <w:t xml:space="preserve">Coagulopathy </w:t>
      </w:r>
      <w:r w:rsidRPr="00336A50">
        <w:t>(thrombocytopenia,</w:t>
      </w:r>
      <w:r w:rsidR="00336A50">
        <w:rPr>
          <w:b/>
        </w:rPr>
        <w:t xml:space="preserve"> </w:t>
      </w:r>
      <w:r w:rsidR="00336A50">
        <w:t>VWF, Hemophilia, anemia)</w:t>
      </w:r>
      <w:r>
        <w:rPr>
          <w:b/>
        </w:rPr>
        <w:t xml:space="preserve"> </w:t>
      </w:r>
    </w:p>
    <w:p w14:paraId="45A1F9A2" w14:textId="561B49AF" w:rsidR="00336A50" w:rsidRDefault="00336A50" w:rsidP="002F1735">
      <w:pPr>
        <w:pStyle w:val="paragraph"/>
        <w:numPr>
          <w:ilvl w:val="0"/>
          <w:numId w:val="32"/>
        </w:numPr>
        <w:spacing w:before="0" w:beforeAutospacing="0" w:after="0" w:afterAutospacing="0"/>
        <w:textAlignment w:val="baseline"/>
      </w:pPr>
      <w:r>
        <w:t>Anemia &lt; 8</w:t>
      </w:r>
    </w:p>
    <w:p w14:paraId="6FE6B422" w14:textId="7E4210A8" w:rsidR="00336A50" w:rsidRDefault="00336A50" w:rsidP="002F1735">
      <w:pPr>
        <w:pStyle w:val="paragraph"/>
        <w:numPr>
          <w:ilvl w:val="0"/>
          <w:numId w:val="32"/>
        </w:numPr>
        <w:spacing w:before="0" w:beforeAutospacing="0" w:after="0" w:afterAutospacing="0"/>
        <w:textAlignment w:val="baseline"/>
      </w:pPr>
      <w:r>
        <w:t>Platelets &lt; 80</w:t>
      </w:r>
    </w:p>
    <w:p w14:paraId="47860A1F" w14:textId="32130FE6" w:rsidR="00336A50" w:rsidRDefault="00336A50" w:rsidP="002F1735">
      <w:pPr>
        <w:pStyle w:val="paragraph"/>
        <w:numPr>
          <w:ilvl w:val="0"/>
          <w:numId w:val="32"/>
        </w:numPr>
        <w:spacing w:before="0" w:beforeAutospacing="0" w:after="0" w:afterAutospacing="0"/>
        <w:textAlignment w:val="baseline"/>
      </w:pPr>
      <w:r>
        <w:t>INR &gt; 2.0</w:t>
      </w:r>
    </w:p>
    <w:p w14:paraId="2055C824" w14:textId="6A33D19E" w:rsidR="00336A50" w:rsidRDefault="00336A50" w:rsidP="002F1735">
      <w:pPr>
        <w:pStyle w:val="paragraph"/>
        <w:numPr>
          <w:ilvl w:val="0"/>
          <w:numId w:val="32"/>
        </w:numPr>
        <w:spacing w:before="0" w:beforeAutospacing="0" w:after="0" w:afterAutospacing="0"/>
        <w:textAlignment w:val="baseline"/>
      </w:pPr>
      <w:r>
        <w:t>VWF, Hemophilia</w:t>
      </w:r>
      <w:r w:rsidR="00546425">
        <w:t xml:space="preserve">, </w:t>
      </w:r>
      <w:proofErr w:type="spellStart"/>
      <w:r w:rsidR="00546425">
        <w:t>etc</w:t>
      </w:r>
      <w:proofErr w:type="spellEnd"/>
    </w:p>
    <w:p w14:paraId="5AA826DB" w14:textId="4F75065A" w:rsidR="002F1735" w:rsidRDefault="002F1735" w:rsidP="002F1735">
      <w:pPr>
        <w:pStyle w:val="paragraph"/>
        <w:numPr>
          <w:ilvl w:val="0"/>
          <w:numId w:val="32"/>
        </w:numPr>
        <w:spacing w:before="0" w:beforeAutospacing="0" w:after="0" w:afterAutospacing="0"/>
        <w:textAlignment w:val="baseline"/>
      </w:pPr>
      <w:r w:rsidRPr="002F1735">
        <w:t xml:space="preserve">MD </w:t>
      </w:r>
      <w:r w:rsidR="007133F5">
        <w:t>should</w:t>
      </w:r>
      <w:r w:rsidRPr="002F1735">
        <w:t xml:space="preserve"> review </w:t>
      </w:r>
      <w:proofErr w:type="gramStart"/>
      <w:r w:rsidRPr="002F1735">
        <w:t>all</w:t>
      </w:r>
      <w:r w:rsidR="007133F5">
        <w:t xml:space="preserve"> of</w:t>
      </w:r>
      <w:proofErr w:type="gramEnd"/>
      <w:r w:rsidR="007133F5">
        <w:t xml:space="preserve"> the above and determine if appropriate for KOP. This will be dependent on the blood-loss potential of the surgery (</w:t>
      </w:r>
      <w:proofErr w:type="gramStart"/>
      <w:r w:rsidR="007133F5">
        <w:t>i.e.</w:t>
      </w:r>
      <w:proofErr w:type="gramEnd"/>
      <w:r w:rsidR="007133F5">
        <w:t xml:space="preserve"> hysterectomy, joint replacement, D&amp;E are considered to have higher blood loss potential than other surgeries)</w:t>
      </w:r>
    </w:p>
    <w:p w14:paraId="57818655" w14:textId="439898B9" w:rsidR="00BA3507" w:rsidRDefault="00BA3507" w:rsidP="002F1735">
      <w:pPr>
        <w:pStyle w:val="paragraph"/>
        <w:numPr>
          <w:ilvl w:val="0"/>
          <w:numId w:val="32"/>
        </w:numPr>
        <w:spacing w:before="0" w:beforeAutospacing="0" w:after="0" w:afterAutospacing="0"/>
        <w:textAlignment w:val="baseline"/>
      </w:pPr>
      <w:r>
        <w:t>Hematology requests for perioperative infusion of factors is okay for KOP depending on bleeding risk of surgery. Needs to be discussed with anesthesia.</w:t>
      </w:r>
    </w:p>
    <w:p w14:paraId="00DAB38C" w14:textId="730CDC86" w:rsidR="007133F5" w:rsidRPr="002D6FAA" w:rsidRDefault="007133F5" w:rsidP="002F1735">
      <w:pPr>
        <w:pStyle w:val="paragraph"/>
        <w:numPr>
          <w:ilvl w:val="0"/>
          <w:numId w:val="32"/>
        </w:numPr>
        <w:spacing w:before="0" w:beforeAutospacing="0" w:after="0" w:afterAutospacing="0"/>
        <w:textAlignment w:val="baseline"/>
        <w:rPr>
          <w:u w:val="single"/>
        </w:rPr>
      </w:pPr>
      <w:r w:rsidRPr="002D6FAA">
        <w:rPr>
          <w:u w:val="single"/>
        </w:rPr>
        <w:t>We cannot perform surgeries where blood transfusion is planned.</w:t>
      </w:r>
      <w:r w:rsidR="002D6FAA">
        <w:t xml:space="preserve"> </w:t>
      </w:r>
      <w:r w:rsidR="00BA3507">
        <w:t xml:space="preserve">KOP is not licensed for planned blood transfusion. </w:t>
      </w:r>
      <w:r w:rsidR="002D6FAA">
        <w:t>Having said that, we can transfuse urgently if needed.</w:t>
      </w:r>
    </w:p>
    <w:p w14:paraId="604A5DFC" w14:textId="20048290" w:rsidR="00336A50" w:rsidRDefault="00336A50" w:rsidP="00336A50">
      <w:pPr>
        <w:pStyle w:val="paragraph"/>
        <w:spacing w:before="0" w:beforeAutospacing="0" w:after="0" w:afterAutospacing="0"/>
        <w:textAlignment w:val="baseline"/>
      </w:pPr>
    </w:p>
    <w:p w14:paraId="68118502" w14:textId="3961298A" w:rsidR="00336A50" w:rsidRDefault="00336A50" w:rsidP="00336A50">
      <w:pPr>
        <w:pStyle w:val="paragraph"/>
        <w:spacing w:before="0" w:beforeAutospacing="0" w:after="0" w:afterAutospacing="0"/>
        <w:textAlignment w:val="baseline"/>
        <w:rPr>
          <w:b/>
        </w:rPr>
      </w:pPr>
      <w:r>
        <w:rPr>
          <w:b/>
        </w:rPr>
        <w:t>Recent Hospital Admission</w:t>
      </w:r>
    </w:p>
    <w:p w14:paraId="5F836720" w14:textId="0ED1D5EF" w:rsidR="00336A50" w:rsidRPr="00336A50" w:rsidRDefault="00B5526B" w:rsidP="00336A50">
      <w:pPr>
        <w:pStyle w:val="paragraph"/>
        <w:numPr>
          <w:ilvl w:val="0"/>
          <w:numId w:val="32"/>
        </w:numPr>
        <w:spacing w:before="0" w:beforeAutospacing="0" w:after="0" w:afterAutospacing="0"/>
        <w:textAlignment w:val="baseline"/>
      </w:pPr>
      <w:r>
        <w:t xml:space="preserve">Should have </w:t>
      </w:r>
      <w:r w:rsidR="00336A50">
        <w:t>MD</w:t>
      </w:r>
      <w:r>
        <w:t>/APC</w:t>
      </w:r>
      <w:r w:rsidR="00336A50">
        <w:t xml:space="preserve"> review</w:t>
      </w:r>
      <w:r>
        <w:t xml:space="preserve"> for appropriateness.</w:t>
      </w:r>
    </w:p>
    <w:p w14:paraId="36ADA843" w14:textId="4C1F05E3" w:rsidR="005516FE" w:rsidRDefault="005516FE" w:rsidP="005516FE">
      <w:pPr>
        <w:pStyle w:val="paragraph"/>
        <w:spacing w:before="0" w:beforeAutospacing="0" w:after="0" w:afterAutospacing="0"/>
        <w:textAlignment w:val="baseline"/>
      </w:pPr>
    </w:p>
    <w:p w14:paraId="5D31A0D7" w14:textId="27A3C346" w:rsidR="001E3733" w:rsidRDefault="001E3733" w:rsidP="005516FE">
      <w:pPr>
        <w:pStyle w:val="paragraph"/>
        <w:spacing w:before="0" w:beforeAutospacing="0" w:after="0" w:afterAutospacing="0"/>
        <w:textAlignment w:val="baseline"/>
        <w:rPr>
          <w:b/>
        </w:rPr>
      </w:pPr>
      <w:r>
        <w:rPr>
          <w:b/>
        </w:rPr>
        <w:lastRenderedPageBreak/>
        <w:t>Autoimmune Disease</w:t>
      </w:r>
    </w:p>
    <w:p w14:paraId="50872D85" w14:textId="2D2C2710" w:rsidR="001E3733" w:rsidRPr="001E3733" w:rsidRDefault="001E3733" w:rsidP="001E3733">
      <w:pPr>
        <w:pStyle w:val="paragraph"/>
        <w:numPr>
          <w:ilvl w:val="0"/>
          <w:numId w:val="32"/>
        </w:numPr>
        <w:spacing w:before="0" w:beforeAutospacing="0" w:after="0" w:afterAutospacing="0"/>
        <w:textAlignment w:val="baseline"/>
      </w:pPr>
      <w:r>
        <w:t xml:space="preserve">Myasthenic Gravis, Lupus, </w:t>
      </w:r>
      <w:proofErr w:type="spellStart"/>
      <w:r>
        <w:t>Guillian</w:t>
      </w:r>
      <w:proofErr w:type="spellEnd"/>
      <w:r>
        <w:t xml:space="preserve"> Barre, </w:t>
      </w:r>
      <w:proofErr w:type="spellStart"/>
      <w:r>
        <w:t>etc</w:t>
      </w:r>
      <w:proofErr w:type="spellEnd"/>
      <w:r>
        <w:t xml:space="preserve"> (have MD</w:t>
      </w:r>
      <w:r w:rsidR="00B5526B">
        <w:t>/APC</w:t>
      </w:r>
      <w:r>
        <w:t xml:space="preserve"> review all)</w:t>
      </w:r>
    </w:p>
    <w:p w14:paraId="6CC159FD" w14:textId="49A10BCA" w:rsidR="00F70CED" w:rsidRDefault="00F70CED" w:rsidP="005516FE">
      <w:pPr>
        <w:pStyle w:val="paragraph"/>
        <w:spacing w:before="0" w:beforeAutospacing="0" w:after="0" w:afterAutospacing="0"/>
        <w:textAlignment w:val="baseline"/>
        <w:rPr>
          <w:b/>
        </w:rPr>
      </w:pPr>
    </w:p>
    <w:p w14:paraId="424E2D0F" w14:textId="7F1CCF96" w:rsidR="00A77935" w:rsidRDefault="00A77935" w:rsidP="005516FE">
      <w:pPr>
        <w:pStyle w:val="paragraph"/>
        <w:spacing w:before="0" w:beforeAutospacing="0" w:after="0" w:afterAutospacing="0"/>
        <w:textAlignment w:val="baseline"/>
        <w:rPr>
          <w:b/>
        </w:rPr>
      </w:pPr>
      <w:r>
        <w:rPr>
          <w:b/>
        </w:rPr>
        <w:t>Psychosocial Factors</w:t>
      </w:r>
    </w:p>
    <w:p w14:paraId="0F549A4B" w14:textId="64832B7F" w:rsidR="00A77935" w:rsidRDefault="00A77935" w:rsidP="00A77935">
      <w:pPr>
        <w:pStyle w:val="paragraph"/>
        <w:numPr>
          <w:ilvl w:val="0"/>
          <w:numId w:val="32"/>
        </w:numPr>
        <w:spacing w:before="0" w:beforeAutospacing="0" w:after="0" w:afterAutospacing="0"/>
        <w:textAlignment w:val="baseline"/>
        <w:rPr>
          <w:bCs/>
        </w:rPr>
      </w:pPr>
      <w:r>
        <w:rPr>
          <w:bCs/>
        </w:rPr>
        <w:t>Patient must have a reliable ride home</w:t>
      </w:r>
    </w:p>
    <w:p w14:paraId="17288B05" w14:textId="133D5CA8" w:rsidR="00A77935" w:rsidRDefault="00723749" w:rsidP="00A77935">
      <w:pPr>
        <w:pStyle w:val="paragraph"/>
        <w:numPr>
          <w:ilvl w:val="0"/>
          <w:numId w:val="32"/>
        </w:numPr>
        <w:spacing w:before="0" w:beforeAutospacing="0" w:after="0" w:afterAutospacing="0"/>
        <w:textAlignment w:val="baseline"/>
        <w:rPr>
          <w:bCs/>
        </w:rPr>
      </w:pPr>
      <w:r>
        <w:rPr>
          <w:bCs/>
        </w:rPr>
        <w:t xml:space="preserve">Major psychiatric </w:t>
      </w:r>
      <w:r w:rsidR="00A77935">
        <w:rPr>
          <w:bCs/>
        </w:rPr>
        <w:t>conditions that</w:t>
      </w:r>
      <w:r>
        <w:rPr>
          <w:bCs/>
        </w:rPr>
        <w:t xml:space="preserve"> </w:t>
      </w:r>
      <w:r w:rsidR="00A77935">
        <w:rPr>
          <w:bCs/>
        </w:rPr>
        <w:t xml:space="preserve">warrant 1:1 </w:t>
      </w:r>
      <w:proofErr w:type="spellStart"/>
      <w:r w:rsidR="00A77935">
        <w:rPr>
          <w:bCs/>
        </w:rPr>
        <w:t>nursing:patient</w:t>
      </w:r>
      <w:proofErr w:type="spellEnd"/>
      <w:r w:rsidR="00A77935">
        <w:rPr>
          <w:bCs/>
        </w:rPr>
        <w:t xml:space="preserve"> ratio in PACU should be excluded </w:t>
      </w:r>
    </w:p>
    <w:p w14:paraId="4F170F76" w14:textId="78A2B5E8" w:rsidR="00A77935" w:rsidRDefault="00A77935" w:rsidP="00A77935">
      <w:pPr>
        <w:pStyle w:val="paragraph"/>
        <w:numPr>
          <w:ilvl w:val="0"/>
          <w:numId w:val="32"/>
        </w:numPr>
        <w:spacing w:before="0" w:beforeAutospacing="0" w:after="0" w:afterAutospacing="0"/>
        <w:textAlignment w:val="baseline"/>
        <w:rPr>
          <w:bCs/>
        </w:rPr>
      </w:pPr>
      <w:r>
        <w:rPr>
          <w:bCs/>
        </w:rPr>
        <w:t>Patients who live alone, have no social support system postoperatively, or are homeless should be discussed further with MD regarding safety of same-day discharge.</w:t>
      </w:r>
      <w:r w:rsidR="00723749">
        <w:rPr>
          <w:bCs/>
        </w:rPr>
        <w:t xml:space="preserve"> Living alone is not an exclusion but an issue that may require discussion.</w:t>
      </w:r>
    </w:p>
    <w:p w14:paraId="2149F299" w14:textId="2CECA7FB" w:rsidR="00F222B0" w:rsidRDefault="00F222B0" w:rsidP="00F222B0">
      <w:pPr>
        <w:pStyle w:val="paragraph"/>
        <w:spacing w:before="0" w:beforeAutospacing="0" w:after="0" w:afterAutospacing="0"/>
        <w:textAlignment w:val="baseline"/>
        <w:rPr>
          <w:bCs/>
        </w:rPr>
      </w:pPr>
    </w:p>
    <w:p w14:paraId="0DF51E34" w14:textId="032DF728" w:rsidR="00F222B0" w:rsidRDefault="00F222B0" w:rsidP="00F222B0">
      <w:pPr>
        <w:pStyle w:val="paragraph"/>
        <w:spacing w:before="0" w:beforeAutospacing="0" w:after="0" w:afterAutospacing="0"/>
        <w:textAlignment w:val="baseline"/>
        <w:rPr>
          <w:b/>
        </w:rPr>
      </w:pPr>
      <w:r>
        <w:rPr>
          <w:b/>
        </w:rPr>
        <w:t>Chronic Pain/Opioid Users</w:t>
      </w:r>
    </w:p>
    <w:p w14:paraId="156F76D3" w14:textId="6DD66355" w:rsidR="00F222B0" w:rsidRDefault="00F222B0" w:rsidP="00F222B0">
      <w:pPr>
        <w:pStyle w:val="paragraph"/>
        <w:numPr>
          <w:ilvl w:val="0"/>
          <w:numId w:val="32"/>
        </w:numPr>
        <w:spacing w:before="0" w:beforeAutospacing="0" w:after="0" w:afterAutospacing="0"/>
        <w:textAlignment w:val="baseline"/>
        <w:rPr>
          <w:bCs/>
        </w:rPr>
      </w:pPr>
      <w:r>
        <w:rPr>
          <w:bCs/>
        </w:rPr>
        <w:t>KOP eligibility will be determined on a case-by-case basis as this will depend on the pain management plan (</w:t>
      </w:r>
      <w:proofErr w:type="gramStart"/>
      <w:r>
        <w:rPr>
          <w:bCs/>
        </w:rPr>
        <w:t>i.e.</w:t>
      </w:r>
      <w:proofErr w:type="gramEnd"/>
      <w:r>
        <w:rPr>
          <w:bCs/>
        </w:rPr>
        <w:t xml:space="preserve"> regional nerve block), surgical procedure/anatomy, patient expectations (i.e. existence of pain contract), social support, and other psychosocial factors.</w:t>
      </w:r>
    </w:p>
    <w:p w14:paraId="5775A296" w14:textId="24C5B72F" w:rsidR="00F222B0" w:rsidRPr="00F222B0" w:rsidRDefault="00F222B0" w:rsidP="00F222B0">
      <w:pPr>
        <w:pStyle w:val="paragraph"/>
        <w:numPr>
          <w:ilvl w:val="0"/>
          <w:numId w:val="32"/>
        </w:numPr>
        <w:spacing w:before="0" w:beforeAutospacing="0" w:after="0" w:afterAutospacing="0"/>
        <w:textAlignment w:val="baseline"/>
        <w:rPr>
          <w:bCs/>
        </w:rPr>
      </w:pPr>
      <w:r>
        <w:rPr>
          <w:bCs/>
        </w:rPr>
        <w:t xml:space="preserve">If given all the above issues and it is determined that patient will be high risk for admission </w:t>
      </w:r>
      <w:r w:rsidR="00C5007B">
        <w:rPr>
          <w:bCs/>
        </w:rPr>
        <w:t>for pain control</w:t>
      </w:r>
      <w:r>
        <w:rPr>
          <w:bCs/>
        </w:rPr>
        <w:t>, then surgery should be done in the main hospital.</w:t>
      </w:r>
    </w:p>
    <w:p w14:paraId="50A62D94" w14:textId="77777777" w:rsidR="00F70CED" w:rsidRPr="00AE3617" w:rsidRDefault="00F70CED" w:rsidP="005516FE">
      <w:pPr>
        <w:pStyle w:val="paragraph"/>
        <w:spacing w:before="0" w:beforeAutospacing="0" w:after="0" w:afterAutospacing="0"/>
        <w:textAlignment w:val="baseline"/>
        <w:rPr>
          <w:b/>
        </w:rPr>
      </w:pPr>
    </w:p>
    <w:p w14:paraId="122F6B8C" w14:textId="77777777" w:rsidR="00F70CED" w:rsidRPr="00AE3617" w:rsidRDefault="00F70CED" w:rsidP="005516FE">
      <w:pPr>
        <w:pStyle w:val="paragraph"/>
        <w:spacing w:before="0" w:beforeAutospacing="0" w:after="0" w:afterAutospacing="0"/>
        <w:textAlignment w:val="baseline"/>
        <w:rPr>
          <w:b/>
        </w:rPr>
      </w:pPr>
    </w:p>
    <w:p w14:paraId="403D9919" w14:textId="77777777" w:rsidR="00F70CED" w:rsidRPr="00AE3617" w:rsidRDefault="00F70CED" w:rsidP="005516FE">
      <w:pPr>
        <w:pStyle w:val="paragraph"/>
        <w:spacing w:before="0" w:beforeAutospacing="0" w:after="0" w:afterAutospacing="0"/>
        <w:textAlignment w:val="baseline"/>
        <w:rPr>
          <w:b/>
        </w:rPr>
      </w:pPr>
    </w:p>
    <w:p w14:paraId="514FB925" w14:textId="77777777" w:rsidR="004A609C" w:rsidRPr="00AE3617" w:rsidRDefault="004A609C" w:rsidP="005516FE">
      <w:pPr>
        <w:pStyle w:val="paragraph"/>
        <w:spacing w:before="0" w:beforeAutospacing="0" w:after="0" w:afterAutospacing="0"/>
        <w:textAlignment w:val="baseline"/>
        <w:rPr>
          <w:b/>
        </w:rPr>
      </w:pPr>
    </w:p>
    <w:p w14:paraId="30237761" w14:textId="501143F7" w:rsidR="006E7603" w:rsidRDefault="006E7603">
      <w:pPr>
        <w:rPr>
          <w:rFonts w:ascii="Times New Roman" w:hAnsi="Times New Roman" w:cs="Times New Roman"/>
          <w:b/>
        </w:rPr>
      </w:pPr>
    </w:p>
    <w:p w14:paraId="3F1CD34E" w14:textId="34DD7D7A" w:rsidR="005516FE" w:rsidRPr="00AE3617" w:rsidRDefault="005516FE" w:rsidP="005516FE">
      <w:pPr>
        <w:pStyle w:val="paragraph"/>
        <w:spacing w:before="0" w:beforeAutospacing="0" w:after="0" w:afterAutospacing="0"/>
        <w:textAlignment w:val="baseline"/>
        <w:rPr>
          <w:b/>
        </w:rPr>
      </w:pPr>
      <w:r w:rsidRPr="00AE3617">
        <w:rPr>
          <w:b/>
        </w:rPr>
        <w:t>References:</w:t>
      </w:r>
    </w:p>
    <w:p w14:paraId="34544F43" w14:textId="77777777" w:rsidR="00DC566C" w:rsidRPr="00AE3617" w:rsidRDefault="00DC566C" w:rsidP="005516FE">
      <w:pPr>
        <w:pStyle w:val="paragraph"/>
        <w:spacing w:before="0" w:beforeAutospacing="0" w:after="0" w:afterAutospacing="0"/>
        <w:textAlignment w:val="baseline"/>
      </w:pPr>
    </w:p>
    <w:p w14:paraId="790E8030" w14:textId="2FD34414" w:rsidR="00777DF8" w:rsidRPr="00AE3617" w:rsidRDefault="00777DF8" w:rsidP="005516FE">
      <w:pPr>
        <w:pStyle w:val="paragraph"/>
        <w:spacing w:before="0" w:beforeAutospacing="0" w:after="0" w:afterAutospacing="0"/>
        <w:textAlignment w:val="baseline"/>
      </w:pPr>
      <w:r w:rsidRPr="00AE3617">
        <w:t xml:space="preserve">Practice Guidelines for the Perioperative Management of Patients with Obstructive Sleep Apnea: An Updated Report by the American Society of Anesthesiologists Task Force on Perioperative Management of Patients with Obstructive Sleep Apnea. </w:t>
      </w:r>
      <w:r w:rsidRPr="00AE3617">
        <w:rPr>
          <w:i/>
        </w:rPr>
        <w:t>Anesthesiology</w:t>
      </w:r>
      <w:r w:rsidRPr="00AE3617">
        <w:t xml:space="preserve">. 2014; 120: 268-286. </w:t>
      </w:r>
    </w:p>
    <w:p w14:paraId="0823B73F" w14:textId="77777777" w:rsidR="00F70CED" w:rsidRPr="00AE3617" w:rsidRDefault="00F70CED" w:rsidP="005516FE">
      <w:pPr>
        <w:pStyle w:val="paragraph"/>
        <w:spacing w:before="0" w:beforeAutospacing="0" w:after="0" w:afterAutospacing="0"/>
        <w:textAlignment w:val="baseline"/>
      </w:pPr>
    </w:p>
    <w:p w14:paraId="5D39916D" w14:textId="7D02BAB3" w:rsidR="00F70CED" w:rsidRPr="00AE3617" w:rsidRDefault="00F70CED" w:rsidP="005516FE">
      <w:pPr>
        <w:pStyle w:val="paragraph"/>
        <w:spacing w:before="0" w:beforeAutospacing="0" w:after="0" w:afterAutospacing="0"/>
        <w:textAlignment w:val="baseline"/>
      </w:pPr>
      <w:r w:rsidRPr="00AE3617">
        <w:t xml:space="preserve">Practice Guidelines for Perioperative Blood Management: An Updated Report by the American Society of Anesthesiologists Task Force on Perioperative Blood Management. </w:t>
      </w:r>
      <w:r w:rsidRPr="00AE3617">
        <w:rPr>
          <w:i/>
        </w:rPr>
        <w:t>Anesthesiology</w:t>
      </w:r>
      <w:r w:rsidRPr="00AE3617">
        <w:t>. 2015; 122: 241-275.</w:t>
      </w:r>
    </w:p>
    <w:p w14:paraId="3C58B623" w14:textId="77777777" w:rsidR="00777DF8" w:rsidRPr="00AE3617" w:rsidRDefault="00777DF8" w:rsidP="005516FE">
      <w:pPr>
        <w:pStyle w:val="paragraph"/>
        <w:spacing w:before="0" w:beforeAutospacing="0" w:after="0" w:afterAutospacing="0"/>
        <w:textAlignment w:val="baseline"/>
      </w:pPr>
    </w:p>
    <w:p w14:paraId="21717B3C" w14:textId="2B60D0E4" w:rsidR="00DC566C" w:rsidRPr="00AE3617" w:rsidRDefault="00DC566C" w:rsidP="005516FE">
      <w:pPr>
        <w:pStyle w:val="paragraph"/>
        <w:spacing w:before="0" w:beforeAutospacing="0" w:after="0" w:afterAutospacing="0"/>
        <w:textAlignment w:val="baseline"/>
      </w:pPr>
      <w:r w:rsidRPr="00AE3617">
        <w:t xml:space="preserve">Bryson GL, et al. Patient selection in ambulatory anesthesia-An evidence-based review: part I. </w:t>
      </w:r>
      <w:r w:rsidR="004930D1" w:rsidRPr="00AE3617">
        <w:rPr>
          <w:i/>
        </w:rPr>
        <w:t>Can</w:t>
      </w:r>
      <w:r w:rsidR="005F572D" w:rsidRPr="00AE3617">
        <w:rPr>
          <w:i/>
        </w:rPr>
        <w:t>adian</w:t>
      </w:r>
      <w:r w:rsidR="004930D1" w:rsidRPr="00AE3617">
        <w:rPr>
          <w:i/>
        </w:rPr>
        <w:t xml:space="preserve"> J</w:t>
      </w:r>
      <w:r w:rsidR="005F572D" w:rsidRPr="00AE3617">
        <w:rPr>
          <w:i/>
        </w:rPr>
        <w:t>ournal</w:t>
      </w:r>
      <w:r w:rsidR="004930D1" w:rsidRPr="00AE3617">
        <w:rPr>
          <w:i/>
        </w:rPr>
        <w:t xml:space="preserve"> </w:t>
      </w:r>
      <w:r w:rsidR="00742B06" w:rsidRPr="00AE3617">
        <w:rPr>
          <w:i/>
        </w:rPr>
        <w:t xml:space="preserve">of </w:t>
      </w:r>
      <w:r w:rsidR="004930D1" w:rsidRPr="00AE3617">
        <w:rPr>
          <w:i/>
        </w:rPr>
        <w:t>Anesth</w:t>
      </w:r>
      <w:r w:rsidR="00742B06" w:rsidRPr="00AE3617">
        <w:rPr>
          <w:i/>
        </w:rPr>
        <w:t>esia</w:t>
      </w:r>
      <w:r w:rsidR="00F7694E" w:rsidRPr="00AE3617">
        <w:t xml:space="preserve">. 2004; 51 (8): </w:t>
      </w:r>
      <w:r w:rsidR="00565FEF" w:rsidRPr="00AE3617">
        <w:t>768-781</w:t>
      </w:r>
      <w:r w:rsidR="00742B06" w:rsidRPr="00AE3617">
        <w:t>.</w:t>
      </w:r>
    </w:p>
    <w:p w14:paraId="6612D73C" w14:textId="568E655B" w:rsidR="00742B06" w:rsidRPr="00AE3617" w:rsidRDefault="00331FAC" w:rsidP="005516FE">
      <w:pPr>
        <w:pStyle w:val="paragraph"/>
        <w:spacing w:before="0" w:beforeAutospacing="0" w:after="0" w:afterAutospacing="0"/>
        <w:textAlignment w:val="baseline"/>
      </w:pPr>
      <w:r w:rsidRPr="00AE3617">
        <w:t xml:space="preserve">Bryson GL, et al. Patient selection in ambulatory anesthesia-An evidence-based review: part II. </w:t>
      </w:r>
      <w:r w:rsidRPr="00AE3617">
        <w:rPr>
          <w:i/>
        </w:rPr>
        <w:t>Can</w:t>
      </w:r>
      <w:r w:rsidR="00742B06" w:rsidRPr="00AE3617">
        <w:rPr>
          <w:i/>
        </w:rPr>
        <w:t>adian</w:t>
      </w:r>
      <w:r w:rsidRPr="00AE3617">
        <w:rPr>
          <w:i/>
        </w:rPr>
        <w:t xml:space="preserve"> J</w:t>
      </w:r>
      <w:r w:rsidR="00742B06" w:rsidRPr="00AE3617">
        <w:rPr>
          <w:i/>
        </w:rPr>
        <w:t>ournal of</w:t>
      </w:r>
      <w:r w:rsidRPr="00AE3617">
        <w:rPr>
          <w:i/>
        </w:rPr>
        <w:t xml:space="preserve"> Anesth</w:t>
      </w:r>
      <w:r w:rsidR="00742B06" w:rsidRPr="00AE3617">
        <w:rPr>
          <w:i/>
        </w:rPr>
        <w:t>esia</w:t>
      </w:r>
      <w:r w:rsidRPr="00AE3617">
        <w:t>.</w:t>
      </w:r>
      <w:r w:rsidR="00742B06" w:rsidRPr="00AE3617">
        <w:t xml:space="preserve"> </w:t>
      </w:r>
      <w:r w:rsidR="00777DF8" w:rsidRPr="00AE3617">
        <w:t>2004; 51 (8):</w:t>
      </w:r>
      <w:r w:rsidR="00742B06" w:rsidRPr="00AE3617">
        <w:t xml:space="preserve"> 782-794.</w:t>
      </w:r>
    </w:p>
    <w:p w14:paraId="3C3A8096" w14:textId="77777777" w:rsidR="00742B06" w:rsidRPr="00AE3617" w:rsidRDefault="00742B06" w:rsidP="005516FE">
      <w:pPr>
        <w:pStyle w:val="paragraph"/>
        <w:spacing w:before="0" w:beforeAutospacing="0" w:after="0" w:afterAutospacing="0"/>
        <w:textAlignment w:val="baseline"/>
      </w:pPr>
    </w:p>
    <w:p w14:paraId="0935C850" w14:textId="77777777" w:rsidR="00742B06" w:rsidRPr="00AE3617" w:rsidRDefault="00742B06" w:rsidP="00742B06">
      <w:pPr>
        <w:rPr>
          <w:rFonts w:ascii="Times New Roman" w:hAnsi="Times New Roman" w:cs="Times New Roman"/>
        </w:rPr>
      </w:pPr>
      <w:r w:rsidRPr="00AE3617">
        <w:rPr>
          <w:rFonts w:ascii="Times New Roman" w:hAnsi="Times New Roman" w:cs="Times New Roman"/>
        </w:rPr>
        <w:t xml:space="preserve">Jorgensen et al. Time Elapsed After Ischemic Stroke and Risk of Adverse Cardiovascular Events and Mortality Following Elective Noncardiac Surgery. </w:t>
      </w:r>
      <w:r w:rsidRPr="00AE3617">
        <w:rPr>
          <w:rFonts w:ascii="Times New Roman" w:hAnsi="Times New Roman" w:cs="Times New Roman"/>
          <w:i/>
        </w:rPr>
        <w:t>JAMA</w:t>
      </w:r>
      <w:r w:rsidRPr="00AE3617">
        <w:rPr>
          <w:rFonts w:ascii="Times New Roman" w:hAnsi="Times New Roman" w:cs="Times New Roman"/>
        </w:rPr>
        <w:t>. 2014; 312 (3):269-277</w:t>
      </w:r>
    </w:p>
    <w:p w14:paraId="2D2BED27" w14:textId="77777777" w:rsidR="00742B06" w:rsidRPr="00AE3617" w:rsidRDefault="00742B06" w:rsidP="005516FE">
      <w:pPr>
        <w:pStyle w:val="paragraph"/>
        <w:spacing w:before="0" w:beforeAutospacing="0" w:after="0" w:afterAutospacing="0"/>
        <w:textAlignment w:val="baseline"/>
      </w:pPr>
    </w:p>
    <w:p w14:paraId="2B63D874" w14:textId="4D74538D" w:rsidR="00742B06" w:rsidRPr="00AE3617" w:rsidRDefault="00742B06" w:rsidP="005516FE">
      <w:pPr>
        <w:pStyle w:val="paragraph"/>
        <w:spacing w:before="0" w:beforeAutospacing="0" w:after="0" w:afterAutospacing="0"/>
        <w:textAlignment w:val="baseline"/>
        <w:rPr>
          <w:rStyle w:val="eop"/>
        </w:rPr>
      </w:pPr>
      <w:r w:rsidRPr="00AE3617">
        <w:t xml:space="preserve">Joshi GP, et al. Society for Ambulatory Anesthesia Consensus Statement on Preoperative Selection of Adults Patients with Obstructive Sleep Apnea Scheduled for Ambulatory Surgery. </w:t>
      </w:r>
      <w:r w:rsidRPr="00AE3617">
        <w:rPr>
          <w:rStyle w:val="eop"/>
          <w:i/>
        </w:rPr>
        <w:t>Anesthesia-Analgesia</w:t>
      </w:r>
      <w:r w:rsidRPr="00AE3617">
        <w:rPr>
          <w:rStyle w:val="eop"/>
        </w:rPr>
        <w:t>. 2012; 115 (5): 1060-1068.</w:t>
      </w:r>
    </w:p>
    <w:p w14:paraId="4B7D64C4" w14:textId="77777777" w:rsidR="00742B06" w:rsidRPr="00AE3617" w:rsidRDefault="00742B06" w:rsidP="005516FE">
      <w:pPr>
        <w:pStyle w:val="paragraph"/>
        <w:spacing w:before="0" w:beforeAutospacing="0" w:after="0" w:afterAutospacing="0"/>
        <w:textAlignment w:val="baseline"/>
        <w:rPr>
          <w:rStyle w:val="eop"/>
        </w:rPr>
      </w:pPr>
    </w:p>
    <w:p w14:paraId="3014A856" w14:textId="77777777" w:rsidR="00742B06" w:rsidRPr="00AE3617" w:rsidRDefault="00742B06" w:rsidP="00742B06">
      <w:pPr>
        <w:pStyle w:val="paragraph"/>
        <w:spacing w:before="0" w:beforeAutospacing="0" w:after="0" w:afterAutospacing="0"/>
        <w:textAlignment w:val="baseline"/>
        <w:rPr>
          <w:rStyle w:val="eop"/>
          <w:sz w:val="22"/>
          <w:szCs w:val="22"/>
        </w:rPr>
      </w:pPr>
      <w:r w:rsidRPr="00AE3617">
        <w:rPr>
          <w:rStyle w:val="eop"/>
        </w:rPr>
        <w:lastRenderedPageBreak/>
        <w:t xml:space="preserve">Joshi GP, et al. Society for Ambulatory Anesthesia Consensus Statement on Perioperative Blood Glucose Management in Diabetic Patients Undergoing Ambulatory Surgery. </w:t>
      </w:r>
      <w:r w:rsidRPr="00AE3617">
        <w:rPr>
          <w:rStyle w:val="eop"/>
          <w:i/>
        </w:rPr>
        <w:t>Anesthesia-Analgesia</w:t>
      </w:r>
      <w:r w:rsidRPr="00AE3617">
        <w:rPr>
          <w:rStyle w:val="eop"/>
        </w:rPr>
        <w:t>. 2010; 111 (6): 1378-1387.</w:t>
      </w:r>
    </w:p>
    <w:p w14:paraId="270F3233" w14:textId="238AB785" w:rsidR="00565FEF" w:rsidRPr="00AE3617" w:rsidRDefault="00565FEF" w:rsidP="005516FE">
      <w:pPr>
        <w:pStyle w:val="paragraph"/>
        <w:spacing w:before="0" w:beforeAutospacing="0" w:after="0" w:afterAutospacing="0"/>
        <w:textAlignment w:val="baseline"/>
      </w:pPr>
    </w:p>
    <w:p w14:paraId="4FE31D51" w14:textId="74AB3291" w:rsidR="005516FE" w:rsidRPr="00AE3617" w:rsidRDefault="005516FE" w:rsidP="005516FE">
      <w:pPr>
        <w:pStyle w:val="paragraph"/>
        <w:spacing w:before="0" w:beforeAutospacing="0" w:after="0" w:afterAutospacing="0"/>
        <w:textAlignment w:val="baseline"/>
      </w:pPr>
      <w:r w:rsidRPr="00AE3617">
        <w:t xml:space="preserve">Mathis MR, et al. Patient Selection for Day Case-eligible Surgery: Identifying Those at High Risk for Major Complications. </w:t>
      </w:r>
      <w:r w:rsidR="008810DD" w:rsidRPr="00AE3617">
        <w:rPr>
          <w:i/>
        </w:rPr>
        <w:t>Anesthesiology</w:t>
      </w:r>
      <w:r w:rsidR="00D26503" w:rsidRPr="00AE3617">
        <w:t xml:space="preserve">. 2013; 119 (6): </w:t>
      </w:r>
      <w:r w:rsidR="00367C3A" w:rsidRPr="00AE3617">
        <w:t xml:space="preserve">1310-1321. </w:t>
      </w:r>
    </w:p>
    <w:p w14:paraId="7D2C5008" w14:textId="77777777" w:rsidR="002B427D" w:rsidRPr="00AE3617" w:rsidRDefault="002B427D" w:rsidP="005516FE">
      <w:pPr>
        <w:pStyle w:val="paragraph"/>
        <w:spacing w:before="0" w:beforeAutospacing="0" w:after="0" w:afterAutospacing="0"/>
        <w:textAlignment w:val="baseline"/>
      </w:pPr>
    </w:p>
    <w:p w14:paraId="280734B9" w14:textId="77777777" w:rsidR="002B427D" w:rsidRPr="00AE3617" w:rsidRDefault="002B427D" w:rsidP="005516FE">
      <w:pPr>
        <w:pStyle w:val="paragraph"/>
        <w:spacing w:before="0" w:beforeAutospacing="0" w:after="0" w:afterAutospacing="0"/>
        <w:textAlignment w:val="baseline"/>
      </w:pPr>
    </w:p>
    <w:p w14:paraId="0693F1AD" w14:textId="77777777" w:rsidR="00367C3A" w:rsidRPr="00AE3617" w:rsidRDefault="00367C3A" w:rsidP="005516FE">
      <w:pPr>
        <w:pStyle w:val="paragraph"/>
        <w:spacing w:before="0" w:beforeAutospacing="0" w:after="0" w:afterAutospacing="0"/>
        <w:textAlignment w:val="baseline"/>
      </w:pPr>
    </w:p>
    <w:p w14:paraId="66BFD1C5" w14:textId="77777777" w:rsidR="00367C3A" w:rsidRPr="00AE3617" w:rsidRDefault="00367C3A" w:rsidP="005516FE">
      <w:pPr>
        <w:pStyle w:val="paragraph"/>
        <w:spacing w:before="0" w:beforeAutospacing="0" w:after="0" w:afterAutospacing="0"/>
        <w:textAlignment w:val="baseline"/>
      </w:pPr>
    </w:p>
    <w:sectPr w:rsidR="00367C3A" w:rsidRPr="00AE3617" w:rsidSect="0088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6C1"/>
    <w:multiLevelType w:val="hybridMultilevel"/>
    <w:tmpl w:val="D8F6E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C17C1"/>
    <w:multiLevelType w:val="multilevel"/>
    <w:tmpl w:val="0604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35F1"/>
    <w:multiLevelType w:val="multilevel"/>
    <w:tmpl w:val="22D82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9335DFC"/>
    <w:multiLevelType w:val="multilevel"/>
    <w:tmpl w:val="D062C32E"/>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4" w15:restartNumberingAfterBreak="0">
    <w:nsid w:val="19E524AB"/>
    <w:multiLevelType w:val="hybridMultilevel"/>
    <w:tmpl w:val="F7DAE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007BEE"/>
    <w:multiLevelType w:val="hybridMultilevel"/>
    <w:tmpl w:val="67FCB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BC3F72"/>
    <w:multiLevelType w:val="multilevel"/>
    <w:tmpl w:val="4E08F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C663728"/>
    <w:multiLevelType w:val="hybridMultilevel"/>
    <w:tmpl w:val="1ED88EE8"/>
    <w:lvl w:ilvl="0" w:tplc="2FC4FD4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20588"/>
    <w:multiLevelType w:val="hybridMultilevel"/>
    <w:tmpl w:val="A0FC94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F3134E"/>
    <w:multiLevelType w:val="multilevel"/>
    <w:tmpl w:val="762E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810D21"/>
    <w:multiLevelType w:val="multilevel"/>
    <w:tmpl w:val="BDEEE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C5E403E"/>
    <w:multiLevelType w:val="multilevel"/>
    <w:tmpl w:val="8B7A46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5ED1485"/>
    <w:multiLevelType w:val="hybridMultilevel"/>
    <w:tmpl w:val="F1B8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24D7D"/>
    <w:multiLevelType w:val="multilevel"/>
    <w:tmpl w:val="E38C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7D163B"/>
    <w:multiLevelType w:val="multilevel"/>
    <w:tmpl w:val="F732F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86CC2"/>
    <w:multiLevelType w:val="hybridMultilevel"/>
    <w:tmpl w:val="5C7093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476C7"/>
    <w:multiLevelType w:val="hybridMultilevel"/>
    <w:tmpl w:val="F162C2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260257"/>
    <w:multiLevelType w:val="hybridMultilevel"/>
    <w:tmpl w:val="00F65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5A6840"/>
    <w:multiLevelType w:val="hybridMultilevel"/>
    <w:tmpl w:val="7B3AD6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CA20A0"/>
    <w:multiLevelType w:val="multilevel"/>
    <w:tmpl w:val="C718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890CF8"/>
    <w:multiLevelType w:val="hybridMultilevel"/>
    <w:tmpl w:val="6A187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5763F5"/>
    <w:multiLevelType w:val="multilevel"/>
    <w:tmpl w:val="D9484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5CE2BC6"/>
    <w:multiLevelType w:val="hybridMultilevel"/>
    <w:tmpl w:val="EC6ED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AF465D"/>
    <w:multiLevelType w:val="multilevel"/>
    <w:tmpl w:val="50F0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4F4A76"/>
    <w:multiLevelType w:val="hybridMultilevel"/>
    <w:tmpl w:val="BDDC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F702FDB"/>
    <w:multiLevelType w:val="multilevel"/>
    <w:tmpl w:val="3666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7B30F7"/>
    <w:multiLevelType w:val="multilevel"/>
    <w:tmpl w:val="65223F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2AA0E1B"/>
    <w:multiLevelType w:val="multilevel"/>
    <w:tmpl w:val="C32E5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FE06E65"/>
    <w:multiLevelType w:val="hybridMultilevel"/>
    <w:tmpl w:val="986E5C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3114261"/>
    <w:multiLevelType w:val="hybridMultilevel"/>
    <w:tmpl w:val="8E305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34D5B59"/>
    <w:multiLevelType w:val="hybridMultilevel"/>
    <w:tmpl w:val="E0B0606E"/>
    <w:lvl w:ilvl="0" w:tplc="4F2A600A">
      <w:start w:val="202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845B65"/>
    <w:multiLevelType w:val="multilevel"/>
    <w:tmpl w:val="F9282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2473E3"/>
    <w:multiLevelType w:val="hybridMultilevel"/>
    <w:tmpl w:val="816EE75A"/>
    <w:lvl w:ilvl="0" w:tplc="1BF83D5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2F2818"/>
    <w:multiLevelType w:val="multilevel"/>
    <w:tmpl w:val="B178E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702A8"/>
    <w:multiLevelType w:val="hybridMultilevel"/>
    <w:tmpl w:val="764CC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194578"/>
    <w:multiLevelType w:val="multilevel"/>
    <w:tmpl w:val="BC8E2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65084513">
    <w:abstractNumId w:val="16"/>
  </w:num>
  <w:num w:numId="2" w16cid:durableId="278487800">
    <w:abstractNumId w:val="20"/>
  </w:num>
  <w:num w:numId="3" w16cid:durableId="636421207">
    <w:abstractNumId w:val="28"/>
  </w:num>
  <w:num w:numId="4" w16cid:durableId="19626106">
    <w:abstractNumId w:val="8"/>
  </w:num>
  <w:num w:numId="5" w16cid:durableId="351802970">
    <w:abstractNumId w:val="4"/>
  </w:num>
  <w:num w:numId="6" w16cid:durableId="1025136951">
    <w:abstractNumId w:val="19"/>
  </w:num>
  <w:num w:numId="7" w16cid:durableId="727805084">
    <w:abstractNumId w:val="3"/>
  </w:num>
  <w:num w:numId="8" w16cid:durableId="489179908">
    <w:abstractNumId w:val="2"/>
  </w:num>
  <w:num w:numId="9" w16cid:durableId="1978493237">
    <w:abstractNumId w:val="22"/>
  </w:num>
  <w:num w:numId="10" w16cid:durableId="1898280657">
    <w:abstractNumId w:val="9"/>
  </w:num>
  <w:num w:numId="11" w16cid:durableId="111752931">
    <w:abstractNumId w:val="27"/>
  </w:num>
  <w:num w:numId="12" w16cid:durableId="1475024327">
    <w:abstractNumId w:val="26"/>
  </w:num>
  <w:num w:numId="13" w16cid:durableId="1125588369">
    <w:abstractNumId w:val="13"/>
  </w:num>
  <w:num w:numId="14" w16cid:durableId="525753543">
    <w:abstractNumId w:val="35"/>
  </w:num>
  <w:num w:numId="15" w16cid:durableId="348408071">
    <w:abstractNumId w:val="10"/>
  </w:num>
  <w:num w:numId="16" w16cid:durableId="559513220">
    <w:abstractNumId w:val="1"/>
  </w:num>
  <w:num w:numId="17" w16cid:durableId="1802990150">
    <w:abstractNumId w:val="11"/>
  </w:num>
  <w:num w:numId="18" w16cid:durableId="1852332701">
    <w:abstractNumId w:val="31"/>
  </w:num>
  <w:num w:numId="19" w16cid:durableId="765687817">
    <w:abstractNumId w:val="6"/>
  </w:num>
  <w:num w:numId="20" w16cid:durableId="697051730">
    <w:abstractNumId w:val="33"/>
  </w:num>
  <w:num w:numId="21" w16cid:durableId="1267276515">
    <w:abstractNumId w:val="14"/>
  </w:num>
  <w:num w:numId="22" w16cid:durableId="1925453794">
    <w:abstractNumId w:val="0"/>
  </w:num>
  <w:num w:numId="23" w16cid:durableId="9573543">
    <w:abstractNumId w:val="5"/>
  </w:num>
  <w:num w:numId="24" w16cid:durableId="487677490">
    <w:abstractNumId w:val="12"/>
  </w:num>
  <w:num w:numId="25" w16cid:durableId="1083068753">
    <w:abstractNumId w:val="29"/>
  </w:num>
  <w:num w:numId="26" w16cid:durableId="2144344250">
    <w:abstractNumId w:val="25"/>
  </w:num>
  <w:num w:numId="27" w16cid:durableId="423382924">
    <w:abstractNumId w:val="23"/>
  </w:num>
  <w:num w:numId="28" w16cid:durableId="1473254761">
    <w:abstractNumId w:val="21"/>
  </w:num>
  <w:num w:numId="29" w16cid:durableId="836961650">
    <w:abstractNumId w:val="18"/>
  </w:num>
  <w:num w:numId="30" w16cid:durableId="2060124171">
    <w:abstractNumId w:val="17"/>
  </w:num>
  <w:num w:numId="31" w16cid:durableId="1998458949">
    <w:abstractNumId w:val="24"/>
  </w:num>
  <w:num w:numId="32" w16cid:durableId="2089230584">
    <w:abstractNumId w:val="30"/>
  </w:num>
  <w:num w:numId="33" w16cid:durableId="1924410365">
    <w:abstractNumId w:val="7"/>
  </w:num>
  <w:num w:numId="34" w16cid:durableId="1318419194">
    <w:abstractNumId w:val="32"/>
  </w:num>
  <w:num w:numId="35" w16cid:durableId="1276717056">
    <w:abstractNumId w:val="34"/>
  </w:num>
  <w:num w:numId="36" w16cid:durableId="11473574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88"/>
    <w:rsid w:val="0002432B"/>
    <w:rsid w:val="00050B13"/>
    <w:rsid w:val="000C259A"/>
    <w:rsid w:val="00142431"/>
    <w:rsid w:val="001451E8"/>
    <w:rsid w:val="00177A88"/>
    <w:rsid w:val="00177B05"/>
    <w:rsid w:val="001E3510"/>
    <w:rsid w:val="001E3733"/>
    <w:rsid w:val="00257731"/>
    <w:rsid w:val="00280DB9"/>
    <w:rsid w:val="002A0F65"/>
    <w:rsid w:val="002B2C80"/>
    <w:rsid w:val="002B427D"/>
    <w:rsid w:val="002D3827"/>
    <w:rsid w:val="002D5320"/>
    <w:rsid w:val="002D6FAA"/>
    <w:rsid w:val="002F13A5"/>
    <w:rsid w:val="002F1735"/>
    <w:rsid w:val="00331FAC"/>
    <w:rsid w:val="00336A50"/>
    <w:rsid w:val="00367C3A"/>
    <w:rsid w:val="003A45CD"/>
    <w:rsid w:val="004026A5"/>
    <w:rsid w:val="00405789"/>
    <w:rsid w:val="0042767C"/>
    <w:rsid w:val="004612C9"/>
    <w:rsid w:val="004930D1"/>
    <w:rsid w:val="004A609C"/>
    <w:rsid w:val="004D6361"/>
    <w:rsid w:val="004F1010"/>
    <w:rsid w:val="005069CB"/>
    <w:rsid w:val="0051372D"/>
    <w:rsid w:val="00516D32"/>
    <w:rsid w:val="005218FE"/>
    <w:rsid w:val="00523432"/>
    <w:rsid w:val="00533F09"/>
    <w:rsid w:val="00543B3B"/>
    <w:rsid w:val="00546425"/>
    <w:rsid w:val="005516FE"/>
    <w:rsid w:val="00565FEF"/>
    <w:rsid w:val="005732DB"/>
    <w:rsid w:val="005C3BD4"/>
    <w:rsid w:val="005F572D"/>
    <w:rsid w:val="006444C0"/>
    <w:rsid w:val="006E7603"/>
    <w:rsid w:val="007133F5"/>
    <w:rsid w:val="00723749"/>
    <w:rsid w:val="00742B06"/>
    <w:rsid w:val="00777DF8"/>
    <w:rsid w:val="007A2592"/>
    <w:rsid w:val="007B0CE1"/>
    <w:rsid w:val="007C6518"/>
    <w:rsid w:val="007D5659"/>
    <w:rsid w:val="007F3B1A"/>
    <w:rsid w:val="00840217"/>
    <w:rsid w:val="00841E59"/>
    <w:rsid w:val="00857841"/>
    <w:rsid w:val="008810DD"/>
    <w:rsid w:val="00883639"/>
    <w:rsid w:val="008D2BA5"/>
    <w:rsid w:val="008E1A65"/>
    <w:rsid w:val="008F4A64"/>
    <w:rsid w:val="00922FF5"/>
    <w:rsid w:val="00940CBF"/>
    <w:rsid w:val="009956E2"/>
    <w:rsid w:val="00A47F0F"/>
    <w:rsid w:val="00A50906"/>
    <w:rsid w:val="00A77935"/>
    <w:rsid w:val="00A86A4A"/>
    <w:rsid w:val="00AC74A6"/>
    <w:rsid w:val="00AE3617"/>
    <w:rsid w:val="00AE37BA"/>
    <w:rsid w:val="00B47017"/>
    <w:rsid w:val="00B52BF3"/>
    <w:rsid w:val="00B5526B"/>
    <w:rsid w:val="00B56543"/>
    <w:rsid w:val="00B63F3D"/>
    <w:rsid w:val="00B65FBD"/>
    <w:rsid w:val="00B876FA"/>
    <w:rsid w:val="00B95615"/>
    <w:rsid w:val="00B97978"/>
    <w:rsid w:val="00BA3507"/>
    <w:rsid w:val="00BD0A73"/>
    <w:rsid w:val="00C01E8B"/>
    <w:rsid w:val="00C449A1"/>
    <w:rsid w:val="00C5007B"/>
    <w:rsid w:val="00C724D6"/>
    <w:rsid w:val="00C90CE2"/>
    <w:rsid w:val="00CB34E6"/>
    <w:rsid w:val="00CB575D"/>
    <w:rsid w:val="00CC78EE"/>
    <w:rsid w:val="00D26503"/>
    <w:rsid w:val="00D26CBC"/>
    <w:rsid w:val="00DB6E8B"/>
    <w:rsid w:val="00DC566C"/>
    <w:rsid w:val="00E34F83"/>
    <w:rsid w:val="00E3662D"/>
    <w:rsid w:val="00E73FF6"/>
    <w:rsid w:val="00E91563"/>
    <w:rsid w:val="00ED4877"/>
    <w:rsid w:val="00EF677F"/>
    <w:rsid w:val="00F0381A"/>
    <w:rsid w:val="00F222B0"/>
    <w:rsid w:val="00F323D9"/>
    <w:rsid w:val="00F3596E"/>
    <w:rsid w:val="00F60D9F"/>
    <w:rsid w:val="00F70CED"/>
    <w:rsid w:val="00F7694E"/>
    <w:rsid w:val="00FE4C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ACC11C"/>
  <w14:defaultImageDpi w14:val="32767"/>
  <w15:docId w15:val="{DACAE409-DD2D-434B-8EA3-E4C5324D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A88"/>
    <w:pPr>
      <w:ind w:left="720"/>
      <w:contextualSpacing/>
    </w:pPr>
  </w:style>
  <w:style w:type="paragraph" w:customStyle="1" w:styleId="paragraph">
    <w:name w:val="paragraph"/>
    <w:basedOn w:val="Normal"/>
    <w:rsid w:val="0051372D"/>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51372D"/>
  </w:style>
  <w:style w:type="character" w:customStyle="1" w:styleId="apple-converted-space">
    <w:name w:val="apple-converted-space"/>
    <w:basedOn w:val="DefaultParagraphFont"/>
    <w:rsid w:val="0051372D"/>
  </w:style>
  <w:style w:type="character" w:customStyle="1" w:styleId="eop">
    <w:name w:val="eop"/>
    <w:basedOn w:val="DefaultParagraphFont"/>
    <w:rsid w:val="0051372D"/>
  </w:style>
  <w:style w:type="character" w:customStyle="1" w:styleId="spellingerror">
    <w:name w:val="spellingerror"/>
    <w:basedOn w:val="DefaultParagraphFont"/>
    <w:rsid w:val="00CB575D"/>
  </w:style>
  <w:style w:type="paragraph" w:styleId="BalloonText">
    <w:name w:val="Balloon Text"/>
    <w:basedOn w:val="Normal"/>
    <w:link w:val="BalloonTextChar"/>
    <w:uiPriority w:val="99"/>
    <w:semiHidden/>
    <w:unhideWhenUsed/>
    <w:rsid w:val="008F4A64"/>
    <w:rPr>
      <w:rFonts w:ascii="Lucida Grande" w:hAnsi="Lucida Grande"/>
      <w:sz w:val="18"/>
      <w:szCs w:val="18"/>
    </w:rPr>
  </w:style>
  <w:style w:type="character" w:customStyle="1" w:styleId="BalloonTextChar">
    <w:name w:val="Balloon Text Char"/>
    <w:basedOn w:val="DefaultParagraphFont"/>
    <w:link w:val="BalloonText"/>
    <w:uiPriority w:val="99"/>
    <w:semiHidden/>
    <w:rsid w:val="008F4A64"/>
    <w:rPr>
      <w:rFonts w:ascii="Lucida Grande" w:hAnsi="Lucida Grande"/>
      <w:sz w:val="18"/>
      <w:szCs w:val="18"/>
    </w:rPr>
  </w:style>
  <w:style w:type="character" w:styleId="Hyperlink">
    <w:name w:val="Hyperlink"/>
    <w:basedOn w:val="DefaultParagraphFont"/>
    <w:uiPriority w:val="99"/>
    <w:unhideWhenUsed/>
    <w:rsid w:val="00E34F83"/>
    <w:rPr>
      <w:color w:val="0563C1" w:themeColor="hyperlink"/>
      <w:u w:val="single"/>
    </w:rPr>
  </w:style>
  <w:style w:type="character" w:styleId="UnresolvedMention">
    <w:name w:val="Unresolved Mention"/>
    <w:basedOn w:val="DefaultParagraphFont"/>
    <w:uiPriority w:val="99"/>
    <w:semiHidden/>
    <w:unhideWhenUsed/>
    <w:rsid w:val="00E34F83"/>
    <w:rPr>
      <w:color w:val="605E5C"/>
      <w:shd w:val="clear" w:color="auto" w:fill="E1DFDD"/>
    </w:rPr>
  </w:style>
  <w:style w:type="paragraph" w:styleId="Revision">
    <w:name w:val="Revision"/>
    <w:hidden/>
    <w:uiPriority w:val="99"/>
    <w:semiHidden/>
    <w:rsid w:val="005C3BD4"/>
  </w:style>
  <w:style w:type="character" w:styleId="CommentReference">
    <w:name w:val="annotation reference"/>
    <w:basedOn w:val="DefaultParagraphFont"/>
    <w:uiPriority w:val="99"/>
    <w:semiHidden/>
    <w:unhideWhenUsed/>
    <w:rsid w:val="005C3BD4"/>
    <w:rPr>
      <w:sz w:val="16"/>
      <w:szCs w:val="16"/>
    </w:rPr>
  </w:style>
  <w:style w:type="paragraph" w:styleId="CommentText">
    <w:name w:val="annotation text"/>
    <w:basedOn w:val="Normal"/>
    <w:link w:val="CommentTextChar"/>
    <w:uiPriority w:val="99"/>
    <w:semiHidden/>
    <w:unhideWhenUsed/>
    <w:rsid w:val="005C3BD4"/>
    <w:rPr>
      <w:sz w:val="20"/>
      <w:szCs w:val="20"/>
    </w:rPr>
  </w:style>
  <w:style w:type="character" w:customStyle="1" w:styleId="CommentTextChar">
    <w:name w:val="Comment Text Char"/>
    <w:basedOn w:val="DefaultParagraphFont"/>
    <w:link w:val="CommentText"/>
    <w:uiPriority w:val="99"/>
    <w:semiHidden/>
    <w:rsid w:val="005C3BD4"/>
    <w:rPr>
      <w:sz w:val="20"/>
      <w:szCs w:val="20"/>
    </w:rPr>
  </w:style>
  <w:style w:type="paragraph" w:styleId="CommentSubject">
    <w:name w:val="annotation subject"/>
    <w:basedOn w:val="CommentText"/>
    <w:next w:val="CommentText"/>
    <w:link w:val="CommentSubjectChar"/>
    <w:uiPriority w:val="99"/>
    <w:semiHidden/>
    <w:unhideWhenUsed/>
    <w:rsid w:val="005C3BD4"/>
    <w:rPr>
      <w:b/>
      <w:bCs/>
    </w:rPr>
  </w:style>
  <w:style w:type="character" w:customStyle="1" w:styleId="CommentSubjectChar">
    <w:name w:val="Comment Subject Char"/>
    <w:basedOn w:val="CommentTextChar"/>
    <w:link w:val="CommentSubject"/>
    <w:uiPriority w:val="99"/>
    <w:semiHidden/>
    <w:rsid w:val="005C3B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01050">
      <w:bodyDiv w:val="1"/>
      <w:marLeft w:val="0"/>
      <w:marRight w:val="0"/>
      <w:marTop w:val="0"/>
      <w:marBottom w:val="0"/>
      <w:divBdr>
        <w:top w:val="none" w:sz="0" w:space="0" w:color="auto"/>
        <w:left w:val="none" w:sz="0" w:space="0" w:color="auto"/>
        <w:bottom w:val="none" w:sz="0" w:space="0" w:color="auto"/>
        <w:right w:val="none" w:sz="0" w:space="0" w:color="auto"/>
      </w:divBdr>
    </w:div>
    <w:div w:id="862010788">
      <w:bodyDiv w:val="1"/>
      <w:marLeft w:val="0"/>
      <w:marRight w:val="0"/>
      <w:marTop w:val="0"/>
      <w:marBottom w:val="0"/>
      <w:divBdr>
        <w:top w:val="none" w:sz="0" w:space="0" w:color="auto"/>
        <w:left w:val="none" w:sz="0" w:space="0" w:color="auto"/>
        <w:bottom w:val="none" w:sz="0" w:space="0" w:color="auto"/>
        <w:right w:val="none" w:sz="0" w:space="0" w:color="auto"/>
      </w:divBdr>
    </w:div>
    <w:div w:id="1109813627">
      <w:bodyDiv w:val="1"/>
      <w:marLeft w:val="0"/>
      <w:marRight w:val="0"/>
      <w:marTop w:val="0"/>
      <w:marBottom w:val="0"/>
      <w:divBdr>
        <w:top w:val="none" w:sz="0" w:space="0" w:color="auto"/>
        <w:left w:val="none" w:sz="0" w:space="0" w:color="auto"/>
        <w:bottom w:val="none" w:sz="0" w:space="0" w:color="auto"/>
        <w:right w:val="none" w:sz="0" w:space="0" w:color="auto"/>
      </w:divBdr>
      <w:divsChild>
        <w:div w:id="483621594">
          <w:marLeft w:val="0"/>
          <w:marRight w:val="0"/>
          <w:marTop w:val="0"/>
          <w:marBottom w:val="0"/>
          <w:divBdr>
            <w:top w:val="none" w:sz="0" w:space="0" w:color="auto"/>
            <w:left w:val="none" w:sz="0" w:space="0" w:color="auto"/>
            <w:bottom w:val="none" w:sz="0" w:space="0" w:color="auto"/>
            <w:right w:val="none" w:sz="0" w:space="0" w:color="auto"/>
          </w:divBdr>
          <w:divsChild>
            <w:div w:id="353194875">
              <w:marLeft w:val="0"/>
              <w:marRight w:val="0"/>
              <w:marTop w:val="0"/>
              <w:marBottom w:val="0"/>
              <w:divBdr>
                <w:top w:val="none" w:sz="0" w:space="0" w:color="auto"/>
                <w:left w:val="none" w:sz="0" w:space="0" w:color="auto"/>
                <w:bottom w:val="none" w:sz="0" w:space="0" w:color="auto"/>
                <w:right w:val="none" w:sz="0" w:space="0" w:color="auto"/>
              </w:divBdr>
            </w:div>
          </w:divsChild>
        </w:div>
        <w:div w:id="1252355031">
          <w:marLeft w:val="0"/>
          <w:marRight w:val="0"/>
          <w:marTop w:val="0"/>
          <w:marBottom w:val="0"/>
          <w:divBdr>
            <w:top w:val="none" w:sz="0" w:space="0" w:color="auto"/>
            <w:left w:val="none" w:sz="0" w:space="0" w:color="auto"/>
            <w:bottom w:val="none" w:sz="0" w:space="0" w:color="auto"/>
            <w:right w:val="none" w:sz="0" w:space="0" w:color="auto"/>
          </w:divBdr>
        </w:div>
      </w:divsChild>
    </w:div>
    <w:div w:id="1993213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urnals.lww.com/anesthesia-analgesia/Fulltext/2021/12000/Patient_Selection_for_Adult_Ambulatory_Surgery__A.1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UCSD Medical Center</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Minhthy Meineke</dc:creator>
  <cp:keywords/>
  <dc:description/>
  <cp:lastModifiedBy>Gabriel, Rodney</cp:lastModifiedBy>
  <cp:revision>15</cp:revision>
  <cp:lastPrinted>2018-09-25T18:10:00Z</cp:lastPrinted>
  <dcterms:created xsi:type="dcterms:W3CDTF">2022-01-30T21:40:00Z</dcterms:created>
  <dcterms:modified xsi:type="dcterms:W3CDTF">2024-06-14T17:15:00Z</dcterms:modified>
</cp:coreProperties>
</file>