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400"/>
        <w:tblW w:w="10079"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9"/>
      </w:tblGrid>
      <w:tr w:rsidR="002E24A9" w:rsidRPr="00F64A85" w14:paraId="47930A26" w14:textId="77777777" w:rsidTr="00F64A85">
        <w:trPr>
          <w:trHeight w:val="1733"/>
        </w:trPr>
        <w:tc>
          <w:tcPr>
            <w:tcW w:w="10079" w:type="dxa"/>
            <w:shd w:val="clear" w:color="auto" w:fill="1F3864"/>
            <w:tcMar>
              <w:top w:w="400" w:type="dxa"/>
              <w:left w:w="300" w:type="dxa"/>
              <w:bottom w:w="400" w:type="dxa"/>
              <w:right w:w="300" w:type="dxa"/>
            </w:tcMar>
          </w:tcPr>
          <w:p w14:paraId="47930A23" w14:textId="77777777" w:rsidR="002E24A9" w:rsidRPr="00F64A85" w:rsidRDefault="00C15295" w:rsidP="0076297C">
            <w:pPr>
              <w:spacing w:after="200"/>
              <w:jc w:val="center"/>
              <w:rPr>
                <w:rFonts w:asciiTheme="minorHAnsi" w:hAnsiTheme="minorHAnsi" w:cstheme="minorHAnsi"/>
              </w:rPr>
            </w:pPr>
            <w:r w:rsidRPr="00F64A85">
              <w:rPr>
                <w:rFonts w:asciiTheme="minorHAnsi" w:hAnsiTheme="minorHAnsi" w:cstheme="minorHAnsi"/>
                <w:b/>
                <w:bCs/>
                <w:color w:val="FFFFFF"/>
                <w:sz w:val="32"/>
                <w:szCs w:val="32"/>
              </w:rPr>
              <w:t>Tax Architecture in NetSuite: Legacy Tax &amp; SuiteTax</w:t>
            </w:r>
          </w:p>
          <w:p w14:paraId="47930A24" w14:textId="77777777" w:rsidR="002E24A9" w:rsidRPr="00F64A85" w:rsidRDefault="00C15295" w:rsidP="0076297C">
            <w:pPr>
              <w:spacing w:after="300"/>
              <w:jc w:val="center"/>
              <w:rPr>
                <w:rFonts w:asciiTheme="minorHAnsi" w:hAnsiTheme="minorHAnsi" w:cstheme="minorHAnsi"/>
              </w:rPr>
            </w:pPr>
            <w:r w:rsidRPr="00F64A85">
              <w:rPr>
                <w:rFonts w:asciiTheme="minorHAnsi" w:hAnsiTheme="minorHAnsi" w:cstheme="minorHAnsi"/>
                <w:iCs/>
                <w:color w:val="DCE6F1"/>
                <w:sz w:val="22"/>
                <w:szCs w:val="22"/>
              </w:rPr>
              <w:t>Nexus, Tax Codes, Tax Types, Tax Engines, Nexus Determination Logic, and SuiteScript Tax Automation</w:t>
            </w:r>
          </w:p>
          <w:p w14:paraId="47930A25" w14:textId="77777777" w:rsidR="002E24A9" w:rsidRPr="00F64A85" w:rsidRDefault="00C15295" w:rsidP="0076297C">
            <w:pPr>
              <w:jc w:val="center"/>
              <w:rPr>
                <w:rFonts w:asciiTheme="minorHAnsi" w:hAnsiTheme="minorHAnsi" w:cstheme="minorHAnsi"/>
              </w:rPr>
            </w:pPr>
            <w:r w:rsidRPr="00F64A85">
              <w:rPr>
                <w:rFonts w:asciiTheme="minorHAnsi" w:hAnsiTheme="minorHAnsi" w:cstheme="minorHAnsi"/>
                <w:b/>
                <w:bCs/>
                <w:color w:val="FFFFFF"/>
                <w:sz w:val="24"/>
                <w:szCs w:val="24"/>
              </w:rPr>
              <w:t>Weekly Learning Series — Week 21</w:t>
            </w:r>
          </w:p>
        </w:tc>
      </w:tr>
    </w:tbl>
    <w:p w14:paraId="47930A27" w14:textId="77777777" w:rsidR="002E24A9" w:rsidRPr="00F64A85" w:rsidRDefault="002E24A9">
      <w:pPr>
        <w:rPr>
          <w:rFonts w:asciiTheme="minorHAnsi" w:hAnsiTheme="minorHAnsi" w:cstheme="minorHAnsi"/>
        </w:rPr>
      </w:pPr>
    </w:p>
    <w:p w14:paraId="47930A28" w14:textId="77777777" w:rsidR="002E24A9" w:rsidRPr="00F64A85" w:rsidRDefault="002E24A9">
      <w:pPr>
        <w:rPr>
          <w:rFonts w:asciiTheme="minorHAnsi" w:hAnsiTheme="minorHAnsi" w:cstheme="minorHAnsi"/>
        </w:rPr>
      </w:pPr>
    </w:p>
    <w:p w14:paraId="4123FAAA" w14:textId="2CC20336" w:rsidR="00F64A85" w:rsidRDefault="00F64A85">
      <w:pPr>
        <w:pStyle w:val="Heading1"/>
        <w:spacing w:before="300" w:after="150"/>
        <w:rPr>
          <w:rFonts w:asciiTheme="minorHAnsi" w:hAnsiTheme="minorHAnsi" w:cstheme="minorHAnsi"/>
          <w:b/>
          <w:bCs/>
        </w:rPr>
      </w:pPr>
      <w:r>
        <w:rPr>
          <w:noProof/>
        </w:rPr>
        <w:drawing>
          <wp:inline distT="0" distB="0" distL="0" distR="0" wp14:anchorId="44ACECCB" wp14:editId="47182D94">
            <wp:extent cx="6400800" cy="42672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w="19050">
                      <a:solidFill>
                        <a:schemeClr val="tx1"/>
                      </a:solidFill>
                    </a:ln>
                  </pic:spPr>
                </pic:pic>
              </a:graphicData>
            </a:graphic>
          </wp:inline>
        </w:drawing>
      </w:r>
    </w:p>
    <w:p w14:paraId="64ABBF4F" w14:textId="77777777" w:rsidR="00F64A85" w:rsidRDefault="00F64A85">
      <w:pPr>
        <w:pStyle w:val="Heading1"/>
        <w:spacing w:before="300" w:after="150"/>
        <w:rPr>
          <w:rFonts w:asciiTheme="minorHAnsi" w:hAnsiTheme="minorHAnsi" w:cstheme="minorHAnsi"/>
          <w:b/>
          <w:bCs/>
        </w:rPr>
      </w:pPr>
    </w:p>
    <w:p w14:paraId="7A598A26" w14:textId="77777777" w:rsidR="00F64A85" w:rsidRDefault="00F64A85">
      <w:pPr>
        <w:pStyle w:val="Heading1"/>
        <w:spacing w:before="300" w:after="150"/>
        <w:rPr>
          <w:rFonts w:asciiTheme="minorHAnsi" w:hAnsiTheme="minorHAnsi" w:cstheme="minorHAnsi"/>
          <w:b/>
          <w:bCs/>
        </w:rPr>
      </w:pPr>
    </w:p>
    <w:p w14:paraId="56315C8B" w14:textId="77777777" w:rsidR="00F64A85" w:rsidRDefault="00F64A85">
      <w:pPr>
        <w:pStyle w:val="Heading1"/>
        <w:spacing w:before="300" w:after="150"/>
        <w:rPr>
          <w:rFonts w:asciiTheme="minorHAnsi" w:hAnsiTheme="minorHAnsi" w:cstheme="minorHAnsi"/>
          <w:b/>
          <w:bCs/>
        </w:rPr>
      </w:pPr>
    </w:p>
    <w:p w14:paraId="3783CAAA" w14:textId="77777777" w:rsidR="00F64A85" w:rsidRDefault="00F64A85">
      <w:pPr>
        <w:pStyle w:val="Heading1"/>
        <w:spacing w:before="300" w:after="150"/>
        <w:rPr>
          <w:rFonts w:asciiTheme="minorHAnsi" w:hAnsiTheme="minorHAnsi" w:cstheme="minorHAnsi"/>
          <w:b/>
          <w:bCs/>
        </w:rPr>
      </w:pPr>
    </w:p>
    <w:p w14:paraId="47930A2A" w14:textId="5602B991"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1. Introduction</w:t>
      </w:r>
    </w:p>
    <w:p w14:paraId="47930A2B"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Tax determination in NetSuite governs how sales and purchase transactions calculate, post, and report tax across jurisdictions. NetSuite currently ships two distinct tax architectures: the classic (legacy) tax engine and SuiteTax, a newer account-level framework introduced to support multi-jurisdiction compliance, tax rate history, and third-party tax engine integration.</w:t>
      </w:r>
    </w:p>
    <w:p w14:paraId="47930A2C"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Legacy tax remains fully supported for accounts that already have it enabled, but it is closed to new implementations going forward — new NetSuite accounts are provisioned directly on SuiteTax. Both architectures use the same core commerce transactions (Sales Order, Invoice, Cash Sale, Bill), but the underlying records, calculation logic, and available SuiteScript surface differ substantially between the two, which matters for anyone maintaining custom scripts, SuiteApps, or reports that touch tax fields.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E24A9" w:rsidRPr="00F64A85" w14:paraId="47930A33" w14:textId="77777777">
        <w:tc>
          <w:tcPr>
            <w:tcW w:w="9350" w:type="dxa"/>
            <w:shd w:val="clear" w:color="auto" w:fill="DCE6F1"/>
            <w:tcMar>
              <w:top w:w="150" w:type="dxa"/>
              <w:left w:w="200" w:type="dxa"/>
              <w:bottom w:w="150" w:type="dxa"/>
              <w:right w:w="200" w:type="dxa"/>
            </w:tcMar>
          </w:tcPr>
          <w:p w14:paraId="47930A2D" w14:textId="77777777" w:rsidR="002E24A9" w:rsidRPr="00F64A85" w:rsidRDefault="00C15295">
            <w:pPr>
              <w:spacing w:after="100"/>
              <w:rPr>
                <w:rFonts w:asciiTheme="minorHAnsi" w:hAnsiTheme="minorHAnsi" w:cstheme="minorHAnsi"/>
              </w:rPr>
            </w:pPr>
            <w:r w:rsidRPr="00F64A85">
              <w:rPr>
                <w:rFonts w:ascii="Segoe UI Emoji" w:hAnsi="Segoe UI Emoji" w:cs="Segoe UI Emoji"/>
                <w:b/>
                <w:bCs/>
              </w:rPr>
              <w:t>📌</w:t>
            </w:r>
            <w:r w:rsidRPr="00F64A85">
              <w:rPr>
                <w:rFonts w:asciiTheme="minorHAnsi" w:hAnsiTheme="minorHAnsi" w:cstheme="minorHAnsi"/>
                <w:b/>
                <w:bCs/>
              </w:rPr>
              <w:t xml:space="preserve"> Why Tax Architecture Matters</w:t>
            </w:r>
          </w:p>
          <w:p w14:paraId="47930A2E"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SuiteTax is an account-level feature — it applies to the entire NetSuite account, not to selected subsidiaries, and once enabled it cannot be disabled</w:t>
            </w:r>
          </w:p>
          <w:p w14:paraId="47930A2F"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Legacy tax supports a single tax registration per subsidiary and per customer/vendor record; SuiteTax supports multiple registrations, each with its own effective date range</w:t>
            </w:r>
          </w:p>
          <w:p w14:paraId="47930A30"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Legacy nexus determination looks only at the ship-to address; SuiteTax nexus determination considers ship-to, location, billing, and subsidiary addresses</w:t>
            </w:r>
          </w:p>
          <w:p w14:paraId="47930A31"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 xml:space="preserve">SuiteTax introduces the Tax Engine concept — a pluggable calculation layer that can be NetSuite's own SuiteTax Engine or a certified partner engine such as Avalara, Vertex, </w:t>
            </w:r>
            <w:proofErr w:type="spellStart"/>
            <w:r w:rsidRPr="00F64A85">
              <w:rPr>
                <w:rFonts w:asciiTheme="minorHAnsi" w:hAnsiTheme="minorHAnsi" w:cstheme="minorHAnsi"/>
              </w:rPr>
              <w:t>Sovos</w:t>
            </w:r>
            <w:proofErr w:type="spellEnd"/>
            <w:r w:rsidRPr="00F64A85">
              <w:rPr>
                <w:rFonts w:asciiTheme="minorHAnsi" w:hAnsiTheme="minorHAnsi" w:cstheme="minorHAnsi"/>
              </w:rPr>
              <w:t>, or Thomson Reuters</w:t>
            </w:r>
          </w:p>
          <w:p w14:paraId="47930A32"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Custom scripts and SuiteApps that read legacy tax fields (tax code on the item sublist, for example) generally need SuiteTax-aware logic, since several legacy fields and records are not available once SuiteTax is enabled</w:t>
            </w:r>
          </w:p>
        </w:tc>
      </w:tr>
    </w:tbl>
    <w:p w14:paraId="47930A34"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1.1 Tax in the Transaction Lifecycle</w:t>
      </w:r>
    </w:p>
    <w:p w14:paraId="47930A35"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Tax calculation sits between line-item entry and the general ledger. Whether an account runs legacy tax or SuiteTax, the same broad lifecycle applies — a nexus is identified, a calculation is triggered, and the result is broken out on the transaction before it posts.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2100"/>
        <w:gridCol w:w="1950"/>
      </w:tblGrid>
      <w:tr w:rsidR="002E24A9" w:rsidRPr="00F64A85" w14:paraId="47930A3A" w14:textId="77777777">
        <w:trPr>
          <w:tblHeader/>
        </w:trPr>
        <w:tc>
          <w:tcPr>
            <w:tcW w:w="2000" w:type="dxa"/>
            <w:shd w:val="clear" w:color="auto" w:fill="1F3864"/>
            <w:tcMar>
              <w:top w:w="80" w:type="dxa"/>
              <w:left w:w="100" w:type="dxa"/>
              <w:bottom w:w="80" w:type="dxa"/>
              <w:right w:w="100" w:type="dxa"/>
            </w:tcMar>
            <w:vAlign w:val="center"/>
          </w:tcPr>
          <w:p w14:paraId="47930A36"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Stage</w:t>
            </w:r>
          </w:p>
        </w:tc>
        <w:tc>
          <w:tcPr>
            <w:tcW w:w="3300" w:type="dxa"/>
            <w:shd w:val="clear" w:color="auto" w:fill="1F3864"/>
            <w:tcMar>
              <w:top w:w="80" w:type="dxa"/>
              <w:left w:w="100" w:type="dxa"/>
              <w:bottom w:w="80" w:type="dxa"/>
              <w:right w:w="100" w:type="dxa"/>
            </w:tcMar>
            <w:vAlign w:val="center"/>
          </w:tcPr>
          <w:p w14:paraId="47930A37"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What Happens</w:t>
            </w:r>
          </w:p>
        </w:tc>
        <w:tc>
          <w:tcPr>
            <w:tcW w:w="2100" w:type="dxa"/>
            <w:shd w:val="clear" w:color="auto" w:fill="1F3864"/>
            <w:tcMar>
              <w:top w:w="80" w:type="dxa"/>
              <w:left w:w="100" w:type="dxa"/>
              <w:bottom w:w="80" w:type="dxa"/>
              <w:right w:w="100" w:type="dxa"/>
            </w:tcMar>
            <w:vAlign w:val="center"/>
          </w:tcPr>
          <w:p w14:paraId="47930A38"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Legacy Tax Object</w:t>
            </w:r>
          </w:p>
        </w:tc>
        <w:tc>
          <w:tcPr>
            <w:tcW w:w="1950" w:type="dxa"/>
            <w:shd w:val="clear" w:color="auto" w:fill="1F3864"/>
            <w:tcMar>
              <w:top w:w="80" w:type="dxa"/>
              <w:left w:w="100" w:type="dxa"/>
              <w:bottom w:w="80" w:type="dxa"/>
              <w:right w:w="100" w:type="dxa"/>
            </w:tcMar>
            <w:vAlign w:val="center"/>
          </w:tcPr>
          <w:p w14:paraId="47930A39"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SuiteTax Object</w:t>
            </w:r>
          </w:p>
        </w:tc>
      </w:tr>
      <w:tr w:rsidR="002E24A9" w:rsidRPr="00F64A85" w14:paraId="47930A3F" w14:textId="77777777">
        <w:tc>
          <w:tcPr>
            <w:tcW w:w="2000" w:type="dxa"/>
            <w:shd w:val="clear" w:color="auto" w:fill="FFFFFF"/>
            <w:tcMar>
              <w:top w:w="80" w:type="dxa"/>
              <w:left w:w="100" w:type="dxa"/>
              <w:bottom w:w="80" w:type="dxa"/>
              <w:right w:w="100" w:type="dxa"/>
            </w:tcMar>
          </w:tcPr>
          <w:p w14:paraId="47930A3B" w14:textId="77777777" w:rsidR="002E24A9" w:rsidRPr="00F64A85" w:rsidRDefault="00C15295">
            <w:pPr>
              <w:rPr>
                <w:rFonts w:asciiTheme="minorHAnsi" w:hAnsiTheme="minorHAnsi" w:cstheme="minorHAnsi"/>
              </w:rPr>
            </w:pPr>
            <w:r w:rsidRPr="00F64A85">
              <w:rPr>
                <w:rFonts w:asciiTheme="minorHAnsi" w:hAnsiTheme="minorHAnsi" w:cstheme="minorHAnsi"/>
              </w:rPr>
              <w:t>Nexus Identification</w:t>
            </w:r>
          </w:p>
        </w:tc>
        <w:tc>
          <w:tcPr>
            <w:tcW w:w="3300" w:type="dxa"/>
            <w:shd w:val="clear" w:color="auto" w:fill="FFFFFF"/>
            <w:tcMar>
              <w:top w:w="80" w:type="dxa"/>
              <w:left w:w="100" w:type="dxa"/>
              <w:bottom w:w="80" w:type="dxa"/>
              <w:right w:w="100" w:type="dxa"/>
            </w:tcMar>
          </w:tcPr>
          <w:p w14:paraId="47930A3C" w14:textId="77777777" w:rsidR="002E24A9" w:rsidRPr="00F64A85" w:rsidRDefault="00C15295">
            <w:pPr>
              <w:rPr>
                <w:rFonts w:asciiTheme="minorHAnsi" w:hAnsiTheme="minorHAnsi" w:cstheme="minorHAnsi"/>
              </w:rPr>
            </w:pPr>
            <w:r w:rsidRPr="00F64A85">
              <w:rPr>
                <w:rFonts w:asciiTheme="minorHAnsi" w:hAnsiTheme="minorHAnsi" w:cstheme="minorHAnsi"/>
              </w:rPr>
              <w:t>NetSuite determines which tax jurisdiction applies to the transaction</w:t>
            </w:r>
          </w:p>
        </w:tc>
        <w:tc>
          <w:tcPr>
            <w:tcW w:w="2100" w:type="dxa"/>
            <w:shd w:val="clear" w:color="auto" w:fill="FFFFFF"/>
            <w:tcMar>
              <w:top w:w="80" w:type="dxa"/>
              <w:left w:w="100" w:type="dxa"/>
              <w:bottom w:w="80" w:type="dxa"/>
              <w:right w:w="100" w:type="dxa"/>
            </w:tcMar>
          </w:tcPr>
          <w:p w14:paraId="47930A3D" w14:textId="77777777" w:rsidR="002E24A9" w:rsidRPr="00F64A85" w:rsidRDefault="00C15295">
            <w:pPr>
              <w:rPr>
                <w:rFonts w:asciiTheme="minorHAnsi" w:hAnsiTheme="minorHAnsi" w:cstheme="minorHAnsi"/>
              </w:rPr>
            </w:pPr>
            <w:r w:rsidRPr="00F64A85">
              <w:rPr>
                <w:rFonts w:asciiTheme="minorHAnsi" w:hAnsiTheme="minorHAnsi" w:cstheme="minorHAnsi"/>
              </w:rPr>
              <w:t>Nexus (ship-to address only)</w:t>
            </w:r>
          </w:p>
        </w:tc>
        <w:tc>
          <w:tcPr>
            <w:tcW w:w="1950" w:type="dxa"/>
            <w:shd w:val="clear" w:color="auto" w:fill="FFFFFF"/>
            <w:tcMar>
              <w:top w:w="80" w:type="dxa"/>
              <w:left w:w="100" w:type="dxa"/>
              <w:bottom w:w="80" w:type="dxa"/>
              <w:right w:w="100" w:type="dxa"/>
            </w:tcMar>
          </w:tcPr>
          <w:p w14:paraId="47930A3E" w14:textId="77777777" w:rsidR="002E24A9" w:rsidRPr="00F64A85" w:rsidRDefault="00C15295">
            <w:pPr>
              <w:rPr>
                <w:rFonts w:asciiTheme="minorHAnsi" w:hAnsiTheme="minorHAnsi" w:cstheme="minorHAnsi"/>
              </w:rPr>
            </w:pPr>
            <w:r w:rsidRPr="00F64A85">
              <w:rPr>
                <w:rFonts w:asciiTheme="minorHAnsi" w:hAnsiTheme="minorHAnsi" w:cstheme="minorHAnsi"/>
              </w:rPr>
              <w:t>Nexus (ship-to, location, billing, or subsidiary address)</w:t>
            </w:r>
          </w:p>
        </w:tc>
      </w:tr>
      <w:tr w:rsidR="002E24A9" w:rsidRPr="00F64A85" w14:paraId="47930A44" w14:textId="77777777">
        <w:tc>
          <w:tcPr>
            <w:tcW w:w="2000" w:type="dxa"/>
            <w:shd w:val="clear" w:color="auto" w:fill="F2F2F2"/>
            <w:tcMar>
              <w:top w:w="80" w:type="dxa"/>
              <w:left w:w="100" w:type="dxa"/>
              <w:bottom w:w="80" w:type="dxa"/>
              <w:right w:w="100" w:type="dxa"/>
            </w:tcMar>
          </w:tcPr>
          <w:p w14:paraId="47930A40" w14:textId="77777777" w:rsidR="002E24A9" w:rsidRPr="00F64A85" w:rsidRDefault="00C15295">
            <w:pPr>
              <w:rPr>
                <w:rFonts w:asciiTheme="minorHAnsi" w:hAnsiTheme="minorHAnsi" w:cstheme="minorHAnsi"/>
              </w:rPr>
            </w:pPr>
            <w:r w:rsidRPr="00F64A85">
              <w:rPr>
                <w:rFonts w:asciiTheme="minorHAnsi" w:hAnsiTheme="minorHAnsi" w:cstheme="minorHAnsi"/>
              </w:rPr>
              <w:t>Tax Code / Rate Assignment</w:t>
            </w:r>
          </w:p>
        </w:tc>
        <w:tc>
          <w:tcPr>
            <w:tcW w:w="3300" w:type="dxa"/>
            <w:shd w:val="clear" w:color="auto" w:fill="F2F2F2"/>
            <w:tcMar>
              <w:top w:w="80" w:type="dxa"/>
              <w:left w:w="100" w:type="dxa"/>
              <w:bottom w:w="80" w:type="dxa"/>
              <w:right w:w="100" w:type="dxa"/>
            </w:tcMar>
          </w:tcPr>
          <w:p w14:paraId="47930A41" w14:textId="77777777" w:rsidR="002E24A9" w:rsidRPr="00F64A85" w:rsidRDefault="00C15295">
            <w:pPr>
              <w:rPr>
                <w:rFonts w:asciiTheme="minorHAnsi" w:hAnsiTheme="minorHAnsi" w:cstheme="minorHAnsi"/>
              </w:rPr>
            </w:pPr>
            <w:r w:rsidRPr="00F64A85">
              <w:rPr>
                <w:rFonts w:asciiTheme="minorHAnsi" w:hAnsiTheme="minorHAnsi" w:cstheme="minorHAnsi"/>
              </w:rPr>
              <w:t xml:space="preserve">The applicable rate and posting logic </w:t>
            </w:r>
            <w:proofErr w:type="gramStart"/>
            <w:r w:rsidRPr="00F64A85">
              <w:rPr>
                <w:rFonts w:asciiTheme="minorHAnsi" w:hAnsiTheme="minorHAnsi" w:cstheme="minorHAnsi"/>
              </w:rPr>
              <w:t>is</w:t>
            </w:r>
            <w:proofErr w:type="gramEnd"/>
            <w:r w:rsidRPr="00F64A85">
              <w:rPr>
                <w:rFonts w:asciiTheme="minorHAnsi" w:hAnsiTheme="minorHAnsi" w:cstheme="minorHAnsi"/>
              </w:rPr>
              <w:t xml:space="preserve"> attached to each line</w:t>
            </w:r>
          </w:p>
        </w:tc>
        <w:tc>
          <w:tcPr>
            <w:tcW w:w="2100" w:type="dxa"/>
            <w:shd w:val="clear" w:color="auto" w:fill="F2F2F2"/>
            <w:tcMar>
              <w:top w:w="80" w:type="dxa"/>
              <w:left w:w="100" w:type="dxa"/>
              <w:bottom w:w="80" w:type="dxa"/>
              <w:right w:w="100" w:type="dxa"/>
            </w:tcMar>
          </w:tcPr>
          <w:p w14:paraId="47930A42" w14:textId="77777777" w:rsidR="002E24A9" w:rsidRPr="00F64A85" w:rsidRDefault="00C15295">
            <w:pPr>
              <w:rPr>
                <w:rFonts w:asciiTheme="minorHAnsi" w:hAnsiTheme="minorHAnsi" w:cstheme="minorHAnsi"/>
              </w:rPr>
            </w:pPr>
            <w:r w:rsidRPr="00F64A85">
              <w:rPr>
                <w:rFonts w:asciiTheme="minorHAnsi" w:hAnsiTheme="minorHAnsi" w:cstheme="minorHAnsi"/>
              </w:rPr>
              <w:t>Tax Code / Tax Group</w:t>
            </w:r>
          </w:p>
        </w:tc>
        <w:tc>
          <w:tcPr>
            <w:tcW w:w="1950" w:type="dxa"/>
            <w:shd w:val="clear" w:color="auto" w:fill="F2F2F2"/>
            <w:tcMar>
              <w:top w:w="80" w:type="dxa"/>
              <w:left w:w="100" w:type="dxa"/>
              <w:bottom w:w="80" w:type="dxa"/>
              <w:right w:w="100" w:type="dxa"/>
            </w:tcMar>
          </w:tcPr>
          <w:p w14:paraId="47930A43" w14:textId="77777777" w:rsidR="002E24A9" w:rsidRPr="00F64A85" w:rsidRDefault="00C15295">
            <w:pPr>
              <w:rPr>
                <w:rFonts w:asciiTheme="minorHAnsi" w:hAnsiTheme="minorHAnsi" w:cstheme="minorHAnsi"/>
              </w:rPr>
            </w:pPr>
            <w:r w:rsidRPr="00F64A85">
              <w:rPr>
                <w:rFonts w:asciiTheme="minorHAnsi" w:hAnsiTheme="minorHAnsi" w:cstheme="minorHAnsi"/>
              </w:rPr>
              <w:t>Tax Code (engine-provisioned) + Tax Type</w:t>
            </w:r>
          </w:p>
        </w:tc>
      </w:tr>
      <w:tr w:rsidR="002E24A9" w:rsidRPr="00F64A85" w14:paraId="47930A49" w14:textId="77777777">
        <w:tc>
          <w:tcPr>
            <w:tcW w:w="2000" w:type="dxa"/>
            <w:shd w:val="clear" w:color="auto" w:fill="FFFFFF"/>
            <w:tcMar>
              <w:top w:w="80" w:type="dxa"/>
              <w:left w:w="100" w:type="dxa"/>
              <w:bottom w:w="80" w:type="dxa"/>
              <w:right w:w="100" w:type="dxa"/>
            </w:tcMar>
          </w:tcPr>
          <w:p w14:paraId="47930A45" w14:textId="77777777" w:rsidR="002E24A9" w:rsidRPr="00F64A85" w:rsidRDefault="00C15295">
            <w:pPr>
              <w:rPr>
                <w:rFonts w:asciiTheme="minorHAnsi" w:hAnsiTheme="minorHAnsi" w:cstheme="minorHAnsi"/>
              </w:rPr>
            </w:pPr>
            <w:r w:rsidRPr="00F64A85">
              <w:rPr>
                <w:rFonts w:asciiTheme="minorHAnsi" w:hAnsiTheme="minorHAnsi" w:cstheme="minorHAnsi"/>
              </w:rPr>
              <w:t>Calculation</w:t>
            </w:r>
          </w:p>
        </w:tc>
        <w:tc>
          <w:tcPr>
            <w:tcW w:w="3300" w:type="dxa"/>
            <w:shd w:val="clear" w:color="auto" w:fill="FFFFFF"/>
            <w:tcMar>
              <w:top w:w="80" w:type="dxa"/>
              <w:left w:w="100" w:type="dxa"/>
              <w:bottom w:w="80" w:type="dxa"/>
              <w:right w:w="100" w:type="dxa"/>
            </w:tcMar>
          </w:tcPr>
          <w:p w14:paraId="47930A46" w14:textId="77777777" w:rsidR="002E24A9" w:rsidRPr="00F64A85" w:rsidRDefault="00C15295">
            <w:pPr>
              <w:rPr>
                <w:rFonts w:asciiTheme="minorHAnsi" w:hAnsiTheme="minorHAnsi" w:cstheme="minorHAnsi"/>
              </w:rPr>
            </w:pPr>
            <w:r w:rsidRPr="00F64A85">
              <w:rPr>
                <w:rFonts w:asciiTheme="minorHAnsi" w:hAnsiTheme="minorHAnsi" w:cstheme="minorHAnsi"/>
              </w:rPr>
              <w:t>Tax amount is computed for each taxable line</w:t>
            </w:r>
          </w:p>
        </w:tc>
        <w:tc>
          <w:tcPr>
            <w:tcW w:w="2100" w:type="dxa"/>
            <w:shd w:val="clear" w:color="auto" w:fill="FFFFFF"/>
            <w:tcMar>
              <w:top w:w="80" w:type="dxa"/>
              <w:left w:w="100" w:type="dxa"/>
              <w:bottom w:w="80" w:type="dxa"/>
              <w:right w:w="100" w:type="dxa"/>
            </w:tcMar>
          </w:tcPr>
          <w:p w14:paraId="47930A47" w14:textId="77777777" w:rsidR="002E24A9" w:rsidRPr="00F64A85" w:rsidRDefault="00C15295">
            <w:pPr>
              <w:rPr>
                <w:rFonts w:asciiTheme="minorHAnsi" w:hAnsiTheme="minorHAnsi" w:cstheme="minorHAnsi"/>
              </w:rPr>
            </w:pPr>
            <w:r w:rsidRPr="00F64A85">
              <w:rPr>
                <w:rFonts w:asciiTheme="minorHAnsi" w:hAnsiTheme="minorHAnsi" w:cstheme="minorHAnsi"/>
              </w:rPr>
              <w:t>Native calculation engine</w:t>
            </w:r>
          </w:p>
        </w:tc>
        <w:tc>
          <w:tcPr>
            <w:tcW w:w="1950" w:type="dxa"/>
            <w:shd w:val="clear" w:color="auto" w:fill="FFFFFF"/>
            <w:tcMar>
              <w:top w:w="80" w:type="dxa"/>
              <w:left w:w="100" w:type="dxa"/>
              <w:bottom w:w="80" w:type="dxa"/>
              <w:right w:w="100" w:type="dxa"/>
            </w:tcMar>
          </w:tcPr>
          <w:p w14:paraId="47930A48" w14:textId="77777777" w:rsidR="002E24A9" w:rsidRPr="00F64A85" w:rsidRDefault="00C15295">
            <w:pPr>
              <w:rPr>
                <w:rFonts w:asciiTheme="minorHAnsi" w:hAnsiTheme="minorHAnsi" w:cstheme="minorHAnsi"/>
              </w:rPr>
            </w:pPr>
            <w:r w:rsidRPr="00F64A85">
              <w:rPr>
                <w:rFonts w:asciiTheme="minorHAnsi" w:hAnsiTheme="minorHAnsi" w:cstheme="minorHAnsi"/>
              </w:rPr>
              <w:t>Tax Engine (native SuiteTax Engine or partner plug-in)</w:t>
            </w:r>
          </w:p>
        </w:tc>
      </w:tr>
      <w:tr w:rsidR="002E24A9" w:rsidRPr="00F64A85" w14:paraId="47930A4E" w14:textId="77777777">
        <w:tc>
          <w:tcPr>
            <w:tcW w:w="2000" w:type="dxa"/>
            <w:shd w:val="clear" w:color="auto" w:fill="F2F2F2"/>
            <w:tcMar>
              <w:top w:w="80" w:type="dxa"/>
              <w:left w:w="100" w:type="dxa"/>
              <w:bottom w:w="80" w:type="dxa"/>
              <w:right w:w="100" w:type="dxa"/>
            </w:tcMar>
          </w:tcPr>
          <w:p w14:paraId="47930A4A" w14:textId="77777777" w:rsidR="002E24A9" w:rsidRPr="00F64A85" w:rsidRDefault="00C15295">
            <w:pPr>
              <w:rPr>
                <w:rFonts w:asciiTheme="minorHAnsi" w:hAnsiTheme="minorHAnsi" w:cstheme="minorHAnsi"/>
              </w:rPr>
            </w:pPr>
            <w:r w:rsidRPr="00F64A85">
              <w:rPr>
                <w:rFonts w:asciiTheme="minorHAnsi" w:hAnsiTheme="minorHAnsi" w:cstheme="minorHAnsi"/>
              </w:rPr>
              <w:t>Transaction Detail</w:t>
            </w:r>
          </w:p>
        </w:tc>
        <w:tc>
          <w:tcPr>
            <w:tcW w:w="3300" w:type="dxa"/>
            <w:shd w:val="clear" w:color="auto" w:fill="F2F2F2"/>
            <w:tcMar>
              <w:top w:w="80" w:type="dxa"/>
              <w:left w:w="100" w:type="dxa"/>
              <w:bottom w:w="80" w:type="dxa"/>
              <w:right w:w="100" w:type="dxa"/>
            </w:tcMar>
          </w:tcPr>
          <w:p w14:paraId="47930A4B" w14:textId="77777777" w:rsidR="002E24A9" w:rsidRPr="00F64A85" w:rsidRDefault="00C15295">
            <w:pPr>
              <w:rPr>
                <w:rFonts w:asciiTheme="minorHAnsi" w:hAnsiTheme="minorHAnsi" w:cstheme="minorHAnsi"/>
              </w:rPr>
            </w:pPr>
            <w:r w:rsidRPr="00F64A85">
              <w:rPr>
                <w:rFonts w:asciiTheme="minorHAnsi" w:hAnsiTheme="minorHAnsi" w:cstheme="minorHAnsi"/>
              </w:rPr>
              <w:t>Calculated amounts are broken out for review</w:t>
            </w:r>
          </w:p>
        </w:tc>
        <w:tc>
          <w:tcPr>
            <w:tcW w:w="2100" w:type="dxa"/>
            <w:shd w:val="clear" w:color="auto" w:fill="F2F2F2"/>
            <w:tcMar>
              <w:top w:w="80" w:type="dxa"/>
              <w:left w:w="100" w:type="dxa"/>
              <w:bottom w:w="80" w:type="dxa"/>
              <w:right w:w="100" w:type="dxa"/>
            </w:tcMar>
          </w:tcPr>
          <w:p w14:paraId="47930A4C" w14:textId="77777777" w:rsidR="002E24A9" w:rsidRPr="00F64A85" w:rsidRDefault="00C15295">
            <w:pPr>
              <w:rPr>
                <w:rFonts w:asciiTheme="minorHAnsi" w:hAnsiTheme="minorHAnsi" w:cstheme="minorHAnsi"/>
              </w:rPr>
            </w:pPr>
            <w:r w:rsidRPr="00F64A85">
              <w:rPr>
                <w:rFonts w:asciiTheme="minorHAnsi" w:hAnsiTheme="minorHAnsi" w:cstheme="minorHAnsi"/>
              </w:rPr>
              <w:t>Tax subtotal on transaction</w:t>
            </w:r>
          </w:p>
        </w:tc>
        <w:tc>
          <w:tcPr>
            <w:tcW w:w="1950" w:type="dxa"/>
            <w:shd w:val="clear" w:color="auto" w:fill="F2F2F2"/>
            <w:tcMar>
              <w:top w:w="80" w:type="dxa"/>
              <w:left w:w="100" w:type="dxa"/>
              <w:bottom w:w="80" w:type="dxa"/>
              <w:right w:w="100" w:type="dxa"/>
            </w:tcMar>
          </w:tcPr>
          <w:p w14:paraId="47930A4D" w14:textId="77777777" w:rsidR="002E24A9" w:rsidRPr="00F64A85" w:rsidRDefault="00C15295">
            <w:pPr>
              <w:rPr>
                <w:rFonts w:asciiTheme="minorHAnsi" w:hAnsiTheme="minorHAnsi" w:cstheme="minorHAnsi"/>
              </w:rPr>
            </w:pPr>
            <w:r w:rsidRPr="00F64A85">
              <w:rPr>
                <w:rFonts w:asciiTheme="minorHAnsi" w:hAnsiTheme="minorHAnsi" w:cstheme="minorHAnsi"/>
              </w:rPr>
              <w:t>Tax Details subtab, per line item</w:t>
            </w:r>
          </w:p>
        </w:tc>
      </w:tr>
      <w:tr w:rsidR="002E24A9" w:rsidRPr="00F64A85" w14:paraId="47930A53" w14:textId="77777777">
        <w:tc>
          <w:tcPr>
            <w:tcW w:w="2000" w:type="dxa"/>
            <w:shd w:val="clear" w:color="auto" w:fill="FFFFFF"/>
            <w:tcMar>
              <w:top w:w="80" w:type="dxa"/>
              <w:left w:w="100" w:type="dxa"/>
              <w:bottom w:w="80" w:type="dxa"/>
              <w:right w:w="100" w:type="dxa"/>
            </w:tcMar>
          </w:tcPr>
          <w:p w14:paraId="47930A4F" w14:textId="77777777" w:rsidR="002E24A9" w:rsidRPr="00F64A85" w:rsidRDefault="00C15295">
            <w:pPr>
              <w:rPr>
                <w:rFonts w:asciiTheme="minorHAnsi" w:hAnsiTheme="minorHAnsi" w:cstheme="minorHAnsi"/>
              </w:rPr>
            </w:pPr>
            <w:r w:rsidRPr="00F64A85">
              <w:rPr>
                <w:rFonts w:asciiTheme="minorHAnsi" w:hAnsiTheme="minorHAnsi" w:cstheme="minorHAnsi"/>
              </w:rPr>
              <w:t>GL Posting</w:t>
            </w:r>
          </w:p>
        </w:tc>
        <w:tc>
          <w:tcPr>
            <w:tcW w:w="3300" w:type="dxa"/>
            <w:shd w:val="clear" w:color="auto" w:fill="FFFFFF"/>
            <w:tcMar>
              <w:top w:w="80" w:type="dxa"/>
              <w:left w:w="100" w:type="dxa"/>
              <w:bottom w:w="80" w:type="dxa"/>
              <w:right w:w="100" w:type="dxa"/>
            </w:tcMar>
          </w:tcPr>
          <w:p w14:paraId="47930A50" w14:textId="77777777" w:rsidR="002E24A9" w:rsidRPr="00F64A85" w:rsidRDefault="00C15295">
            <w:pPr>
              <w:rPr>
                <w:rFonts w:asciiTheme="minorHAnsi" w:hAnsiTheme="minorHAnsi" w:cstheme="minorHAnsi"/>
              </w:rPr>
            </w:pPr>
            <w:r w:rsidRPr="00F64A85">
              <w:rPr>
                <w:rFonts w:asciiTheme="minorHAnsi" w:hAnsiTheme="minorHAnsi" w:cstheme="minorHAnsi"/>
              </w:rPr>
              <w:t>Tax amounts post to the tax liability accounts</w:t>
            </w:r>
          </w:p>
        </w:tc>
        <w:tc>
          <w:tcPr>
            <w:tcW w:w="2100" w:type="dxa"/>
            <w:shd w:val="clear" w:color="auto" w:fill="FFFFFF"/>
            <w:tcMar>
              <w:top w:w="80" w:type="dxa"/>
              <w:left w:w="100" w:type="dxa"/>
              <w:bottom w:w="80" w:type="dxa"/>
              <w:right w:w="100" w:type="dxa"/>
            </w:tcMar>
          </w:tcPr>
          <w:p w14:paraId="47930A51" w14:textId="77777777" w:rsidR="002E24A9" w:rsidRPr="00F64A85" w:rsidRDefault="00C15295">
            <w:pPr>
              <w:rPr>
                <w:rFonts w:asciiTheme="minorHAnsi" w:hAnsiTheme="minorHAnsi" w:cstheme="minorHAnsi"/>
              </w:rPr>
            </w:pPr>
            <w:r w:rsidRPr="00F64A85">
              <w:rPr>
                <w:rFonts w:asciiTheme="minorHAnsi" w:hAnsiTheme="minorHAnsi" w:cstheme="minorHAnsi"/>
              </w:rPr>
              <w:t>Tax Code's linked account</w:t>
            </w:r>
          </w:p>
        </w:tc>
        <w:tc>
          <w:tcPr>
            <w:tcW w:w="1950" w:type="dxa"/>
            <w:shd w:val="clear" w:color="auto" w:fill="FFFFFF"/>
            <w:tcMar>
              <w:top w:w="80" w:type="dxa"/>
              <w:left w:w="100" w:type="dxa"/>
              <w:bottom w:w="80" w:type="dxa"/>
              <w:right w:w="100" w:type="dxa"/>
            </w:tcMar>
          </w:tcPr>
          <w:p w14:paraId="47930A52" w14:textId="77777777" w:rsidR="002E24A9" w:rsidRPr="00F64A85" w:rsidRDefault="00C15295">
            <w:pPr>
              <w:rPr>
                <w:rFonts w:asciiTheme="minorHAnsi" w:hAnsiTheme="minorHAnsi" w:cstheme="minorHAnsi"/>
              </w:rPr>
            </w:pPr>
            <w:r w:rsidRPr="00F64A85">
              <w:rPr>
                <w:rFonts w:asciiTheme="minorHAnsi" w:hAnsiTheme="minorHAnsi" w:cstheme="minorHAnsi"/>
              </w:rPr>
              <w:t>Tax Type's linked account(s)</w:t>
            </w:r>
          </w:p>
        </w:tc>
      </w:tr>
    </w:tbl>
    <w:p w14:paraId="47930A55"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2. Legacy Tax Architecture</w:t>
      </w:r>
    </w:p>
    <w:p w14:paraId="47930A56"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Legacy tax is NetSuite's original tax framework. It is simpler than SuiteTax by design, and was built around single-jurisdiction, single-rate scenarios rather than the multi-registration, multi-engine requirements of a global rollout.</w:t>
      </w:r>
    </w:p>
    <w:p w14:paraId="47930A57"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2.1 Core Legacy Tax Objects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2E24A9" w:rsidRPr="00F64A85" w14:paraId="47930A5A" w14:textId="77777777">
        <w:trPr>
          <w:tblHeader/>
        </w:trPr>
        <w:tc>
          <w:tcPr>
            <w:tcW w:w="2200" w:type="dxa"/>
            <w:shd w:val="clear" w:color="auto" w:fill="1F3864"/>
            <w:tcMar>
              <w:top w:w="80" w:type="dxa"/>
              <w:left w:w="100" w:type="dxa"/>
              <w:bottom w:w="80" w:type="dxa"/>
              <w:right w:w="100" w:type="dxa"/>
            </w:tcMar>
            <w:vAlign w:val="center"/>
          </w:tcPr>
          <w:p w14:paraId="47930A58"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Object</w:t>
            </w:r>
          </w:p>
        </w:tc>
        <w:tc>
          <w:tcPr>
            <w:tcW w:w="7150" w:type="dxa"/>
            <w:shd w:val="clear" w:color="auto" w:fill="1F3864"/>
            <w:tcMar>
              <w:top w:w="80" w:type="dxa"/>
              <w:left w:w="100" w:type="dxa"/>
              <w:bottom w:w="80" w:type="dxa"/>
              <w:right w:w="100" w:type="dxa"/>
            </w:tcMar>
            <w:vAlign w:val="center"/>
          </w:tcPr>
          <w:p w14:paraId="47930A59"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Role</w:t>
            </w:r>
          </w:p>
        </w:tc>
      </w:tr>
      <w:tr w:rsidR="002E24A9" w:rsidRPr="00F64A85" w14:paraId="47930A5D" w14:textId="77777777">
        <w:tc>
          <w:tcPr>
            <w:tcW w:w="2200" w:type="dxa"/>
            <w:shd w:val="clear" w:color="auto" w:fill="FFFFFF"/>
            <w:tcMar>
              <w:top w:w="80" w:type="dxa"/>
              <w:left w:w="100" w:type="dxa"/>
              <w:bottom w:w="80" w:type="dxa"/>
              <w:right w:w="100" w:type="dxa"/>
            </w:tcMar>
          </w:tcPr>
          <w:p w14:paraId="47930A5B" w14:textId="77777777" w:rsidR="002E24A9" w:rsidRPr="00F64A85" w:rsidRDefault="00C15295">
            <w:pPr>
              <w:rPr>
                <w:rFonts w:asciiTheme="minorHAnsi" w:hAnsiTheme="minorHAnsi" w:cstheme="minorHAnsi"/>
              </w:rPr>
            </w:pPr>
            <w:r w:rsidRPr="00F64A85">
              <w:rPr>
                <w:rFonts w:asciiTheme="minorHAnsi" w:hAnsiTheme="minorHAnsi" w:cstheme="minorHAnsi"/>
              </w:rPr>
              <w:t>Nexus</w:t>
            </w:r>
          </w:p>
        </w:tc>
        <w:tc>
          <w:tcPr>
            <w:tcW w:w="7150" w:type="dxa"/>
            <w:shd w:val="clear" w:color="auto" w:fill="FFFFFF"/>
            <w:tcMar>
              <w:top w:w="80" w:type="dxa"/>
              <w:left w:w="100" w:type="dxa"/>
              <w:bottom w:w="80" w:type="dxa"/>
              <w:right w:w="100" w:type="dxa"/>
            </w:tcMar>
          </w:tcPr>
          <w:p w14:paraId="47930A5C" w14:textId="77777777" w:rsidR="002E24A9" w:rsidRPr="00F64A85" w:rsidRDefault="00C15295">
            <w:pPr>
              <w:rPr>
                <w:rFonts w:asciiTheme="minorHAnsi" w:hAnsiTheme="minorHAnsi" w:cstheme="minorHAnsi"/>
              </w:rPr>
            </w:pPr>
            <w:r w:rsidRPr="00F64A85">
              <w:rPr>
                <w:rFonts w:asciiTheme="minorHAnsi" w:hAnsiTheme="minorHAnsi" w:cstheme="minorHAnsi"/>
              </w:rPr>
              <w:t>Represents a tax jurisdiction (typically a state or country) where a subsidiary has a tax obligation; determined on a transaction using the ship-to address only</w:t>
            </w:r>
          </w:p>
        </w:tc>
      </w:tr>
      <w:tr w:rsidR="002E24A9" w:rsidRPr="00F64A85" w14:paraId="47930A60" w14:textId="77777777">
        <w:tc>
          <w:tcPr>
            <w:tcW w:w="2200" w:type="dxa"/>
            <w:shd w:val="clear" w:color="auto" w:fill="F2F2F2"/>
            <w:tcMar>
              <w:top w:w="80" w:type="dxa"/>
              <w:left w:w="100" w:type="dxa"/>
              <w:bottom w:w="80" w:type="dxa"/>
              <w:right w:w="100" w:type="dxa"/>
            </w:tcMar>
          </w:tcPr>
          <w:p w14:paraId="47930A5E" w14:textId="77777777" w:rsidR="002E24A9" w:rsidRPr="00F64A85" w:rsidRDefault="00C15295">
            <w:pPr>
              <w:rPr>
                <w:rFonts w:asciiTheme="minorHAnsi" w:hAnsiTheme="minorHAnsi" w:cstheme="minorHAnsi"/>
              </w:rPr>
            </w:pPr>
            <w:r w:rsidRPr="00F64A85">
              <w:rPr>
                <w:rFonts w:asciiTheme="minorHAnsi" w:hAnsiTheme="minorHAnsi" w:cstheme="minorHAnsi"/>
              </w:rPr>
              <w:t>Tax Code</w:t>
            </w:r>
          </w:p>
        </w:tc>
        <w:tc>
          <w:tcPr>
            <w:tcW w:w="7150" w:type="dxa"/>
            <w:shd w:val="clear" w:color="auto" w:fill="F2F2F2"/>
            <w:tcMar>
              <w:top w:w="80" w:type="dxa"/>
              <w:left w:w="100" w:type="dxa"/>
              <w:bottom w:w="80" w:type="dxa"/>
              <w:right w:w="100" w:type="dxa"/>
            </w:tcMar>
          </w:tcPr>
          <w:p w14:paraId="47930A5F" w14:textId="77777777" w:rsidR="002E24A9" w:rsidRPr="00F64A85" w:rsidRDefault="00C15295">
            <w:pPr>
              <w:rPr>
                <w:rFonts w:asciiTheme="minorHAnsi" w:hAnsiTheme="minorHAnsi" w:cstheme="minorHAnsi"/>
              </w:rPr>
            </w:pPr>
            <w:r w:rsidRPr="00F64A85">
              <w:rPr>
                <w:rFonts w:asciiTheme="minorHAnsi" w:hAnsiTheme="minorHAnsi" w:cstheme="minorHAnsi"/>
              </w:rPr>
              <w:t>Defines a rate and the tax agency it is remitted to; applied at the transaction line level</w:t>
            </w:r>
          </w:p>
        </w:tc>
      </w:tr>
      <w:tr w:rsidR="002E24A9" w:rsidRPr="00F64A85" w14:paraId="47930A63" w14:textId="77777777">
        <w:tc>
          <w:tcPr>
            <w:tcW w:w="2200" w:type="dxa"/>
            <w:shd w:val="clear" w:color="auto" w:fill="FFFFFF"/>
            <w:tcMar>
              <w:top w:w="80" w:type="dxa"/>
              <w:left w:w="100" w:type="dxa"/>
              <w:bottom w:w="80" w:type="dxa"/>
              <w:right w:w="100" w:type="dxa"/>
            </w:tcMar>
          </w:tcPr>
          <w:p w14:paraId="47930A61" w14:textId="77777777" w:rsidR="002E24A9" w:rsidRPr="00F64A85" w:rsidRDefault="00C15295">
            <w:pPr>
              <w:rPr>
                <w:rFonts w:asciiTheme="minorHAnsi" w:hAnsiTheme="minorHAnsi" w:cstheme="minorHAnsi"/>
              </w:rPr>
            </w:pPr>
            <w:r w:rsidRPr="00F64A85">
              <w:rPr>
                <w:rFonts w:asciiTheme="minorHAnsi" w:hAnsiTheme="minorHAnsi" w:cstheme="minorHAnsi"/>
              </w:rPr>
              <w:t>Tax Group</w:t>
            </w:r>
          </w:p>
        </w:tc>
        <w:tc>
          <w:tcPr>
            <w:tcW w:w="7150" w:type="dxa"/>
            <w:shd w:val="clear" w:color="auto" w:fill="FFFFFF"/>
            <w:tcMar>
              <w:top w:w="80" w:type="dxa"/>
              <w:left w:w="100" w:type="dxa"/>
              <w:bottom w:w="80" w:type="dxa"/>
              <w:right w:w="100" w:type="dxa"/>
            </w:tcMar>
          </w:tcPr>
          <w:p w14:paraId="47930A62" w14:textId="77777777" w:rsidR="002E24A9" w:rsidRPr="00F64A85" w:rsidRDefault="00C15295">
            <w:pPr>
              <w:rPr>
                <w:rFonts w:asciiTheme="minorHAnsi" w:hAnsiTheme="minorHAnsi" w:cstheme="minorHAnsi"/>
              </w:rPr>
            </w:pPr>
            <w:r w:rsidRPr="00F64A85">
              <w:rPr>
                <w:rFonts w:asciiTheme="minorHAnsi" w:hAnsiTheme="minorHAnsi" w:cstheme="minorHAnsi"/>
              </w:rPr>
              <w:t>A bundle of multiple tax codes applied together, used for compound or layered jurisdictions (for example, a state code plus a county code)</w:t>
            </w:r>
          </w:p>
        </w:tc>
      </w:tr>
      <w:tr w:rsidR="002E24A9" w:rsidRPr="00F64A85" w14:paraId="47930A66" w14:textId="77777777">
        <w:tc>
          <w:tcPr>
            <w:tcW w:w="2200" w:type="dxa"/>
            <w:shd w:val="clear" w:color="auto" w:fill="F2F2F2"/>
            <w:tcMar>
              <w:top w:w="80" w:type="dxa"/>
              <w:left w:w="100" w:type="dxa"/>
              <w:bottom w:w="80" w:type="dxa"/>
              <w:right w:w="100" w:type="dxa"/>
            </w:tcMar>
          </w:tcPr>
          <w:p w14:paraId="47930A64" w14:textId="77777777" w:rsidR="002E24A9" w:rsidRPr="00F64A85" w:rsidRDefault="00C15295">
            <w:pPr>
              <w:rPr>
                <w:rFonts w:asciiTheme="minorHAnsi" w:hAnsiTheme="minorHAnsi" w:cstheme="minorHAnsi"/>
              </w:rPr>
            </w:pPr>
            <w:r w:rsidRPr="00F64A85">
              <w:rPr>
                <w:rFonts w:asciiTheme="minorHAnsi" w:hAnsiTheme="minorHAnsi" w:cstheme="minorHAnsi"/>
              </w:rPr>
              <w:t>Tax Schedule</w:t>
            </w:r>
          </w:p>
        </w:tc>
        <w:tc>
          <w:tcPr>
            <w:tcW w:w="7150" w:type="dxa"/>
            <w:shd w:val="clear" w:color="auto" w:fill="F2F2F2"/>
            <w:tcMar>
              <w:top w:w="80" w:type="dxa"/>
              <w:left w:w="100" w:type="dxa"/>
              <w:bottom w:w="80" w:type="dxa"/>
              <w:right w:w="100" w:type="dxa"/>
            </w:tcMar>
          </w:tcPr>
          <w:p w14:paraId="47930A65" w14:textId="77777777" w:rsidR="002E24A9" w:rsidRPr="00F64A85" w:rsidRDefault="00C15295">
            <w:pPr>
              <w:rPr>
                <w:rFonts w:asciiTheme="minorHAnsi" w:hAnsiTheme="minorHAnsi" w:cstheme="minorHAnsi"/>
              </w:rPr>
            </w:pPr>
            <w:r w:rsidRPr="00F64A85">
              <w:rPr>
                <w:rFonts w:asciiTheme="minorHAnsi" w:hAnsiTheme="minorHAnsi" w:cstheme="minorHAnsi"/>
              </w:rPr>
              <w:t>Assigned to an item; determines which tax codes are valid for that item across different nexuses, and the item's default taxability</w:t>
            </w:r>
          </w:p>
        </w:tc>
      </w:tr>
      <w:tr w:rsidR="002E24A9" w:rsidRPr="00F64A85" w14:paraId="47930A69" w14:textId="77777777">
        <w:tc>
          <w:tcPr>
            <w:tcW w:w="2200" w:type="dxa"/>
            <w:shd w:val="clear" w:color="auto" w:fill="FFFFFF"/>
            <w:tcMar>
              <w:top w:w="80" w:type="dxa"/>
              <w:left w:w="100" w:type="dxa"/>
              <w:bottom w:w="80" w:type="dxa"/>
              <w:right w:w="100" w:type="dxa"/>
            </w:tcMar>
          </w:tcPr>
          <w:p w14:paraId="47930A67" w14:textId="77777777" w:rsidR="002E24A9" w:rsidRPr="00F64A85" w:rsidRDefault="00C15295">
            <w:pPr>
              <w:rPr>
                <w:rFonts w:asciiTheme="minorHAnsi" w:hAnsiTheme="minorHAnsi" w:cstheme="minorHAnsi"/>
              </w:rPr>
            </w:pPr>
            <w:r w:rsidRPr="00F64A85">
              <w:rPr>
                <w:rFonts w:asciiTheme="minorHAnsi" w:hAnsiTheme="minorHAnsi" w:cstheme="minorHAnsi"/>
              </w:rPr>
              <w:t>Tax Type</w:t>
            </w:r>
          </w:p>
        </w:tc>
        <w:tc>
          <w:tcPr>
            <w:tcW w:w="7150" w:type="dxa"/>
            <w:shd w:val="clear" w:color="auto" w:fill="FFFFFF"/>
            <w:tcMar>
              <w:top w:w="80" w:type="dxa"/>
              <w:left w:w="100" w:type="dxa"/>
              <w:bottom w:w="80" w:type="dxa"/>
              <w:right w:w="100" w:type="dxa"/>
            </w:tcMar>
          </w:tcPr>
          <w:p w14:paraId="47930A68" w14:textId="77777777" w:rsidR="002E24A9" w:rsidRPr="00F64A85" w:rsidRDefault="00C15295">
            <w:pPr>
              <w:rPr>
                <w:rFonts w:asciiTheme="minorHAnsi" w:hAnsiTheme="minorHAnsi" w:cstheme="minorHAnsi"/>
              </w:rPr>
            </w:pPr>
            <w:r w:rsidRPr="00F64A85">
              <w:rPr>
                <w:rFonts w:asciiTheme="minorHAnsi" w:hAnsiTheme="minorHAnsi" w:cstheme="minorHAnsi"/>
              </w:rPr>
              <w:t>Legacy accounts have a simpler tax type concept than SuiteTax; it is largely implicit in the tax code/agency setup rather than a first-class record</w:t>
            </w:r>
          </w:p>
        </w:tc>
      </w:tr>
    </w:tbl>
    <w:p w14:paraId="47930A6A"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2.2 Legacy Tax Limitations</w:t>
      </w:r>
    </w:p>
    <w:p w14:paraId="47930A6B"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Legacy tax's constraints are the primary reason Oracle introduced SuiteTax, and are worth keeping in mind when evaluating whether a legacy-tax account needs to migrate: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5"/>
        <w:gridCol w:w="4515"/>
      </w:tblGrid>
      <w:tr w:rsidR="002E24A9" w:rsidRPr="00F64A85" w14:paraId="47930A6E" w14:textId="77777777">
        <w:trPr>
          <w:tblHeader/>
        </w:trPr>
        <w:tc>
          <w:tcPr>
            <w:tcW w:w="2600" w:type="dxa"/>
            <w:shd w:val="clear" w:color="auto" w:fill="1F3864"/>
            <w:tcMar>
              <w:top w:w="80" w:type="dxa"/>
              <w:left w:w="100" w:type="dxa"/>
              <w:bottom w:w="80" w:type="dxa"/>
              <w:right w:w="100" w:type="dxa"/>
            </w:tcMar>
            <w:vAlign w:val="center"/>
          </w:tcPr>
          <w:p w14:paraId="47930A6C"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Limitation</w:t>
            </w:r>
          </w:p>
        </w:tc>
        <w:tc>
          <w:tcPr>
            <w:tcW w:w="6750" w:type="dxa"/>
            <w:shd w:val="clear" w:color="auto" w:fill="1F3864"/>
            <w:tcMar>
              <w:top w:w="80" w:type="dxa"/>
              <w:left w:w="100" w:type="dxa"/>
              <w:bottom w:w="80" w:type="dxa"/>
              <w:right w:w="100" w:type="dxa"/>
            </w:tcMar>
            <w:vAlign w:val="center"/>
          </w:tcPr>
          <w:p w14:paraId="47930A6D"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Detail</w:t>
            </w:r>
          </w:p>
        </w:tc>
      </w:tr>
      <w:tr w:rsidR="002E24A9" w:rsidRPr="00F64A85" w14:paraId="47930A71" w14:textId="77777777">
        <w:tc>
          <w:tcPr>
            <w:tcW w:w="2600" w:type="dxa"/>
            <w:shd w:val="clear" w:color="auto" w:fill="FFFFFF"/>
            <w:tcMar>
              <w:top w:w="80" w:type="dxa"/>
              <w:left w:w="100" w:type="dxa"/>
              <w:bottom w:w="80" w:type="dxa"/>
              <w:right w:w="100" w:type="dxa"/>
            </w:tcMar>
          </w:tcPr>
          <w:p w14:paraId="47930A6F" w14:textId="77777777" w:rsidR="002E24A9" w:rsidRPr="00F64A85" w:rsidRDefault="00C15295">
            <w:pPr>
              <w:rPr>
                <w:rFonts w:asciiTheme="minorHAnsi" w:hAnsiTheme="minorHAnsi" w:cstheme="minorHAnsi"/>
              </w:rPr>
            </w:pPr>
            <w:r w:rsidRPr="00F64A85">
              <w:rPr>
                <w:rFonts w:asciiTheme="minorHAnsi" w:hAnsiTheme="minorHAnsi" w:cstheme="minorHAnsi"/>
              </w:rPr>
              <w:t>Single tax registration</w:t>
            </w:r>
          </w:p>
        </w:tc>
        <w:tc>
          <w:tcPr>
            <w:tcW w:w="6750" w:type="dxa"/>
            <w:shd w:val="clear" w:color="auto" w:fill="FFFFFF"/>
            <w:tcMar>
              <w:top w:w="80" w:type="dxa"/>
              <w:left w:w="100" w:type="dxa"/>
              <w:bottom w:w="80" w:type="dxa"/>
              <w:right w:w="100" w:type="dxa"/>
            </w:tcMar>
          </w:tcPr>
          <w:p w14:paraId="47930A70" w14:textId="77777777" w:rsidR="002E24A9" w:rsidRPr="00F64A85" w:rsidRDefault="00C15295">
            <w:pPr>
              <w:rPr>
                <w:rFonts w:asciiTheme="minorHAnsi" w:hAnsiTheme="minorHAnsi" w:cstheme="minorHAnsi"/>
              </w:rPr>
            </w:pPr>
            <w:r w:rsidRPr="00F64A85">
              <w:rPr>
                <w:rFonts w:asciiTheme="minorHAnsi" w:hAnsiTheme="minorHAnsi" w:cstheme="minorHAnsi"/>
              </w:rPr>
              <w:t>Only one tax registration number is supported per subsidiary and per customer/vendor record</w:t>
            </w:r>
          </w:p>
        </w:tc>
      </w:tr>
      <w:tr w:rsidR="002E24A9" w:rsidRPr="00F64A85" w14:paraId="47930A74" w14:textId="77777777">
        <w:tc>
          <w:tcPr>
            <w:tcW w:w="2600" w:type="dxa"/>
            <w:shd w:val="clear" w:color="auto" w:fill="F2F2F2"/>
            <w:tcMar>
              <w:top w:w="80" w:type="dxa"/>
              <w:left w:w="100" w:type="dxa"/>
              <w:bottom w:w="80" w:type="dxa"/>
              <w:right w:w="100" w:type="dxa"/>
            </w:tcMar>
          </w:tcPr>
          <w:p w14:paraId="47930A72" w14:textId="77777777" w:rsidR="002E24A9" w:rsidRPr="00F64A85" w:rsidRDefault="00C15295">
            <w:pPr>
              <w:rPr>
                <w:rFonts w:asciiTheme="minorHAnsi" w:hAnsiTheme="minorHAnsi" w:cstheme="minorHAnsi"/>
              </w:rPr>
            </w:pPr>
            <w:r w:rsidRPr="00F64A85">
              <w:rPr>
                <w:rFonts w:asciiTheme="minorHAnsi" w:hAnsiTheme="minorHAnsi" w:cstheme="minorHAnsi"/>
              </w:rPr>
              <w:t>No effective-dated nexus</w:t>
            </w:r>
          </w:p>
        </w:tc>
        <w:tc>
          <w:tcPr>
            <w:tcW w:w="6750" w:type="dxa"/>
            <w:shd w:val="clear" w:color="auto" w:fill="F2F2F2"/>
            <w:tcMar>
              <w:top w:w="80" w:type="dxa"/>
              <w:left w:w="100" w:type="dxa"/>
              <w:bottom w:w="80" w:type="dxa"/>
              <w:right w:w="100" w:type="dxa"/>
            </w:tcMar>
          </w:tcPr>
          <w:p w14:paraId="47930A73" w14:textId="77777777" w:rsidR="002E24A9" w:rsidRPr="00F64A85" w:rsidRDefault="00C15295">
            <w:pPr>
              <w:rPr>
                <w:rFonts w:asciiTheme="minorHAnsi" w:hAnsiTheme="minorHAnsi" w:cstheme="minorHAnsi"/>
              </w:rPr>
            </w:pPr>
            <w:r w:rsidRPr="00F64A85">
              <w:rPr>
                <w:rFonts w:asciiTheme="minorHAnsi" w:hAnsiTheme="minorHAnsi" w:cstheme="minorHAnsi"/>
              </w:rPr>
              <w:t>Nexus records have no effective date range — they are either applicable or not, with no historical validity window</w:t>
            </w:r>
          </w:p>
        </w:tc>
      </w:tr>
      <w:tr w:rsidR="002E24A9" w:rsidRPr="00F64A85" w14:paraId="47930A77" w14:textId="77777777">
        <w:tc>
          <w:tcPr>
            <w:tcW w:w="2600" w:type="dxa"/>
            <w:shd w:val="clear" w:color="auto" w:fill="FFFFFF"/>
            <w:tcMar>
              <w:top w:w="80" w:type="dxa"/>
              <w:left w:w="100" w:type="dxa"/>
              <w:bottom w:w="80" w:type="dxa"/>
              <w:right w:w="100" w:type="dxa"/>
            </w:tcMar>
          </w:tcPr>
          <w:p w14:paraId="47930A75" w14:textId="77777777" w:rsidR="002E24A9" w:rsidRPr="00F64A85" w:rsidRDefault="00C15295">
            <w:pPr>
              <w:rPr>
                <w:rFonts w:asciiTheme="minorHAnsi" w:hAnsiTheme="minorHAnsi" w:cstheme="minorHAnsi"/>
              </w:rPr>
            </w:pPr>
            <w:r w:rsidRPr="00F64A85">
              <w:rPr>
                <w:rFonts w:asciiTheme="minorHAnsi" w:hAnsiTheme="minorHAnsi" w:cstheme="minorHAnsi"/>
              </w:rPr>
              <w:t>No tax rate change history</w:t>
            </w:r>
          </w:p>
        </w:tc>
        <w:tc>
          <w:tcPr>
            <w:tcW w:w="6750" w:type="dxa"/>
            <w:shd w:val="clear" w:color="auto" w:fill="FFFFFF"/>
            <w:tcMar>
              <w:top w:w="80" w:type="dxa"/>
              <w:left w:w="100" w:type="dxa"/>
              <w:bottom w:w="80" w:type="dxa"/>
              <w:right w:w="100" w:type="dxa"/>
            </w:tcMar>
          </w:tcPr>
          <w:p w14:paraId="47930A76" w14:textId="77777777" w:rsidR="002E24A9" w:rsidRPr="00F64A85" w:rsidRDefault="00C15295">
            <w:pPr>
              <w:rPr>
                <w:rFonts w:asciiTheme="minorHAnsi" w:hAnsiTheme="minorHAnsi" w:cstheme="minorHAnsi"/>
              </w:rPr>
            </w:pPr>
            <w:r w:rsidRPr="00F64A85">
              <w:rPr>
                <w:rFonts w:asciiTheme="minorHAnsi" w:hAnsiTheme="minorHAnsi" w:cstheme="minorHAnsi"/>
              </w:rPr>
              <w:t>Legacy tax does not retain a history of rate changes over time on the tax code record</w:t>
            </w:r>
          </w:p>
        </w:tc>
      </w:tr>
      <w:tr w:rsidR="002E24A9" w:rsidRPr="00F64A85" w14:paraId="47930A7A" w14:textId="77777777">
        <w:tc>
          <w:tcPr>
            <w:tcW w:w="2600" w:type="dxa"/>
            <w:shd w:val="clear" w:color="auto" w:fill="F2F2F2"/>
            <w:tcMar>
              <w:top w:w="80" w:type="dxa"/>
              <w:left w:w="100" w:type="dxa"/>
              <w:bottom w:w="80" w:type="dxa"/>
              <w:right w:w="100" w:type="dxa"/>
            </w:tcMar>
          </w:tcPr>
          <w:p w14:paraId="47930A78" w14:textId="77777777" w:rsidR="002E24A9" w:rsidRPr="00F64A85" w:rsidRDefault="00C15295">
            <w:pPr>
              <w:rPr>
                <w:rFonts w:asciiTheme="minorHAnsi" w:hAnsiTheme="minorHAnsi" w:cstheme="minorHAnsi"/>
              </w:rPr>
            </w:pPr>
            <w:r w:rsidRPr="00F64A85">
              <w:rPr>
                <w:rFonts w:asciiTheme="minorHAnsi" w:hAnsiTheme="minorHAnsi" w:cstheme="minorHAnsi"/>
              </w:rPr>
              <w:t>Ship-to only nexus determination</w:t>
            </w:r>
          </w:p>
        </w:tc>
        <w:tc>
          <w:tcPr>
            <w:tcW w:w="6750" w:type="dxa"/>
            <w:shd w:val="clear" w:color="auto" w:fill="F2F2F2"/>
            <w:tcMar>
              <w:top w:w="80" w:type="dxa"/>
              <w:left w:w="100" w:type="dxa"/>
              <w:bottom w:w="80" w:type="dxa"/>
              <w:right w:w="100" w:type="dxa"/>
            </w:tcMar>
          </w:tcPr>
          <w:p w14:paraId="47930A79" w14:textId="77777777" w:rsidR="002E24A9" w:rsidRPr="00F64A85" w:rsidRDefault="00C15295">
            <w:pPr>
              <w:rPr>
                <w:rFonts w:asciiTheme="minorHAnsi" w:hAnsiTheme="minorHAnsi" w:cstheme="minorHAnsi"/>
              </w:rPr>
            </w:pPr>
            <w:r w:rsidRPr="00F64A85">
              <w:rPr>
                <w:rFonts w:asciiTheme="minorHAnsi" w:hAnsiTheme="minorHAnsi" w:cstheme="minorHAnsi"/>
              </w:rPr>
              <w:t>The transaction nexus is derived solely from the ship-to address, regardless of billing, location, or subsidiary address</w:t>
            </w:r>
          </w:p>
        </w:tc>
      </w:tr>
      <w:tr w:rsidR="002E24A9" w:rsidRPr="00F64A85" w14:paraId="47930A7D" w14:textId="77777777">
        <w:tc>
          <w:tcPr>
            <w:tcW w:w="2600" w:type="dxa"/>
            <w:shd w:val="clear" w:color="auto" w:fill="FFFFFF"/>
            <w:tcMar>
              <w:top w:w="80" w:type="dxa"/>
              <w:left w:w="100" w:type="dxa"/>
              <w:bottom w:w="80" w:type="dxa"/>
              <w:right w:w="100" w:type="dxa"/>
            </w:tcMar>
          </w:tcPr>
          <w:p w14:paraId="47930A7B" w14:textId="77777777" w:rsidR="002E24A9" w:rsidRPr="00F64A85" w:rsidRDefault="00C15295">
            <w:pPr>
              <w:rPr>
                <w:rFonts w:asciiTheme="minorHAnsi" w:hAnsiTheme="minorHAnsi" w:cstheme="minorHAnsi"/>
              </w:rPr>
            </w:pPr>
            <w:r w:rsidRPr="00F64A85">
              <w:rPr>
                <w:rFonts w:asciiTheme="minorHAnsi" w:hAnsiTheme="minorHAnsi" w:cstheme="minorHAnsi"/>
              </w:rPr>
              <w:t>Narrower provisioning</w:t>
            </w:r>
          </w:p>
        </w:tc>
        <w:tc>
          <w:tcPr>
            <w:tcW w:w="6750" w:type="dxa"/>
            <w:shd w:val="clear" w:color="auto" w:fill="FFFFFF"/>
            <w:tcMar>
              <w:top w:w="80" w:type="dxa"/>
              <w:left w:w="100" w:type="dxa"/>
              <w:bottom w:w="80" w:type="dxa"/>
              <w:right w:w="100" w:type="dxa"/>
            </w:tcMar>
          </w:tcPr>
          <w:p w14:paraId="47930A7C" w14:textId="77777777" w:rsidR="002E24A9" w:rsidRPr="00F64A85" w:rsidRDefault="00C15295">
            <w:pPr>
              <w:rPr>
                <w:rFonts w:asciiTheme="minorHAnsi" w:hAnsiTheme="minorHAnsi" w:cstheme="minorHAnsi"/>
              </w:rPr>
            </w:pPr>
            <w:r w:rsidRPr="00F64A85">
              <w:rPr>
                <w:rFonts w:asciiTheme="minorHAnsi" w:hAnsiTheme="minorHAnsi" w:cstheme="minorHAnsi"/>
              </w:rPr>
              <w:t>Tax codes, groups, rates, and agencies are provisioned for roughly 40 countries at setup, and U.S. rates require manual updates per state</w:t>
            </w:r>
          </w:p>
        </w:tc>
      </w:tr>
      <w:tr w:rsidR="002E24A9" w:rsidRPr="00F64A85" w14:paraId="47930A80" w14:textId="77777777">
        <w:tc>
          <w:tcPr>
            <w:tcW w:w="2600" w:type="dxa"/>
            <w:shd w:val="clear" w:color="auto" w:fill="F2F2F2"/>
            <w:tcMar>
              <w:top w:w="80" w:type="dxa"/>
              <w:left w:w="100" w:type="dxa"/>
              <w:bottom w:w="80" w:type="dxa"/>
              <w:right w:w="100" w:type="dxa"/>
            </w:tcMar>
          </w:tcPr>
          <w:p w14:paraId="47930A7E" w14:textId="77777777" w:rsidR="002E24A9" w:rsidRPr="00F64A85" w:rsidRDefault="00C15295">
            <w:pPr>
              <w:rPr>
                <w:rFonts w:asciiTheme="minorHAnsi" w:hAnsiTheme="minorHAnsi" w:cstheme="minorHAnsi"/>
              </w:rPr>
            </w:pPr>
            <w:r w:rsidRPr="00F64A85">
              <w:rPr>
                <w:rFonts w:asciiTheme="minorHAnsi" w:hAnsiTheme="minorHAnsi" w:cstheme="minorHAnsi"/>
              </w:rPr>
              <w:t>Cash or accrual basis at nexus level</w:t>
            </w:r>
          </w:p>
        </w:tc>
        <w:tc>
          <w:tcPr>
            <w:tcW w:w="6750" w:type="dxa"/>
            <w:shd w:val="clear" w:color="auto" w:fill="F2F2F2"/>
            <w:tcMar>
              <w:top w:w="80" w:type="dxa"/>
              <w:left w:w="100" w:type="dxa"/>
              <w:bottom w:w="80" w:type="dxa"/>
              <w:right w:w="100" w:type="dxa"/>
            </w:tcMar>
          </w:tcPr>
          <w:p w14:paraId="47930A7F" w14:textId="77777777" w:rsidR="002E24A9" w:rsidRPr="00F64A85" w:rsidRDefault="00C15295">
            <w:pPr>
              <w:rPr>
                <w:rFonts w:asciiTheme="minorHAnsi" w:hAnsiTheme="minorHAnsi" w:cstheme="minorHAnsi"/>
              </w:rPr>
            </w:pPr>
            <w:r w:rsidRPr="00F64A85">
              <w:rPr>
                <w:rFonts w:asciiTheme="minorHAnsi" w:hAnsiTheme="minorHAnsi" w:cstheme="minorHAnsi"/>
              </w:rPr>
              <w:t>Tax reporting basis (cash vs. accrual) is set per nexus, based on transaction date and tax period, rather than a tax point date</w:t>
            </w:r>
          </w:p>
        </w:tc>
      </w:tr>
      <w:tr w:rsidR="002E24A9" w:rsidRPr="00F64A85" w14:paraId="47930A84" w14:textId="77777777">
        <w:trPr>
          <w:gridAfter w:val="1"/>
          <w:wAfter w:w="9250" w:type="dxa"/>
        </w:trPr>
        <w:tc>
          <w:tcPr>
            <w:tcW w:w="9350" w:type="dxa"/>
            <w:shd w:val="clear" w:color="auto" w:fill="FFF2CC"/>
            <w:tcMar>
              <w:top w:w="150" w:type="dxa"/>
              <w:left w:w="200" w:type="dxa"/>
              <w:bottom w:w="150" w:type="dxa"/>
              <w:right w:w="200" w:type="dxa"/>
            </w:tcMar>
          </w:tcPr>
          <w:p w14:paraId="47930A81" w14:textId="77777777" w:rsidR="002E24A9" w:rsidRPr="00F64A85" w:rsidRDefault="00C15295">
            <w:pPr>
              <w:spacing w:after="100"/>
              <w:rPr>
                <w:rFonts w:asciiTheme="minorHAnsi" w:hAnsiTheme="minorHAnsi" w:cstheme="minorHAnsi"/>
              </w:rPr>
            </w:pPr>
            <w:r w:rsidRPr="00F64A85">
              <w:rPr>
                <w:rFonts w:ascii="Segoe UI Emoji" w:hAnsi="Segoe UI Emoji" w:cs="Segoe UI Emoji"/>
                <w:b/>
                <w:bCs/>
              </w:rPr>
              <w:t>⚠️</w:t>
            </w:r>
            <w:r w:rsidRPr="00F64A85">
              <w:rPr>
                <w:rFonts w:asciiTheme="minorHAnsi" w:hAnsiTheme="minorHAnsi" w:cstheme="minorHAnsi"/>
                <w:b/>
                <w:bCs/>
              </w:rPr>
              <w:t xml:space="preserve"> Legacy Tax Is Closed to New Implementations</w:t>
            </w:r>
          </w:p>
          <w:p w14:paraId="47930A82"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 xml:space="preserve">Legacy tax remains fully supported for accounts already using it, but new NetSuite </w:t>
            </w:r>
            <w:r w:rsidRPr="00F64A85">
              <w:rPr>
                <w:rFonts w:asciiTheme="minorHAnsi" w:hAnsiTheme="minorHAnsi" w:cstheme="minorHAnsi"/>
              </w:rPr>
              <w:lastRenderedPageBreak/>
              <w:t>accounts are provisioned on SuiteTax and cannot select legacy tax at setup</w:t>
            </w:r>
          </w:p>
          <w:p w14:paraId="47930A83"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 xml:space="preserve">Oracle has </w:t>
            </w:r>
            <w:proofErr w:type="spellStart"/>
            <w:r w:rsidRPr="00F64A85">
              <w:rPr>
                <w:rFonts w:asciiTheme="minorHAnsi" w:hAnsiTheme="minorHAnsi" w:cstheme="minorHAnsi"/>
              </w:rPr>
              <w:t>signaled</w:t>
            </w:r>
            <w:proofErr w:type="spellEnd"/>
            <w:r w:rsidRPr="00F64A85">
              <w:rPr>
                <w:rFonts w:asciiTheme="minorHAnsi" w:hAnsiTheme="minorHAnsi" w:cstheme="minorHAnsi"/>
              </w:rPr>
              <w:t xml:space="preserve"> that SuiteTax is intended to become the default and eventual sole tax framework, so legacy-tax accounts should plan for an eventual migration even without a firm mandated deadline</w:t>
            </w:r>
          </w:p>
        </w:tc>
      </w:tr>
    </w:tbl>
    <w:p w14:paraId="47930A85" w14:textId="77777777" w:rsidR="002E24A9" w:rsidRPr="00F64A85" w:rsidRDefault="00C15295">
      <w:pPr>
        <w:rPr>
          <w:rFonts w:asciiTheme="minorHAnsi" w:hAnsiTheme="minorHAnsi" w:cstheme="minorHAnsi"/>
        </w:rPr>
      </w:pPr>
      <w:r w:rsidRPr="00F64A85">
        <w:rPr>
          <w:rFonts w:asciiTheme="minorHAnsi" w:hAnsiTheme="minorHAnsi" w:cstheme="minorHAnsi"/>
        </w:rPr>
        <w:lastRenderedPageBreak/>
        <w:br w:type="page"/>
      </w:r>
    </w:p>
    <w:p w14:paraId="47930A86"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3. SuiteTax Architecture</w:t>
      </w:r>
    </w:p>
    <w:p w14:paraId="47930A87"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SuiteTax is a next-generation tax framework built around a pluggable Tax Engine layer. Rather than NetSuite calculating tax internally against static codes, SuiteTax hands the calculation to whichever tax engine is assigned to the transaction's nexus — NetSuite's own SuiteTax Engine, or a certified partner engine — and stores the structured result back onto the transaction.</w:t>
      </w:r>
    </w:p>
    <w:p w14:paraId="47930A88"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3.1 Core SuiteTax Objects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2E24A9" w:rsidRPr="00F64A85" w14:paraId="47930A8B" w14:textId="77777777">
        <w:trPr>
          <w:tblHeader/>
        </w:trPr>
        <w:tc>
          <w:tcPr>
            <w:tcW w:w="2200" w:type="dxa"/>
            <w:shd w:val="clear" w:color="auto" w:fill="1F3864"/>
            <w:tcMar>
              <w:top w:w="80" w:type="dxa"/>
              <w:left w:w="100" w:type="dxa"/>
              <w:bottom w:w="80" w:type="dxa"/>
              <w:right w:w="100" w:type="dxa"/>
            </w:tcMar>
            <w:vAlign w:val="center"/>
          </w:tcPr>
          <w:p w14:paraId="47930A89"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Object</w:t>
            </w:r>
          </w:p>
        </w:tc>
        <w:tc>
          <w:tcPr>
            <w:tcW w:w="7150" w:type="dxa"/>
            <w:shd w:val="clear" w:color="auto" w:fill="1F3864"/>
            <w:tcMar>
              <w:top w:w="80" w:type="dxa"/>
              <w:left w:w="100" w:type="dxa"/>
              <w:bottom w:w="80" w:type="dxa"/>
              <w:right w:w="100" w:type="dxa"/>
            </w:tcMar>
            <w:vAlign w:val="center"/>
          </w:tcPr>
          <w:p w14:paraId="47930A8A"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Role</w:t>
            </w:r>
          </w:p>
        </w:tc>
      </w:tr>
      <w:tr w:rsidR="002E24A9" w:rsidRPr="00F64A85" w14:paraId="47930A8E" w14:textId="77777777">
        <w:tc>
          <w:tcPr>
            <w:tcW w:w="2200" w:type="dxa"/>
            <w:shd w:val="clear" w:color="auto" w:fill="FFFFFF"/>
            <w:tcMar>
              <w:top w:w="80" w:type="dxa"/>
              <w:left w:w="100" w:type="dxa"/>
              <w:bottom w:w="80" w:type="dxa"/>
              <w:right w:w="100" w:type="dxa"/>
            </w:tcMar>
          </w:tcPr>
          <w:p w14:paraId="47930A8C" w14:textId="77777777" w:rsidR="002E24A9" w:rsidRPr="00F64A85" w:rsidRDefault="00C15295">
            <w:pPr>
              <w:rPr>
                <w:rFonts w:asciiTheme="minorHAnsi" w:hAnsiTheme="minorHAnsi" w:cstheme="minorHAnsi"/>
              </w:rPr>
            </w:pPr>
            <w:r w:rsidRPr="00F64A85">
              <w:rPr>
                <w:rFonts w:asciiTheme="minorHAnsi" w:hAnsiTheme="minorHAnsi" w:cstheme="minorHAnsi"/>
              </w:rPr>
              <w:t>Nexus</w:t>
            </w:r>
          </w:p>
        </w:tc>
        <w:tc>
          <w:tcPr>
            <w:tcW w:w="7150" w:type="dxa"/>
            <w:shd w:val="clear" w:color="auto" w:fill="FFFFFF"/>
            <w:tcMar>
              <w:top w:w="80" w:type="dxa"/>
              <w:left w:w="100" w:type="dxa"/>
              <w:bottom w:w="80" w:type="dxa"/>
              <w:right w:w="100" w:type="dxa"/>
            </w:tcMar>
          </w:tcPr>
          <w:p w14:paraId="47930A8D" w14:textId="77777777" w:rsidR="002E24A9" w:rsidRPr="00F64A85" w:rsidRDefault="00C15295">
            <w:pPr>
              <w:rPr>
                <w:rFonts w:asciiTheme="minorHAnsi" w:hAnsiTheme="minorHAnsi" w:cstheme="minorHAnsi"/>
              </w:rPr>
            </w:pPr>
            <w:r w:rsidRPr="00F64A85">
              <w:rPr>
                <w:rFonts w:asciiTheme="minorHAnsi" w:hAnsiTheme="minorHAnsi" w:cstheme="minorHAnsi"/>
              </w:rPr>
              <w:t>A tax jurisdiction with its own effective date range; can be flagged tax-exempt to skip tax engine assignment entirely; determination considers ship-to, location, billing, or subsidiary addresses</w:t>
            </w:r>
          </w:p>
        </w:tc>
      </w:tr>
      <w:tr w:rsidR="002E24A9" w:rsidRPr="00F64A85" w14:paraId="47930A91" w14:textId="77777777">
        <w:tc>
          <w:tcPr>
            <w:tcW w:w="2200" w:type="dxa"/>
            <w:shd w:val="clear" w:color="auto" w:fill="F2F2F2"/>
            <w:tcMar>
              <w:top w:w="80" w:type="dxa"/>
              <w:left w:w="100" w:type="dxa"/>
              <w:bottom w:w="80" w:type="dxa"/>
              <w:right w:w="100" w:type="dxa"/>
            </w:tcMar>
          </w:tcPr>
          <w:p w14:paraId="47930A8F" w14:textId="77777777" w:rsidR="002E24A9" w:rsidRPr="00F64A85" w:rsidRDefault="00C15295">
            <w:pPr>
              <w:rPr>
                <w:rFonts w:asciiTheme="minorHAnsi" w:hAnsiTheme="minorHAnsi" w:cstheme="minorHAnsi"/>
              </w:rPr>
            </w:pPr>
            <w:r w:rsidRPr="00F64A85">
              <w:rPr>
                <w:rFonts w:asciiTheme="minorHAnsi" w:hAnsiTheme="minorHAnsi" w:cstheme="minorHAnsi"/>
              </w:rPr>
              <w:t>Tax Registration</w:t>
            </w:r>
          </w:p>
        </w:tc>
        <w:tc>
          <w:tcPr>
            <w:tcW w:w="7150" w:type="dxa"/>
            <w:shd w:val="clear" w:color="auto" w:fill="F2F2F2"/>
            <w:tcMar>
              <w:top w:w="80" w:type="dxa"/>
              <w:left w:w="100" w:type="dxa"/>
              <w:bottom w:w="80" w:type="dxa"/>
              <w:right w:w="100" w:type="dxa"/>
            </w:tcMar>
          </w:tcPr>
          <w:p w14:paraId="47930A90" w14:textId="77777777" w:rsidR="002E24A9" w:rsidRPr="00F64A85" w:rsidRDefault="00C15295">
            <w:pPr>
              <w:rPr>
                <w:rFonts w:asciiTheme="minorHAnsi" w:hAnsiTheme="minorHAnsi" w:cstheme="minorHAnsi"/>
              </w:rPr>
            </w:pPr>
            <w:r w:rsidRPr="00F64A85">
              <w:rPr>
                <w:rFonts w:asciiTheme="minorHAnsi" w:hAnsiTheme="minorHAnsi" w:cstheme="minorHAnsi"/>
              </w:rPr>
              <w:t>Assigned at the subsidiary and entity (customer/vendor) level; multiple registrations are supported per subsidiary or entity, each with its own validity window</w:t>
            </w:r>
          </w:p>
        </w:tc>
      </w:tr>
      <w:tr w:rsidR="002E24A9" w:rsidRPr="00F64A85" w14:paraId="47930A94" w14:textId="77777777">
        <w:tc>
          <w:tcPr>
            <w:tcW w:w="2200" w:type="dxa"/>
            <w:shd w:val="clear" w:color="auto" w:fill="FFFFFF"/>
            <w:tcMar>
              <w:top w:w="80" w:type="dxa"/>
              <w:left w:w="100" w:type="dxa"/>
              <w:bottom w:w="80" w:type="dxa"/>
              <w:right w:w="100" w:type="dxa"/>
            </w:tcMar>
          </w:tcPr>
          <w:p w14:paraId="47930A92" w14:textId="77777777" w:rsidR="002E24A9" w:rsidRPr="00F64A85" w:rsidRDefault="00C15295">
            <w:pPr>
              <w:rPr>
                <w:rFonts w:asciiTheme="minorHAnsi" w:hAnsiTheme="minorHAnsi" w:cstheme="minorHAnsi"/>
              </w:rPr>
            </w:pPr>
            <w:r w:rsidRPr="00F64A85">
              <w:rPr>
                <w:rFonts w:asciiTheme="minorHAnsi" w:hAnsiTheme="minorHAnsi" w:cstheme="minorHAnsi"/>
              </w:rPr>
              <w:t>Tax Type</w:t>
            </w:r>
          </w:p>
        </w:tc>
        <w:tc>
          <w:tcPr>
            <w:tcW w:w="7150" w:type="dxa"/>
            <w:shd w:val="clear" w:color="auto" w:fill="FFFFFF"/>
            <w:tcMar>
              <w:top w:w="80" w:type="dxa"/>
              <w:left w:w="100" w:type="dxa"/>
              <w:bottom w:w="80" w:type="dxa"/>
              <w:right w:w="100" w:type="dxa"/>
            </w:tcMar>
          </w:tcPr>
          <w:p w14:paraId="47930A93" w14:textId="77777777" w:rsidR="002E24A9" w:rsidRPr="00F64A85" w:rsidRDefault="00C15295">
            <w:pPr>
              <w:rPr>
                <w:rFonts w:asciiTheme="minorHAnsi" w:hAnsiTheme="minorHAnsi" w:cstheme="minorHAnsi"/>
              </w:rPr>
            </w:pPr>
            <w:r w:rsidRPr="00F64A85">
              <w:rPr>
                <w:rFonts w:asciiTheme="minorHAnsi" w:hAnsiTheme="minorHAnsi" w:cstheme="minorHAnsi"/>
              </w:rPr>
              <w:t>Associated with a nexus; tells NetSuite where to post tax on the balance sheet and how the calculated amount affects the transaction total, gross amount, and other summary fields — it does not itself affect the calculation</w:t>
            </w:r>
          </w:p>
        </w:tc>
      </w:tr>
      <w:tr w:rsidR="002E24A9" w:rsidRPr="00F64A85" w14:paraId="47930A97" w14:textId="77777777">
        <w:tc>
          <w:tcPr>
            <w:tcW w:w="2200" w:type="dxa"/>
            <w:shd w:val="clear" w:color="auto" w:fill="F2F2F2"/>
            <w:tcMar>
              <w:top w:w="80" w:type="dxa"/>
              <w:left w:w="100" w:type="dxa"/>
              <w:bottom w:w="80" w:type="dxa"/>
              <w:right w:w="100" w:type="dxa"/>
            </w:tcMar>
          </w:tcPr>
          <w:p w14:paraId="47930A95" w14:textId="77777777" w:rsidR="002E24A9" w:rsidRPr="00F64A85" w:rsidRDefault="00C15295">
            <w:pPr>
              <w:rPr>
                <w:rFonts w:asciiTheme="minorHAnsi" w:hAnsiTheme="minorHAnsi" w:cstheme="minorHAnsi"/>
              </w:rPr>
            </w:pPr>
            <w:r w:rsidRPr="00F64A85">
              <w:rPr>
                <w:rFonts w:asciiTheme="minorHAnsi" w:hAnsiTheme="minorHAnsi" w:cstheme="minorHAnsi"/>
              </w:rPr>
              <w:t>Tax Code</w:t>
            </w:r>
          </w:p>
        </w:tc>
        <w:tc>
          <w:tcPr>
            <w:tcW w:w="7150" w:type="dxa"/>
            <w:shd w:val="clear" w:color="auto" w:fill="F2F2F2"/>
            <w:tcMar>
              <w:top w:w="80" w:type="dxa"/>
              <w:left w:w="100" w:type="dxa"/>
              <w:bottom w:w="80" w:type="dxa"/>
              <w:right w:w="100" w:type="dxa"/>
            </w:tcMar>
          </w:tcPr>
          <w:p w14:paraId="47930A96" w14:textId="77777777" w:rsidR="002E24A9" w:rsidRPr="00F64A85" w:rsidRDefault="00C15295">
            <w:pPr>
              <w:rPr>
                <w:rFonts w:asciiTheme="minorHAnsi" w:hAnsiTheme="minorHAnsi" w:cstheme="minorHAnsi"/>
              </w:rPr>
            </w:pPr>
            <w:r w:rsidRPr="00F64A85">
              <w:rPr>
                <w:rFonts w:asciiTheme="minorHAnsi" w:hAnsiTheme="minorHAnsi" w:cstheme="minorHAnsi"/>
              </w:rPr>
              <w:t>Requires a tax type; in SuiteTax it acts largely as a placeholder for the tax engine's response rather than carrying its own rate logic</w:t>
            </w:r>
          </w:p>
        </w:tc>
      </w:tr>
      <w:tr w:rsidR="002E24A9" w:rsidRPr="00F64A85" w14:paraId="47930A9A" w14:textId="77777777">
        <w:tc>
          <w:tcPr>
            <w:tcW w:w="2200" w:type="dxa"/>
            <w:shd w:val="clear" w:color="auto" w:fill="FFFFFF"/>
            <w:tcMar>
              <w:top w:w="80" w:type="dxa"/>
              <w:left w:w="100" w:type="dxa"/>
              <w:bottom w:w="80" w:type="dxa"/>
              <w:right w:w="100" w:type="dxa"/>
            </w:tcMar>
          </w:tcPr>
          <w:p w14:paraId="47930A98" w14:textId="77777777" w:rsidR="002E24A9" w:rsidRPr="00F64A85" w:rsidRDefault="00C15295">
            <w:pPr>
              <w:rPr>
                <w:rFonts w:asciiTheme="minorHAnsi" w:hAnsiTheme="minorHAnsi" w:cstheme="minorHAnsi"/>
              </w:rPr>
            </w:pPr>
            <w:r w:rsidRPr="00F64A85">
              <w:rPr>
                <w:rFonts w:asciiTheme="minorHAnsi" w:hAnsiTheme="minorHAnsi" w:cstheme="minorHAnsi"/>
              </w:rPr>
              <w:t>Tax Engine</w:t>
            </w:r>
          </w:p>
        </w:tc>
        <w:tc>
          <w:tcPr>
            <w:tcW w:w="7150" w:type="dxa"/>
            <w:shd w:val="clear" w:color="auto" w:fill="FFFFFF"/>
            <w:tcMar>
              <w:top w:w="80" w:type="dxa"/>
              <w:left w:w="100" w:type="dxa"/>
              <w:bottom w:w="80" w:type="dxa"/>
              <w:right w:w="100" w:type="dxa"/>
            </w:tcMar>
          </w:tcPr>
          <w:p w14:paraId="47930A99" w14:textId="77777777" w:rsidR="002E24A9" w:rsidRPr="00F64A85" w:rsidRDefault="00C15295">
            <w:pPr>
              <w:rPr>
                <w:rFonts w:asciiTheme="minorHAnsi" w:hAnsiTheme="minorHAnsi" w:cstheme="minorHAnsi"/>
              </w:rPr>
            </w:pPr>
            <w:r w:rsidRPr="00F64A85">
              <w:rPr>
                <w:rFonts w:asciiTheme="minorHAnsi" w:hAnsiTheme="minorHAnsi" w:cstheme="minorHAnsi"/>
              </w:rPr>
              <w:t xml:space="preserve">The plug-in that performs the actual calculation for a nexus — either the native SuiteTax Engine or a certified partner engine (Avalara, Vertex, </w:t>
            </w:r>
            <w:proofErr w:type="spellStart"/>
            <w:r w:rsidRPr="00F64A85">
              <w:rPr>
                <w:rFonts w:asciiTheme="minorHAnsi" w:hAnsiTheme="minorHAnsi" w:cstheme="minorHAnsi"/>
              </w:rPr>
              <w:t>Sovos</w:t>
            </w:r>
            <w:proofErr w:type="spellEnd"/>
            <w:r w:rsidRPr="00F64A85">
              <w:rPr>
                <w:rFonts w:asciiTheme="minorHAnsi" w:hAnsiTheme="minorHAnsi" w:cstheme="minorHAnsi"/>
              </w:rPr>
              <w:t>, Thomson Reuters, and others)</w:t>
            </w:r>
          </w:p>
        </w:tc>
      </w:tr>
      <w:tr w:rsidR="002E24A9" w:rsidRPr="00F64A85" w14:paraId="47930A9D" w14:textId="77777777">
        <w:tc>
          <w:tcPr>
            <w:tcW w:w="2200" w:type="dxa"/>
            <w:shd w:val="clear" w:color="auto" w:fill="F2F2F2"/>
            <w:tcMar>
              <w:top w:w="80" w:type="dxa"/>
              <w:left w:w="100" w:type="dxa"/>
              <w:bottom w:w="80" w:type="dxa"/>
              <w:right w:w="100" w:type="dxa"/>
            </w:tcMar>
          </w:tcPr>
          <w:p w14:paraId="47930A9B" w14:textId="77777777" w:rsidR="002E24A9" w:rsidRPr="00F64A85" w:rsidRDefault="00C15295">
            <w:pPr>
              <w:rPr>
                <w:rFonts w:asciiTheme="minorHAnsi" w:hAnsiTheme="minorHAnsi" w:cstheme="minorHAnsi"/>
              </w:rPr>
            </w:pPr>
            <w:r w:rsidRPr="00F64A85">
              <w:rPr>
                <w:rFonts w:asciiTheme="minorHAnsi" w:hAnsiTheme="minorHAnsi" w:cstheme="minorHAnsi"/>
              </w:rPr>
              <w:t>Tax Details Subtab</w:t>
            </w:r>
          </w:p>
        </w:tc>
        <w:tc>
          <w:tcPr>
            <w:tcW w:w="7150" w:type="dxa"/>
            <w:shd w:val="clear" w:color="auto" w:fill="F2F2F2"/>
            <w:tcMar>
              <w:top w:w="80" w:type="dxa"/>
              <w:left w:w="100" w:type="dxa"/>
              <w:bottom w:w="80" w:type="dxa"/>
              <w:right w:w="100" w:type="dxa"/>
            </w:tcMar>
          </w:tcPr>
          <w:p w14:paraId="47930A9C" w14:textId="77777777" w:rsidR="002E24A9" w:rsidRPr="00F64A85" w:rsidRDefault="00C15295">
            <w:pPr>
              <w:rPr>
                <w:rFonts w:asciiTheme="minorHAnsi" w:hAnsiTheme="minorHAnsi" w:cstheme="minorHAnsi"/>
              </w:rPr>
            </w:pPr>
            <w:r w:rsidRPr="00F64A85">
              <w:rPr>
                <w:rFonts w:asciiTheme="minorHAnsi" w:hAnsiTheme="minorHAnsi" w:cstheme="minorHAnsi"/>
              </w:rPr>
              <w:t>Added to transaction forms once SuiteTax is enabled; shows the per-line tax reference, basis, rate, tax type, tax code, and nexus used in the calculation</w:t>
            </w:r>
          </w:p>
        </w:tc>
      </w:tr>
    </w:tbl>
    <w:p w14:paraId="47930A9E"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3.2 The SuiteTax Engine</w:t>
      </w:r>
    </w:p>
    <w:p w14:paraId="47930A9F"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The SuiteTax Engine is NetSuite's own SuiteApp implementation of the SuiteTax plug-in framework. It automatically provisions tax agencies, tax types, and tax codes, and receives monthly automatic rate updates for tax jurisdictions across roughly 180 countries. It supports general taxation scenarios — origin- and destination-based determination and ZIP+4 lookups for the United States, Canada, and standard VAT/GST logic elsewhere — but it does not handle item-specific tax rules, and it cannot be used for Brazil or India nexuses, which rely on separate localization engines instead.</w:t>
      </w:r>
    </w:p>
    <w:p w14:paraId="47930AA0"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3.3 Tax Type Behavior</w:t>
      </w:r>
    </w:p>
    <w:p w14:paraId="47930AA1"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 xml:space="preserve">A tax type does not participate in the calculation itself — that is the tax engine's job. Instead, a tax type controls how a calculated amount is treated once it exists: which general ledger account it posts to, whether it adds to the transaction total, and whether it is a special variant such as Reverse Charge or a withholding tax type flagged as "Does Not Add </w:t>
      </w:r>
      <w:proofErr w:type="gramStart"/>
      <w:r w:rsidRPr="00F64A85">
        <w:rPr>
          <w:rFonts w:asciiTheme="minorHAnsi" w:hAnsiTheme="minorHAnsi" w:cstheme="minorHAnsi"/>
        </w:rPr>
        <w:t>To</w:t>
      </w:r>
      <w:proofErr w:type="gramEnd"/>
      <w:r w:rsidRPr="00F64A85">
        <w:rPr>
          <w:rFonts w:asciiTheme="minorHAnsi" w:hAnsiTheme="minorHAnsi" w:cstheme="minorHAnsi"/>
        </w:rPr>
        <w:t xml:space="preserve"> Transaction." Reverse Charge, for example, shifts VAT reporting responsibility from seller to buyer, and a Non-claimable Reverse Charge tax type additionally supports partial VAT recovery scenarios for partially exempt businesses.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E24A9" w:rsidRPr="00F64A85" w14:paraId="47930AA6" w14:textId="77777777">
        <w:tc>
          <w:tcPr>
            <w:tcW w:w="9350" w:type="dxa"/>
            <w:shd w:val="clear" w:color="auto" w:fill="DCE6F1"/>
            <w:tcMar>
              <w:top w:w="150" w:type="dxa"/>
              <w:left w:w="200" w:type="dxa"/>
              <w:bottom w:w="150" w:type="dxa"/>
              <w:right w:w="200" w:type="dxa"/>
            </w:tcMar>
          </w:tcPr>
          <w:p w14:paraId="47930AA2" w14:textId="77777777" w:rsidR="002E24A9" w:rsidRPr="000F5A2C" w:rsidRDefault="00C15295">
            <w:pPr>
              <w:spacing w:after="100"/>
              <w:rPr>
                <w:rFonts w:asciiTheme="minorHAnsi" w:hAnsiTheme="minorHAnsi" w:cstheme="minorHAnsi"/>
                <w:sz w:val="16"/>
              </w:rPr>
            </w:pPr>
            <w:r w:rsidRPr="000F5A2C">
              <w:rPr>
                <w:rFonts w:ascii="Segoe UI Emoji" w:hAnsi="Segoe UI Emoji" w:cs="Segoe UI Emoji"/>
                <w:b/>
                <w:bCs/>
                <w:sz w:val="16"/>
              </w:rPr>
              <w:t>📌</w:t>
            </w:r>
            <w:r w:rsidRPr="000F5A2C">
              <w:rPr>
                <w:rFonts w:asciiTheme="minorHAnsi" w:hAnsiTheme="minorHAnsi" w:cstheme="minorHAnsi"/>
                <w:b/>
                <w:bCs/>
                <w:sz w:val="16"/>
              </w:rPr>
              <w:t xml:space="preserve"> Nexus-Level Tax Exemption Example</w:t>
            </w:r>
          </w:p>
          <w:p w14:paraId="47930AA3" w14:textId="77777777" w:rsidR="002E24A9" w:rsidRPr="000F5A2C" w:rsidRDefault="00C15295">
            <w:pPr>
              <w:pStyle w:val="ListParagraph"/>
              <w:numPr>
                <w:ilvl w:val="0"/>
                <w:numId w:val="1"/>
              </w:numPr>
              <w:spacing w:after="60"/>
              <w:rPr>
                <w:rFonts w:asciiTheme="minorHAnsi" w:hAnsiTheme="minorHAnsi" w:cstheme="minorHAnsi"/>
                <w:sz w:val="16"/>
              </w:rPr>
            </w:pPr>
            <w:r w:rsidRPr="000F5A2C">
              <w:rPr>
                <w:rFonts w:asciiTheme="minorHAnsi" w:hAnsiTheme="minorHAnsi" w:cstheme="minorHAnsi"/>
                <w:sz w:val="16"/>
              </w:rPr>
              <w:t>A subsidiary operates in a jurisdiction where it has no obligation to track or report tax</w:t>
            </w:r>
          </w:p>
          <w:p w14:paraId="47930AA4" w14:textId="77777777" w:rsidR="002E24A9" w:rsidRPr="000F5A2C" w:rsidRDefault="00C15295">
            <w:pPr>
              <w:pStyle w:val="ListParagraph"/>
              <w:numPr>
                <w:ilvl w:val="0"/>
                <w:numId w:val="1"/>
              </w:numPr>
              <w:spacing w:after="60"/>
              <w:rPr>
                <w:rFonts w:asciiTheme="minorHAnsi" w:hAnsiTheme="minorHAnsi" w:cstheme="minorHAnsi"/>
                <w:sz w:val="16"/>
              </w:rPr>
            </w:pPr>
            <w:r w:rsidRPr="000F5A2C">
              <w:rPr>
                <w:rFonts w:asciiTheme="minorHAnsi" w:hAnsiTheme="minorHAnsi" w:cstheme="minorHAnsi"/>
                <w:sz w:val="16"/>
              </w:rPr>
              <w:t>Rather than configuring a full tax engine for that nexus, the nexus can be marked tax-exempt directly on the subsidiary's tax registration</w:t>
            </w:r>
          </w:p>
          <w:p w14:paraId="47930AA5" w14:textId="77777777" w:rsidR="002E24A9" w:rsidRPr="00F64A85" w:rsidRDefault="00C15295">
            <w:pPr>
              <w:pStyle w:val="ListParagraph"/>
              <w:numPr>
                <w:ilvl w:val="0"/>
                <w:numId w:val="1"/>
              </w:numPr>
              <w:spacing w:after="60"/>
              <w:rPr>
                <w:rFonts w:asciiTheme="minorHAnsi" w:hAnsiTheme="minorHAnsi" w:cstheme="minorHAnsi"/>
              </w:rPr>
            </w:pPr>
            <w:r w:rsidRPr="000F5A2C">
              <w:rPr>
                <w:rFonts w:asciiTheme="minorHAnsi" w:hAnsiTheme="minorHAnsi" w:cstheme="minorHAnsi"/>
                <w:sz w:val="16"/>
              </w:rPr>
              <w:t>No tax engine needs to be selected, and taxes are simply not calculated for that nexus's transactions</w:t>
            </w:r>
          </w:p>
        </w:tc>
      </w:tr>
    </w:tbl>
    <w:p w14:paraId="47930AA8"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4. Differences Between Legacy Tax and SuiteTax</w:t>
      </w:r>
    </w:p>
    <w:p w14:paraId="47930AA9"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The table below summarizes the most operationally significant differences. It is not exhaustive — Oracle's own comparison reference covers generic, VAT-specific, commerce, and country-specific feature sets in far more detail — but it captures the distinctions most likely to affect an existing implementation or a custom script.</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1865"/>
        <w:gridCol w:w="2811"/>
      </w:tblGrid>
      <w:tr w:rsidR="002E24A9" w:rsidRPr="00F64A85" w14:paraId="47930AAD" w14:textId="77777777">
        <w:trPr>
          <w:tblHeader/>
        </w:trPr>
        <w:tc>
          <w:tcPr>
            <w:tcW w:w="2650" w:type="dxa"/>
            <w:shd w:val="clear" w:color="auto" w:fill="1F3864"/>
            <w:tcMar>
              <w:top w:w="80" w:type="dxa"/>
              <w:left w:w="100" w:type="dxa"/>
              <w:bottom w:w="80" w:type="dxa"/>
              <w:right w:w="100" w:type="dxa"/>
            </w:tcMar>
            <w:vAlign w:val="center"/>
          </w:tcPr>
          <w:p w14:paraId="47930AAA"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Feature</w:t>
            </w:r>
          </w:p>
        </w:tc>
        <w:tc>
          <w:tcPr>
            <w:tcW w:w="3350" w:type="dxa"/>
            <w:shd w:val="clear" w:color="auto" w:fill="1F3864"/>
            <w:tcMar>
              <w:top w:w="80" w:type="dxa"/>
              <w:left w:w="100" w:type="dxa"/>
              <w:bottom w:w="80" w:type="dxa"/>
              <w:right w:w="100" w:type="dxa"/>
            </w:tcMar>
            <w:vAlign w:val="center"/>
          </w:tcPr>
          <w:p w14:paraId="47930AAB"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Legacy Tax</w:t>
            </w:r>
          </w:p>
        </w:tc>
        <w:tc>
          <w:tcPr>
            <w:tcW w:w="3350" w:type="dxa"/>
            <w:shd w:val="clear" w:color="auto" w:fill="1F3864"/>
            <w:tcMar>
              <w:top w:w="80" w:type="dxa"/>
              <w:left w:w="100" w:type="dxa"/>
              <w:bottom w:w="80" w:type="dxa"/>
              <w:right w:w="100" w:type="dxa"/>
            </w:tcMar>
            <w:vAlign w:val="center"/>
          </w:tcPr>
          <w:p w14:paraId="47930AAC"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SuiteTax</w:t>
            </w:r>
          </w:p>
        </w:tc>
      </w:tr>
      <w:tr w:rsidR="002E24A9" w:rsidRPr="00F64A85" w14:paraId="47930AB1" w14:textId="77777777">
        <w:tc>
          <w:tcPr>
            <w:tcW w:w="2650" w:type="dxa"/>
            <w:shd w:val="clear" w:color="auto" w:fill="FFFFFF"/>
            <w:tcMar>
              <w:top w:w="80" w:type="dxa"/>
              <w:left w:w="100" w:type="dxa"/>
              <w:bottom w:w="80" w:type="dxa"/>
              <w:right w:w="100" w:type="dxa"/>
            </w:tcMar>
          </w:tcPr>
          <w:p w14:paraId="47930AAE" w14:textId="77777777" w:rsidR="002E24A9" w:rsidRPr="00F64A85" w:rsidRDefault="00C15295">
            <w:pPr>
              <w:rPr>
                <w:rFonts w:asciiTheme="minorHAnsi" w:hAnsiTheme="minorHAnsi" w:cstheme="minorHAnsi"/>
              </w:rPr>
            </w:pPr>
            <w:r w:rsidRPr="00F64A85">
              <w:rPr>
                <w:rFonts w:asciiTheme="minorHAnsi" w:hAnsiTheme="minorHAnsi" w:cstheme="minorHAnsi"/>
              </w:rPr>
              <w:t>Tax registrations per subsidiary</w:t>
            </w:r>
          </w:p>
        </w:tc>
        <w:tc>
          <w:tcPr>
            <w:tcW w:w="3350" w:type="dxa"/>
            <w:shd w:val="clear" w:color="auto" w:fill="FFFFFF"/>
            <w:tcMar>
              <w:top w:w="80" w:type="dxa"/>
              <w:left w:w="100" w:type="dxa"/>
              <w:bottom w:w="80" w:type="dxa"/>
              <w:right w:w="100" w:type="dxa"/>
            </w:tcMar>
          </w:tcPr>
          <w:p w14:paraId="47930AAF" w14:textId="77777777" w:rsidR="002E24A9" w:rsidRPr="00F64A85" w:rsidRDefault="00C15295">
            <w:pPr>
              <w:rPr>
                <w:rFonts w:asciiTheme="minorHAnsi" w:hAnsiTheme="minorHAnsi" w:cstheme="minorHAnsi"/>
              </w:rPr>
            </w:pPr>
            <w:r w:rsidRPr="00F64A85">
              <w:rPr>
                <w:rFonts w:asciiTheme="minorHAnsi" w:hAnsiTheme="minorHAnsi" w:cstheme="minorHAnsi"/>
              </w:rPr>
              <w:t>Single</w:t>
            </w:r>
          </w:p>
        </w:tc>
        <w:tc>
          <w:tcPr>
            <w:tcW w:w="3350" w:type="dxa"/>
            <w:shd w:val="clear" w:color="auto" w:fill="FFFFFF"/>
            <w:tcMar>
              <w:top w:w="80" w:type="dxa"/>
              <w:left w:w="100" w:type="dxa"/>
              <w:bottom w:w="80" w:type="dxa"/>
              <w:right w:w="100" w:type="dxa"/>
            </w:tcMar>
          </w:tcPr>
          <w:p w14:paraId="47930AB0" w14:textId="77777777" w:rsidR="002E24A9" w:rsidRPr="00F64A85" w:rsidRDefault="00C15295">
            <w:pPr>
              <w:rPr>
                <w:rFonts w:asciiTheme="minorHAnsi" w:hAnsiTheme="minorHAnsi" w:cstheme="minorHAnsi"/>
              </w:rPr>
            </w:pPr>
            <w:r w:rsidRPr="00F64A85">
              <w:rPr>
                <w:rFonts w:asciiTheme="minorHAnsi" w:hAnsiTheme="minorHAnsi" w:cstheme="minorHAnsi"/>
              </w:rPr>
              <w:t>Multiple, each with its own effective dates</w:t>
            </w:r>
          </w:p>
        </w:tc>
      </w:tr>
      <w:tr w:rsidR="002E24A9" w:rsidRPr="00F64A85" w14:paraId="47930AB5" w14:textId="77777777">
        <w:tc>
          <w:tcPr>
            <w:tcW w:w="2650" w:type="dxa"/>
            <w:shd w:val="clear" w:color="auto" w:fill="F2F2F2"/>
            <w:tcMar>
              <w:top w:w="80" w:type="dxa"/>
              <w:left w:w="100" w:type="dxa"/>
              <w:bottom w:w="80" w:type="dxa"/>
              <w:right w:w="100" w:type="dxa"/>
            </w:tcMar>
          </w:tcPr>
          <w:p w14:paraId="47930AB2" w14:textId="77777777" w:rsidR="002E24A9" w:rsidRPr="00F64A85" w:rsidRDefault="00C15295">
            <w:pPr>
              <w:rPr>
                <w:rFonts w:asciiTheme="minorHAnsi" w:hAnsiTheme="minorHAnsi" w:cstheme="minorHAnsi"/>
              </w:rPr>
            </w:pPr>
            <w:r w:rsidRPr="00F64A85">
              <w:rPr>
                <w:rFonts w:asciiTheme="minorHAnsi" w:hAnsiTheme="minorHAnsi" w:cstheme="minorHAnsi"/>
              </w:rPr>
              <w:t>Tax registrations per customer/vendor</w:t>
            </w:r>
          </w:p>
        </w:tc>
        <w:tc>
          <w:tcPr>
            <w:tcW w:w="3350" w:type="dxa"/>
            <w:shd w:val="clear" w:color="auto" w:fill="F2F2F2"/>
            <w:tcMar>
              <w:top w:w="80" w:type="dxa"/>
              <w:left w:w="100" w:type="dxa"/>
              <w:bottom w:w="80" w:type="dxa"/>
              <w:right w:w="100" w:type="dxa"/>
            </w:tcMar>
          </w:tcPr>
          <w:p w14:paraId="47930AB3" w14:textId="77777777" w:rsidR="002E24A9" w:rsidRPr="00F64A85" w:rsidRDefault="00C15295">
            <w:pPr>
              <w:rPr>
                <w:rFonts w:asciiTheme="minorHAnsi" w:hAnsiTheme="minorHAnsi" w:cstheme="minorHAnsi"/>
              </w:rPr>
            </w:pPr>
            <w:r w:rsidRPr="00F64A85">
              <w:rPr>
                <w:rFonts w:asciiTheme="minorHAnsi" w:hAnsiTheme="minorHAnsi" w:cstheme="minorHAnsi"/>
              </w:rPr>
              <w:t>Single</w:t>
            </w:r>
          </w:p>
        </w:tc>
        <w:tc>
          <w:tcPr>
            <w:tcW w:w="3350" w:type="dxa"/>
            <w:shd w:val="clear" w:color="auto" w:fill="F2F2F2"/>
            <w:tcMar>
              <w:top w:w="80" w:type="dxa"/>
              <w:left w:w="100" w:type="dxa"/>
              <w:bottom w:w="80" w:type="dxa"/>
              <w:right w:w="100" w:type="dxa"/>
            </w:tcMar>
          </w:tcPr>
          <w:p w14:paraId="47930AB4" w14:textId="77777777" w:rsidR="002E24A9" w:rsidRPr="00F64A85" w:rsidRDefault="00C15295">
            <w:pPr>
              <w:rPr>
                <w:rFonts w:asciiTheme="minorHAnsi" w:hAnsiTheme="minorHAnsi" w:cstheme="minorHAnsi"/>
              </w:rPr>
            </w:pPr>
            <w:r w:rsidRPr="00F64A85">
              <w:rPr>
                <w:rFonts w:asciiTheme="minorHAnsi" w:hAnsiTheme="minorHAnsi" w:cstheme="minorHAnsi"/>
              </w:rPr>
              <w:t>Multiple</w:t>
            </w:r>
          </w:p>
        </w:tc>
      </w:tr>
      <w:tr w:rsidR="002E24A9" w:rsidRPr="00F64A85" w14:paraId="47930AB9" w14:textId="77777777">
        <w:tc>
          <w:tcPr>
            <w:tcW w:w="2650" w:type="dxa"/>
            <w:shd w:val="clear" w:color="auto" w:fill="FFFFFF"/>
            <w:tcMar>
              <w:top w:w="80" w:type="dxa"/>
              <w:left w:w="100" w:type="dxa"/>
              <w:bottom w:w="80" w:type="dxa"/>
              <w:right w:w="100" w:type="dxa"/>
            </w:tcMar>
          </w:tcPr>
          <w:p w14:paraId="47930AB6" w14:textId="77777777" w:rsidR="002E24A9" w:rsidRPr="00F64A85" w:rsidRDefault="00C15295">
            <w:pPr>
              <w:rPr>
                <w:rFonts w:asciiTheme="minorHAnsi" w:hAnsiTheme="minorHAnsi" w:cstheme="minorHAnsi"/>
              </w:rPr>
            </w:pPr>
            <w:r w:rsidRPr="00F64A85">
              <w:rPr>
                <w:rFonts w:asciiTheme="minorHAnsi" w:hAnsiTheme="minorHAnsi" w:cstheme="minorHAnsi"/>
              </w:rPr>
              <w:t>Nexus effective dates</w:t>
            </w:r>
          </w:p>
        </w:tc>
        <w:tc>
          <w:tcPr>
            <w:tcW w:w="3350" w:type="dxa"/>
            <w:shd w:val="clear" w:color="auto" w:fill="FFFFFF"/>
            <w:tcMar>
              <w:top w:w="80" w:type="dxa"/>
              <w:left w:w="100" w:type="dxa"/>
              <w:bottom w:w="80" w:type="dxa"/>
              <w:right w:w="100" w:type="dxa"/>
            </w:tcMar>
          </w:tcPr>
          <w:p w14:paraId="47930AB7" w14:textId="77777777" w:rsidR="002E24A9" w:rsidRPr="00F64A85" w:rsidRDefault="00C15295">
            <w:pPr>
              <w:rPr>
                <w:rFonts w:asciiTheme="minorHAnsi" w:hAnsiTheme="minorHAnsi" w:cstheme="minorHAnsi"/>
              </w:rPr>
            </w:pPr>
            <w:r w:rsidRPr="00F64A85">
              <w:rPr>
                <w:rFonts w:asciiTheme="minorHAnsi" w:hAnsiTheme="minorHAnsi" w:cstheme="minorHAnsi"/>
              </w:rPr>
              <w:t>No</w:t>
            </w:r>
          </w:p>
        </w:tc>
        <w:tc>
          <w:tcPr>
            <w:tcW w:w="3350" w:type="dxa"/>
            <w:shd w:val="clear" w:color="auto" w:fill="FFFFFF"/>
            <w:tcMar>
              <w:top w:w="80" w:type="dxa"/>
              <w:left w:w="100" w:type="dxa"/>
              <w:bottom w:w="80" w:type="dxa"/>
              <w:right w:w="100" w:type="dxa"/>
            </w:tcMar>
          </w:tcPr>
          <w:p w14:paraId="47930AB8" w14:textId="77777777" w:rsidR="002E24A9" w:rsidRPr="00F64A85" w:rsidRDefault="00C15295">
            <w:pPr>
              <w:rPr>
                <w:rFonts w:asciiTheme="minorHAnsi" w:hAnsiTheme="minorHAnsi" w:cstheme="minorHAnsi"/>
              </w:rPr>
            </w:pPr>
            <w:r w:rsidRPr="00F64A85">
              <w:rPr>
                <w:rFonts w:asciiTheme="minorHAnsi" w:hAnsiTheme="minorHAnsi" w:cstheme="minorHAnsi"/>
              </w:rPr>
              <w:t>Yes</w:t>
            </w:r>
          </w:p>
        </w:tc>
      </w:tr>
      <w:tr w:rsidR="002E24A9" w:rsidRPr="00F64A85" w14:paraId="47930ABD" w14:textId="77777777">
        <w:tc>
          <w:tcPr>
            <w:tcW w:w="2650" w:type="dxa"/>
            <w:shd w:val="clear" w:color="auto" w:fill="F2F2F2"/>
            <w:tcMar>
              <w:top w:w="80" w:type="dxa"/>
              <w:left w:w="100" w:type="dxa"/>
              <w:bottom w:w="80" w:type="dxa"/>
              <w:right w:w="100" w:type="dxa"/>
            </w:tcMar>
          </w:tcPr>
          <w:p w14:paraId="47930ABA" w14:textId="77777777" w:rsidR="002E24A9" w:rsidRPr="00F64A85" w:rsidRDefault="00C15295">
            <w:pPr>
              <w:rPr>
                <w:rFonts w:asciiTheme="minorHAnsi" w:hAnsiTheme="minorHAnsi" w:cstheme="minorHAnsi"/>
              </w:rPr>
            </w:pPr>
            <w:r w:rsidRPr="00F64A85">
              <w:rPr>
                <w:rFonts w:asciiTheme="minorHAnsi" w:hAnsiTheme="minorHAnsi" w:cstheme="minorHAnsi"/>
              </w:rPr>
              <w:t>Nexus-level tax exemption</w:t>
            </w:r>
          </w:p>
        </w:tc>
        <w:tc>
          <w:tcPr>
            <w:tcW w:w="3350" w:type="dxa"/>
            <w:shd w:val="clear" w:color="auto" w:fill="F2F2F2"/>
            <w:tcMar>
              <w:top w:w="80" w:type="dxa"/>
              <w:left w:w="100" w:type="dxa"/>
              <w:bottom w:w="80" w:type="dxa"/>
              <w:right w:w="100" w:type="dxa"/>
            </w:tcMar>
          </w:tcPr>
          <w:p w14:paraId="47930ABB" w14:textId="77777777" w:rsidR="002E24A9" w:rsidRPr="00F64A85" w:rsidRDefault="00C15295">
            <w:pPr>
              <w:rPr>
                <w:rFonts w:asciiTheme="minorHAnsi" w:hAnsiTheme="minorHAnsi" w:cstheme="minorHAnsi"/>
              </w:rPr>
            </w:pPr>
            <w:r w:rsidRPr="00F64A85">
              <w:rPr>
                <w:rFonts w:asciiTheme="minorHAnsi" w:hAnsiTheme="minorHAnsi" w:cstheme="minorHAnsi"/>
              </w:rPr>
              <w:t>No</w:t>
            </w:r>
          </w:p>
        </w:tc>
        <w:tc>
          <w:tcPr>
            <w:tcW w:w="3350" w:type="dxa"/>
            <w:shd w:val="clear" w:color="auto" w:fill="F2F2F2"/>
            <w:tcMar>
              <w:top w:w="80" w:type="dxa"/>
              <w:left w:w="100" w:type="dxa"/>
              <w:bottom w:w="80" w:type="dxa"/>
              <w:right w:w="100" w:type="dxa"/>
            </w:tcMar>
          </w:tcPr>
          <w:p w14:paraId="47930ABC" w14:textId="77777777" w:rsidR="002E24A9" w:rsidRPr="00F64A85" w:rsidRDefault="00C15295">
            <w:pPr>
              <w:rPr>
                <w:rFonts w:asciiTheme="minorHAnsi" w:hAnsiTheme="minorHAnsi" w:cstheme="minorHAnsi"/>
              </w:rPr>
            </w:pPr>
            <w:r w:rsidRPr="00F64A85">
              <w:rPr>
                <w:rFonts w:asciiTheme="minorHAnsi" w:hAnsiTheme="minorHAnsi" w:cstheme="minorHAnsi"/>
              </w:rPr>
              <w:t>Yes</w:t>
            </w:r>
          </w:p>
        </w:tc>
      </w:tr>
      <w:tr w:rsidR="002E24A9" w:rsidRPr="00F64A85" w14:paraId="47930AC1" w14:textId="77777777">
        <w:tc>
          <w:tcPr>
            <w:tcW w:w="2650" w:type="dxa"/>
            <w:shd w:val="clear" w:color="auto" w:fill="FFFFFF"/>
            <w:tcMar>
              <w:top w:w="80" w:type="dxa"/>
              <w:left w:w="100" w:type="dxa"/>
              <w:bottom w:w="80" w:type="dxa"/>
              <w:right w:w="100" w:type="dxa"/>
            </w:tcMar>
          </w:tcPr>
          <w:p w14:paraId="47930ABE" w14:textId="77777777" w:rsidR="002E24A9" w:rsidRPr="00F64A85" w:rsidRDefault="00C15295">
            <w:pPr>
              <w:rPr>
                <w:rFonts w:asciiTheme="minorHAnsi" w:hAnsiTheme="minorHAnsi" w:cstheme="minorHAnsi"/>
              </w:rPr>
            </w:pPr>
            <w:r w:rsidRPr="00F64A85">
              <w:rPr>
                <w:rFonts w:asciiTheme="minorHAnsi" w:hAnsiTheme="minorHAnsi" w:cstheme="minorHAnsi"/>
              </w:rPr>
              <w:t>Nexus determination basis</w:t>
            </w:r>
          </w:p>
        </w:tc>
        <w:tc>
          <w:tcPr>
            <w:tcW w:w="3350" w:type="dxa"/>
            <w:shd w:val="clear" w:color="auto" w:fill="FFFFFF"/>
            <w:tcMar>
              <w:top w:w="80" w:type="dxa"/>
              <w:left w:w="100" w:type="dxa"/>
              <w:bottom w:w="80" w:type="dxa"/>
              <w:right w:w="100" w:type="dxa"/>
            </w:tcMar>
          </w:tcPr>
          <w:p w14:paraId="47930ABF" w14:textId="77777777" w:rsidR="002E24A9" w:rsidRPr="00F64A85" w:rsidRDefault="00C15295">
            <w:pPr>
              <w:rPr>
                <w:rFonts w:asciiTheme="minorHAnsi" w:hAnsiTheme="minorHAnsi" w:cstheme="minorHAnsi"/>
              </w:rPr>
            </w:pPr>
            <w:r w:rsidRPr="00F64A85">
              <w:rPr>
                <w:rFonts w:asciiTheme="minorHAnsi" w:hAnsiTheme="minorHAnsi" w:cstheme="minorHAnsi"/>
              </w:rPr>
              <w:t>Ship-to address only</w:t>
            </w:r>
          </w:p>
        </w:tc>
        <w:tc>
          <w:tcPr>
            <w:tcW w:w="3350" w:type="dxa"/>
            <w:shd w:val="clear" w:color="auto" w:fill="FFFFFF"/>
            <w:tcMar>
              <w:top w:w="80" w:type="dxa"/>
              <w:left w:w="100" w:type="dxa"/>
              <w:bottom w:w="80" w:type="dxa"/>
              <w:right w:w="100" w:type="dxa"/>
            </w:tcMar>
          </w:tcPr>
          <w:p w14:paraId="47930AC0" w14:textId="77777777" w:rsidR="002E24A9" w:rsidRPr="00F64A85" w:rsidRDefault="00C15295">
            <w:pPr>
              <w:rPr>
                <w:rFonts w:asciiTheme="minorHAnsi" w:hAnsiTheme="minorHAnsi" w:cstheme="minorHAnsi"/>
              </w:rPr>
            </w:pPr>
            <w:r w:rsidRPr="00F64A85">
              <w:rPr>
                <w:rFonts w:asciiTheme="minorHAnsi" w:hAnsiTheme="minorHAnsi" w:cstheme="minorHAnsi"/>
              </w:rPr>
              <w:t>Ship-to, location, billing, or subsidiary address</w:t>
            </w:r>
          </w:p>
        </w:tc>
      </w:tr>
      <w:tr w:rsidR="002E24A9" w:rsidRPr="00F64A85" w14:paraId="47930AC5" w14:textId="77777777">
        <w:tc>
          <w:tcPr>
            <w:tcW w:w="2650" w:type="dxa"/>
            <w:shd w:val="clear" w:color="auto" w:fill="F2F2F2"/>
            <w:tcMar>
              <w:top w:w="80" w:type="dxa"/>
              <w:left w:w="100" w:type="dxa"/>
              <w:bottom w:w="80" w:type="dxa"/>
              <w:right w:w="100" w:type="dxa"/>
            </w:tcMar>
          </w:tcPr>
          <w:p w14:paraId="47930AC2" w14:textId="77777777" w:rsidR="002E24A9" w:rsidRPr="00F64A85" w:rsidRDefault="00C15295">
            <w:pPr>
              <w:rPr>
                <w:rFonts w:asciiTheme="minorHAnsi" w:hAnsiTheme="minorHAnsi" w:cstheme="minorHAnsi"/>
              </w:rPr>
            </w:pPr>
            <w:r w:rsidRPr="00F64A85">
              <w:rPr>
                <w:rFonts w:asciiTheme="minorHAnsi" w:hAnsiTheme="minorHAnsi" w:cstheme="minorHAnsi"/>
              </w:rPr>
              <w:t>Nexus/tax details override on transactions</w:t>
            </w:r>
          </w:p>
        </w:tc>
        <w:tc>
          <w:tcPr>
            <w:tcW w:w="3350" w:type="dxa"/>
            <w:shd w:val="clear" w:color="auto" w:fill="F2F2F2"/>
            <w:tcMar>
              <w:top w:w="80" w:type="dxa"/>
              <w:left w:w="100" w:type="dxa"/>
              <w:bottom w:w="80" w:type="dxa"/>
              <w:right w:w="100" w:type="dxa"/>
            </w:tcMar>
          </w:tcPr>
          <w:p w14:paraId="47930AC3" w14:textId="77777777" w:rsidR="002E24A9" w:rsidRPr="00F64A85" w:rsidRDefault="00C15295">
            <w:pPr>
              <w:rPr>
                <w:rFonts w:asciiTheme="minorHAnsi" w:hAnsiTheme="minorHAnsi" w:cstheme="minorHAnsi"/>
              </w:rPr>
            </w:pPr>
            <w:r w:rsidRPr="00F64A85">
              <w:rPr>
                <w:rFonts w:asciiTheme="minorHAnsi" w:hAnsiTheme="minorHAnsi" w:cstheme="minorHAnsi"/>
              </w:rPr>
              <w:t>No</w:t>
            </w:r>
          </w:p>
        </w:tc>
        <w:tc>
          <w:tcPr>
            <w:tcW w:w="3350" w:type="dxa"/>
            <w:shd w:val="clear" w:color="auto" w:fill="F2F2F2"/>
            <w:tcMar>
              <w:top w:w="80" w:type="dxa"/>
              <w:left w:w="100" w:type="dxa"/>
              <w:bottom w:w="80" w:type="dxa"/>
              <w:right w:w="100" w:type="dxa"/>
            </w:tcMar>
          </w:tcPr>
          <w:p w14:paraId="47930AC4" w14:textId="77777777" w:rsidR="002E24A9" w:rsidRPr="00F64A85" w:rsidRDefault="00C15295">
            <w:pPr>
              <w:rPr>
                <w:rFonts w:asciiTheme="minorHAnsi" w:hAnsiTheme="minorHAnsi" w:cstheme="minorHAnsi"/>
              </w:rPr>
            </w:pPr>
            <w:r w:rsidRPr="00F64A85">
              <w:rPr>
                <w:rFonts w:asciiTheme="minorHAnsi" w:hAnsiTheme="minorHAnsi" w:cstheme="minorHAnsi"/>
              </w:rPr>
              <w:t>Yes, with the appropriate Tax Details Tab permission</w:t>
            </w:r>
          </w:p>
        </w:tc>
      </w:tr>
      <w:tr w:rsidR="002E24A9" w:rsidRPr="00F64A85" w14:paraId="47930AC9" w14:textId="77777777">
        <w:tc>
          <w:tcPr>
            <w:tcW w:w="2650" w:type="dxa"/>
            <w:shd w:val="clear" w:color="auto" w:fill="FFFFFF"/>
            <w:tcMar>
              <w:top w:w="80" w:type="dxa"/>
              <w:left w:w="100" w:type="dxa"/>
              <w:bottom w:w="80" w:type="dxa"/>
              <w:right w:w="100" w:type="dxa"/>
            </w:tcMar>
          </w:tcPr>
          <w:p w14:paraId="47930AC6" w14:textId="77777777" w:rsidR="002E24A9" w:rsidRPr="00F64A85" w:rsidRDefault="00C15295">
            <w:pPr>
              <w:rPr>
                <w:rFonts w:asciiTheme="minorHAnsi" w:hAnsiTheme="minorHAnsi" w:cstheme="minorHAnsi"/>
              </w:rPr>
            </w:pPr>
            <w:r w:rsidRPr="00F64A85">
              <w:rPr>
                <w:rFonts w:asciiTheme="minorHAnsi" w:hAnsiTheme="minorHAnsi" w:cstheme="minorHAnsi"/>
              </w:rPr>
              <w:t>Tax rate change history</w:t>
            </w:r>
          </w:p>
        </w:tc>
        <w:tc>
          <w:tcPr>
            <w:tcW w:w="3350" w:type="dxa"/>
            <w:shd w:val="clear" w:color="auto" w:fill="FFFFFF"/>
            <w:tcMar>
              <w:top w:w="80" w:type="dxa"/>
              <w:left w:w="100" w:type="dxa"/>
              <w:bottom w:w="80" w:type="dxa"/>
              <w:right w:w="100" w:type="dxa"/>
            </w:tcMar>
          </w:tcPr>
          <w:p w14:paraId="47930AC7" w14:textId="77777777" w:rsidR="002E24A9" w:rsidRPr="00F64A85" w:rsidRDefault="00C15295">
            <w:pPr>
              <w:rPr>
                <w:rFonts w:asciiTheme="minorHAnsi" w:hAnsiTheme="minorHAnsi" w:cstheme="minorHAnsi"/>
              </w:rPr>
            </w:pPr>
            <w:r w:rsidRPr="00F64A85">
              <w:rPr>
                <w:rFonts w:asciiTheme="minorHAnsi" w:hAnsiTheme="minorHAnsi" w:cstheme="minorHAnsi"/>
              </w:rPr>
              <w:t>No</w:t>
            </w:r>
          </w:p>
        </w:tc>
        <w:tc>
          <w:tcPr>
            <w:tcW w:w="3350" w:type="dxa"/>
            <w:shd w:val="clear" w:color="auto" w:fill="FFFFFF"/>
            <w:tcMar>
              <w:top w:w="80" w:type="dxa"/>
              <w:left w:w="100" w:type="dxa"/>
              <w:bottom w:w="80" w:type="dxa"/>
              <w:right w:w="100" w:type="dxa"/>
            </w:tcMar>
          </w:tcPr>
          <w:p w14:paraId="47930AC8" w14:textId="77777777" w:rsidR="002E24A9" w:rsidRPr="00F64A85" w:rsidRDefault="00C15295">
            <w:pPr>
              <w:rPr>
                <w:rFonts w:asciiTheme="minorHAnsi" w:hAnsiTheme="minorHAnsi" w:cstheme="minorHAnsi"/>
              </w:rPr>
            </w:pPr>
            <w:r w:rsidRPr="00F64A85">
              <w:rPr>
                <w:rFonts w:asciiTheme="minorHAnsi" w:hAnsiTheme="minorHAnsi" w:cstheme="minorHAnsi"/>
              </w:rPr>
              <w:t>Yes</w:t>
            </w:r>
          </w:p>
        </w:tc>
      </w:tr>
      <w:tr w:rsidR="002E24A9" w:rsidRPr="00F64A85" w14:paraId="47930ACD" w14:textId="77777777">
        <w:tc>
          <w:tcPr>
            <w:tcW w:w="2650" w:type="dxa"/>
            <w:shd w:val="clear" w:color="auto" w:fill="F2F2F2"/>
            <w:tcMar>
              <w:top w:w="80" w:type="dxa"/>
              <w:left w:w="100" w:type="dxa"/>
              <w:bottom w:w="80" w:type="dxa"/>
              <w:right w:w="100" w:type="dxa"/>
            </w:tcMar>
          </w:tcPr>
          <w:p w14:paraId="47930ACA" w14:textId="77777777" w:rsidR="002E24A9" w:rsidRPr="00F64A85" w:rsidRDefault="00C15295">
            <w:pPr>
              <w:rPr>
                <w:rFonts w:asciiTheme="minorHAnsi" w:hAnsiTheme="minorHAnsi" w:cstheme="minorHAnsi"/>
              </w:rPr>
            </w:pPr>
            <w:r w:rsidRPr="00F64A85">
              <w:rPr>
                <w:rFonts w:asciiTheme="minorHAnsi" w:hAnsiTheme="minorHAnsi" w:cstheme="minorHAnsi"/>
              </w:rPr>
              <w:t>Country provisioning at setup</w:t>
            </w:r>
          </w:p>
        </w:tc>
        <w:tc>
          <w:tcPr>
            <w:tcW w:w="3350" w:type="dxa"/>
            <w:shd w:val="clear" w:color="auto" w:fill="F2F2F2"/>
            <w:tcMar>
              <w:top w:w="80" w:type="dxa"/>
              <w:left w:w="100" w:type="dxa"/>
              <w:bottom w:w="80" w:type="dxa"/>
              <w:right w:w="100" w:type="dxa"/>
            </w:tcMar>
          </w:tcPr>
          <w:p w14:paraId="47930ACB" w14:textId="77777777" w:rsidR="002E24A9" w:rsidRPr="00F64A85" w:rsidRDefault="00C15295">
            <w:pPr>
              <w:rPr>
                <w:rFonts w:asciiTheme="minorHAnsi" w:hAnsiTheme="minorHAnsi" w:cstheme="minorHAnsi"/>
              </w:rPr>
            </w:pPr>
            <w:r w:rsidRPr="00F64A85">
              <w:rPr>
                <w:rFonts w:asciiTheme="minorHAnsi" w:hAnsiTheme="minorHAnsi" w:cstheme="minorHAnsi"/>
              </w:rPr>
              <w:t>~40 countries</w:t>
            </w:r>
          </w:p>
        </w:tc>
        <w:tc>
          <w:tcPr>
            <w:tcW w:w="3350" w:type="dxa"/>
            <w:shd w:val="clear" w:color="auto" w:fill="F2F2F2"/>
            <w:tcMar>
              <w:top w:w="80" w:type="dxa"/>
              <w:left w:w="100" w:type="dxa"/>
              <w:bottom w:w="80" w:type="dxa"/>
              <w:right w:w="100" w:type="dxa"/>
            </w:tcMar>
          </w:tcPr>
          <w:p w14:paraId="47930ACC" w14:textId="77777777" w:rsidR="002E24A9" w:rsidRPr="00F64A85" w:rsidRDefault="00C15295">
            <w:pPr>
              <w:rPr>
                <w:rFonts w:asciiTheme="minorHAnsi" w:hAnsiTheme="minorHAnsi" w:cstheme="minorHAnsi"/>
              </w:rPr>
            </w:pPr>
            <w:r w:rsidRPr="00F64A85">
              <w:rPr>
                <w:rFonts w:asciiTheme="minorHAnsi" w:hAnsiTheme="minorHAnsi" w:cstheme="minorHAnsi"/>
              </w:rPr>
              <w:t>180 countries, including ongoing changes</w:t>
            </w:r>
          </w:p>
        </w:tc>
      </w:tr>
      <w:tr w:rsidR="002E24A9" w:rsidRPr="00F64A85" w14:paraId="47930AD1" w14:textId="77777777">
        <w:tc>
          <w:tcPr>
            <w:tcW w:w="2650" w:type="dxa"/>
            <w:shd w:val="clear" w:color="auto" w:fill="FFFFFF"/>
            <w:tcMar>
              <w:top w:w="80" w:type="dxa"/>
              <w:left w:w="100" w:type="dxa"/>
              <w:bottom w:w="80" w:type="dxa"/>
              <w:right w:w="100" w:type="dxa"/>
            </w:tcMar>
          </w:tcPr>
          <w:p w14:paraId="47930ACE" w14:textId="77777777" w:rsidR="002E24A9" w:rsidRPr="00F64A85" w:rsidRDefault="00C15295">
            <w:pPr>
              <w:rPr>
                <w:rFonts w:asciiTheme="minorHAnsi" w:hAnsiTheme="minorHAnsi" w:cstheme="minorHAnsi"/>
              </w:rPr>
            </w:pPr>
            <w:r w:rsidRPr="00F64A85">
              <w:rPr>
                <w:rFonts w:asciiTheme="minorHAnsi" w:hAnsiTheme="minorHAnsi" w:cstheme="minorHAnsi"/>
              </w:rPr>
              <w:t>U.S. rate updates</w:t>
            </w:r>
          </w:p>
        </w:tc>
        <w:tc>
          <w:tcPr>
            <w:tcW w:w="3350" w:type="dxa"/>
            <w:shd w:val="clear" w:color="auto" w:fill="FFFFFF"/>
            <w:tcMar>
              <w:top w:w="80" w:type="dxa"/>
              <w:left w:w="100" w:type="dxa"/>
              <w:bottom w:w="80" w:type="dxa"/>
              <w:right w:w="100" w:type="dxa"/>
            </w:tcMar>
          </w:tcPr>
          <w:p w14:paraId="47930ACF" w14:textId="77777777" w:rsidR="002E24A9" w:rsidRPr="00F64A85" w:rsidRDefault="00C15295">
            <w:pPr>
              <w:rPr>
                <w:rFonts w:asciiTheme="minorHAnsi" w:hAnsiTheme="minorHAnsi" w:cstheme="minorHAnsi"/>
              </w:rPr>
            </w:pPr>
            <w:r w:rsidRPr="00F64A85">
              <w:rPr>
                <w:rFonts w:asciiTheme="minorHAnsi" w:hAnsiTheme="minorHAnsi" w:cstheme="minorHAnsi"/>
              </w:rPr>
              <w:t>Manual, per state</w:t>
            </w:r>
          </w:p>
        </w:tc>
        <w:tc>
          <w:tcPr>
            <w:tcW w:w="3350" w:type="dxa"/>
            <w:shd w:val="clear" w:color="auto" w:fill="FFFFFF"/>
            <w:tcMar>
              <w:top w:w="80" w:type="dxa"/>
              <w:left w:w="100" w:type="dxa"/>
              <w:bottom w:w="80" w:type="dxa"/>
              <w:right w:w="100" w:type="dxa"/>
            </w:tcMar>
          </w:tcPr>
          <w:p w14:paraId="47930AD0" w14:textId="77777777" w:rsidR="002E24A9" w:rsidRPr="00F64A85" w:rsidRDefault="00C15295">
            <w:pPr>
              <w:rPr>
                <w:rFonts w:asciiTheme="minorHAnsi" w:hAnsiTheme="minorHAnsi" w:cstheme="minorHAnsi"/>
              </w:rPr>
            </w:pPr>
            <w:r w:rsidRPr="00F64A85">
              <w:rPr>
                <w:rFonts w:asciiTheme="minorHAnsi" w:hAnsiTheme="minorHAnsi" w:cstheme="minorHAnsi"/>
              </w:rPr>
              <w:t>Automatic, monthly</w:t>
            </w:r>
          </w:p>
        </w:tc>
      </w:tr>
      <w:tr w:rsidR="002E24A9" w:rsidRPr="00F64A85" w14:paraId="47930AD5" w14:textId="77777777">
        <w:tc>
          <w:tcPr>
            <w:tcW w:w="2650" w:type="dxa"/>
            <w:shd w:val="clear" w:color="auto" w:fill="F2F2F2"/>
            <w:tcMar>
              <w:top w:w="80" w:type="dxa"/>
              <w:left w:w="100" w:type="dxa"/>
              <w:bottom w:w="80" w:type="dxa"/>
              <w:right w:w="100" w:type="dxa"/>
            </w:tcMar>
          </w:tcPr>
          <w:p w14:paraId="47930AD2" w14:textId="77777777" w:rsidR="002E24A9" w:rsidRPr="00F64A85" w:rsidRDefault="00C15295">
            <w:pPr>
              <w:rPr>
                <w:rFonts w:asciiTheme="minorHAnsi" w:hAnsiTheme="minorHAnsi" w:cstheme="minorHAnsi"/>
              </w:rPr>
            </w:pPr>
            <w:r w:rsidRPr="00F64A85">
              <w:rPr>
                <w:rFonts w:asciiTheme="minorHAnsi" w:hAnsiTheme="minorHAnsi" w:cstheme="minorHAnsi"/>
              </w:rPr>
              <w:t>Tax reporting basis</w:t>
            </w:r>
          </w:p>
        </w:tc>
        <w:tc>
          <w:tcPr>
            <w:tcW w:w="3350" w:type="dxa"/>
            <w:shd w:val="clear" w:color="auto" w:fill="F2F2F2"/>
            <w:tcMar>
              <w:top w:w="80" w:type="dxa"/>
              <w:left w:w="100" w:type="dxa"/>
              <w:bottom w:w="80" w:type="dxa"/>
              <w:right w:w="100" w:type="dxa"/>
            </w:tcMar>
          </w:tcPr>
          <w:p w14:paraId="47930AD3" w14:textId="77777777" w:rsidR="002E24A9" w:rsidRPr="00F64A85" w:rsidRDefault="00C15295">
            <w:pPr>
              <w:rPr>
                <w:rFonts w:asciiTheme="minorHAnsi" w:hAnsiTheme="minorHAnsi" w:cstheme="minorHAnsi"/>
              </w:rPr>
            </w:pPr>
            <w:r w:rsidRPr="00F64A85">
              <w:rPr>
                <w:rFonts w:asciiTheme="minorHAnsi" w:hAnsiTheme="minorHAnsi" w:cstheme="minorHAnsi"/>
              </w:rPr>
              <w:t>Cash or accrual, set per nexus</w:t>
            </w:r>
          </w:p>
        </w:tc>
        <w:tc>
          <w:tcPr>
            <w:tcW w:w="3350" w:type="dxa"/>
            <w:shd w:val="clear" w:color="auto" w:fill="F2F2F2"/>
            <w:tcMar>
              <w:top w:w="80" w:type="dxa"/>
              <w:left w:w="100" w:type="dxa"/>
              <w:bottom w:w="80" w:type="dxa"/>
              <w:right w:w="100" w:type="dxa"/>
            </w:tcMar>
          </w:tcPr>
          <w:p w14:paraId="47930AD4" w14:textId="77777777" w:rsidR="002E24A9" w:rsidRPr="00F64A85" w:rsidRDefault="00C15295">
            <w:pPr>
              <w:rPr>
                <w:rFonts w:asciiTheme="minorHAnsi" w:hAnsiTheme="minorHAnsi" w:cstheme="minorHAnsi"/>
              </w:rPr>
            </w:pPr>
            <w:r w:rsidRPr="00F64A85">
              <w:rPr>
                <w:rFonts w:asciiTheme="minorHAnsi" w:hAnsiTheme="minorHAnsi" w:cstheme="minorHAnsi"/>
              </w:rPr>
              <w:t>Accrual only, based on tax point date</w:t>
            </w:r>
          </w:p>
        </w:tc>
      </w:tr>
      <w:tr w:rsidR="002E24A9" w:rsidRPr="00F64A85" w14:paraId="47930AD9" w14:textId="77777777">
        <w:tc>
          <w:tcPr>
            <w:tcW w:w="2650" w:type="dxa"/>
            <w:shd w:val="clear" w:color="auto" w:fill="FFFFFF"/>
            <w:tcMar>
              <w:top w:w="80" w:type="dxa"/>
              <w:left w:w="100" w:type="dxa"/>
              <w:bottom w:w="80" w:type="dxa"/>
              <w:right w:w="100" w:type="dxa"/>
            </w:tcMar>
          </w:tcPr>
          <w:p w14:paraId="47930AD6" w14:textId="77777777" w:rsidR="002E24A9" w:rsidRPr="00F64A85" w:rsidRDefault="00C15295">
            <w:pPr>
              <w:rPr>
                <w:rFonts w:asciiTheme="minorHAnsi" w:hAnsiTheme="minorHAnsi" w:cstheme="minorHAnsi"/>
              </w:rPr>
            </w:pPr>
            <w:r w:rsidRPr="00F64A85">
              <w:rPr>
                <w:rFonts w:asciiTheme="minorHAnsi" w:hAnsiTheme="minorHAnsi" w:cstheme="minorHAnsi"/>
              </w:rPr>
              <w:t>US item-level exemption certificates</w:t>
            </w:r>
          </w:p>
        </w:tc>
        <w:tc>
          <w:tcPr>
            <w:tcW w:w="3350" w:type="dxa"/>
            <w:shd w:val="clear" w:color="auto" w:fill="FFFFFF"/>
            <w:tcMar>
              <w:top w:w="80" w:type="dxa"/>
              <w:left w:w="100" w:type="dxa"/>
              <w:bottom w:w="80" w:type="dxa"/>
              <w:right w:w="100" w:type="dxa"/>
            </w:tcMar>
          </w:tcPr>
          <w:p w14:paraId="47930AD7" w14:textId="77777777" w:rsidR="002E24A9" w:rsidRPr="00F64A85" w:rsidRDefault="00C15295">
            <w:pPr>
              <w:rPr>
                <w:rFonts w:asciiTheme="minorHAnsi" w:hAnsiTheme="minorHAnsi" w:cstheme="minorHAnsi"/>
              </w:rPr>
            </w:pPr>
            <w:r w:rsidRPr="00F64A85">
              <w:rPr>
                <w:rFonts w:asciiTheme="minorHAnsi" w:hAnsiTheme="minorHAnsi" w:cstheme="minorHAnsi"/>
              </w:rPr>
              <w:t>General-level exemption only</w:t>
            </w:r>
          </w:p>
        </w:tc>
        <w:tc>
          <w:tcPr>
            <w:tcW w:w="3350" w:type="dxa"/>
            <w:shd w:val="clear" w:color="auto" w:fill="FFFFFF"/>
            <w:tcMar>
              <w:top w:w="80" w:type="dxa"/>
              <w:left w:w="100" w:type="dxa"/>
              <w:bottom w:w="80" w:type="dxa"/>
              <w:right w:w="100" w:type="dxa"/>
            </w:tcMar>
          </w:tcPr>
          <w:p w14:paraId="47930AD8" w14:textId="77777777" w:rsidR="002E24A9" w:rsidRPr="00F64A85" w:rsidRDefault="00C15295">
            <w:pPr>
              <w:rPr>
                <w:rFonts w:asciiTheme="minorHAnsi" w:hAnsiTheme="minorHAnsi" w:cstheme="minorHAnsi"/>
              </w:rPr>
            </w:pPr>
            <w:r w:rsidRPr="00F64A85">
              <w:rPr>
                <w:rFonts w:asciiTheme="minorHAnsi" w:hAnsiTheme="minorHAnsi" w:cstheme="minorHAnsi"/>
              </w:rPr>
              <w:t>Item-level exemption and tax exception support</w:t>
            </w:r>
          </w:p>
        </w:tc>
      </w:tr>
      <w:tr w:rsidR="002E24A9" w:rsidRPr="00F64A85" w14:paraId="47930ADD" w14:textId="77777777">
        <w:tc>
          <w:tcPr>
            <w:tcW w:w="2650" w:type="dxa"/>
            <w:shd w:val="clear" w:color="auto" w:fill="F2F2F2"/>
            <w:tcMar>
              <w:top w:w="80" w:type="dxa"/>
              <w:left w:w="100" w:type="dxa"/>
              <w:bottom w:w="80" w:type="dxa"/>
              <w:right w:w="100" w:type="dxa"/>
            </w:tcMar>
          </w:tcPr>
          <w:p w14:paraId="47930ADA" w14:textId="77777777" w:rsidR="002E24A9" w:rsidRPr="00F64A85" w:rsidRDefault="00C15295">
            <w:pPr>
              <w:rPr>
                <w:rFonts w:asciiTheme="minorHAnsi" w:hAnsiTheme="minorHAnsi" w:cstheme="minorHAnsi"/>
              </w:rPr>
            </w:pPr>
            <w:r w:rsidRPr="00F64A85">
              <w:rPr>
                <w:rFonts w:asciiTheme="minorHAnsi" w:hAnsiTheme="minorHAnsi" w:cstheme="minorHAnsi"/>
              </w:rPr>
              <w:t>Reversibility once enabled</w:t>
            </w:r>
          </w:p>
        </w:tc>
        <w:tc>
          <w:tcPr>
            <w:tcW w:w="3350" w:type="dxa"/>
            <w:shd w:val="clear" w:color="auto" w:fill="F2F2F2"/>
            <w:tcMar>
              <w:top w:w="80" w:type="dxa"/>
              <w:left w:w="100" w:type="dxa"/>
              <w:bottom w:w="80" w:type="dxa"/>
              <w:right w:w="100" w:type="dxa"/>
            </w:tcMar>
          </w:tcPr>
          <w:p w14:paraId="47930ADB" w14:textId="77777777" w:rsidR="002E24A9" w:rsidRPr="00F64A85" w:rsidRDefault="00C15295">
            <w:pPr>
              <w:rPr>
                <w:rFonts w:asciiTheme="minorHAnsi" w:hAnsiTheme="minorHAnsi" w:cstheme="minorHAnsi"/>
              </w:rPr>
            </w:pPr>
            <w:r w:rsidRPr="00F64A85">
              <w:rPr>
                <w:rFonts w:asciiTheme="minorHAnsi" w:hAnsiTheme="minorHAnsi" w:cstheme="minorHAnsi"/>
              </w:rPr>
              <w:t>N/A</w:t>
            </w:r>
          </w:p>
        </w:tc>
        <w:tc>
          <w:tcPr>
            <w:tcW w:w="3350" w:type="dxa"/>
            <w:shd w:val="clear" w:color="auto" w:fill="F2F2F2"/>
            <w:tcMar>
              <w:top w:w="80" w:type="dxa"/>
              <w:left w:w="100" w:type="dxa"/>
              <w:bottom w:w="80" w:type="dxa"/>
              <w:right w:w="100" w:type="dxa"/>
            </w:tcMar>
          </w:tcPr>
          <w:p w14:paraId="47930ADC" w14:textId="77777777" w:rsidR="002E24A9" w:rsidRPr="00F64A85" w:rsidRDefault="00C15295">
            <w:pPr>
              <w:rPr>
                <w:rFonts w:asciiTheme="minorHAnsi" w:hAnsiTheme="minorHAnsi" w:cstheme="minorHAnsi"/>
              </w:rPr>
            </w:pPr>
            <w:r w:rsidRPr="00F64A85">
              <w:rPr>
                <w:rFonts w:asciiTheme="minorHAnsi" w:hAnsiTheme="minorHAnsi" w:cstheme="minorHAnsi"/>
              </w:rPr>
              <w:t>Non-reversible — cannot be disabled after enabling</w:t>
            </w:r>
          </w:p>
        </w:tc>
      </w:tr>
      <w:tr w:rsidR="002E24A9" w:rsidRPr="00F64A85" w14:paraId="47930AE2" w14:textId="77777777">
        <w:trPr>
          <w:gridAfter w:val="2"/>
          <w:wAfter w:w="9250" w:type="dxa"/>
        </w:trPr>
        <w:tc>
          <w:tcPr>
            <w:tcW w:w="9350" w:type="dxa"/>
            <w:shd w:val="clear" w:color="auto" w:fill="FFF2CC"/>
            <w:tcMar>
              <w:top w:w="150" w:type="dxa"/>
              <w:left w:w="200" w:type="dxa"/>
              <w:bottom w:w="150" w:type="dxa"/>
              <w:right w:w="200" w:type="dxa"/>
            </w:tcMar>
          </w:tcPr>
          <w:p w14:paraId="47930ADE" w14:textId="77777777" w:rsidR="002E24A9" w:rsidRPr="00F64A85" w:rsidRDefault="00C15295">
            <w:pPr>
              <w:spacing w:after="100"/>
              <w:rPr>
                <w:rFonts w:asciiTheme="minorHAnsi" w:hAnsiTheme="minorHAnsi" w:cstheme="minorHAnsi"/>
              </w:rPr>
            </w:pPr>
            <w:r w:rsidRPr="00F64A85">
              <w:rPr>
                <w:rFonts w:ascii="Segoe UI Emoji" w:hAnsi="Segoe UI Emoji" w:cs="Segoe UI Emoji"/>
                <w:b/>
                <w:bCs/>
              </w:rPr>
              <w:t>⚠️</w:t>
            </w:r>
            <w:r w:rsidRPr="00F64A85">
              <w:rPr>
                <w:rFonts w:asciiTheme="minorHAnsi" w:hAnsiTheme="minorHAnsi" w:cstheme="minorHAnsi"/>
                <w:b/>
                <w:bCs/>
              </w:rPr>
              <w:t xml:space="preserve"> Field and Record Availability Changes After Migration</w:t>
            </w:r>
          </w:p>
          <w:p w14:paraId="47930ADF"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Some legacy tax fields and records are no longer available once SuiteTax is enabled — for example, tax rates on the item sublist of a Sales Order are retrievable in legacy tax but not in SuiteTax</w:t>
            </w:r>
          </w:p>
          <w:p w14:paraId="47930AE0"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All legacy tax codes are inactivated when SuiteTax is enabled; they remain visible on historical transactions and reports, but a new set of tax codes is provisioned by the tax engine for use going forward</w:t>
            </w:r>
          </w:p>
          <w:p w14:paraId="47930AE1"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SuiteApps and third-party integrations that reference legacy tax fields need to be reviewed for SuiteTax compatibility before migration, since some rely on records that are retired</w:t>
            </w:r>
          </w:p>
        </w:tc>
      </w:tr>
    </w:tbl>
    <w:p w14:paraId="47930AE4"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5. Enabling SuiteTax and Migrating from Legacy Tax</w:t>
      </w:r>
    </w:p>
    <w:p w14:paraId="47930AE5"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SuiteTax can be enabled for a new implementation from the outset, or an existing legacy-tax account can be migrated. In both cases, only an administrator can enable the feature, and the account should be tested in a sandbox first if it already holds transactions and records.</w:t>
      </w:r>
    </w:p>
    <w:p w14:paraId="47930AE6"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5.1 Enablement Steps</w:t>
      </w:r>
    </w:p>
    <w:p w14:paraId="47930AE7" w14:textId="77777777" w:rsidR="002E24A9" w:rsidRPr="00F64A85" w:rsidRDefault="00C15295">
      <w:pPr>
        <w:spacing w:after="60"/>
        <w:rPr>
          <w:rFonts w:asciiTheme="minorHAnsi" w:hAnsiTheme="minorHAnsi" w:cstheme="minorHAnsi"/>
        </w:rPr>
      </w:pPr>
      <w:r w:rsidRPr="00F64A85">
        <w:rPr>
          <w:rFonts w:asciiTheme="minorHAnsi" w:hAnsiTheme="minorHAnsi" w:cstheme="minorHAnsi"/>
        </w:rPr>
        <w:t>1. Go to Setup &gt; Company &gt; Enable Features, and check the SuiteTax box on the Tax subtab.</w:t>
      </w:r>
    </w:p>
    <w:p w14:paraId="47930AE8" w14:textId="77777777" w:rsidR="002E24A9" w:rsidRPr="00F64A85" w:rsidRDefault="00C15295">
      <w:pPr>
        <w:spacing w:after="60"/>
        <w:rPr>
          <w:rFonts w:asciiTheme="minorHAnsi" w:hAnsiTheme="minorHAnsi" w:cstheme="minorHAnsi"/>
        </w:rPr>
      </w:pPr>
      <w:r w:rsidRPr="00F64A85">
        <w:rPr>
          <w:rFonts w:asciiTheme="minorHAnsi" w:hAnsiTheme="minorHAnsi" w:cstheme="minorHAnsi"/>
        </w:rPr>
        <w:t>2. Review the enablement information messages — these list prerequisite features, and any incompatible features, preferences, SuiteApps, or bundles that must be disabled or uninstalled before SuiteTax can be enabled.</w:t>
      </w:r>
    </w:p>
    <w:p w14:paraId="47930AE9" w14:textId="77777777" w:rsidR="002E24A9" w:rsidRPr="00F64A85" w:rsidRDefault="00C15295">
      <w:pPr>
        <w:spacing w:after="60"/>
        <w:rPr>
          <w:rFonts w:asciiTheme="minorHAnsi" w:hAnsiTheme="minorHAnsi" w:cstheme="minorHAnsi"/>
        </w:rPr>
      </w:pPr>
      <w:r w:rsidRPr="00F64A85">
        <w:rPr>
          <w:rFonts w:asciiTheme="minorHAnsi" w:hAnsiTheme="minorHAnsi" w:cstheme="minorHAnsi"/>
        </w:rPr>
        <w:t>3. Click Save. Migration of tax-related records then proceeds in the background.</w:t>
      </w:r>
    </w:p>
    <w:p w14:paraId="47930AEA" w14:textId="77777777" w:rsidR="002E24A9" w:rsidRPr="00F64A85" w:rsidRDefault="00C15295">
      <w:pPr>
        <w:spacing w:after="60"/>
        <w:rPr>
          <w:rFonts w:asciiTheme="minorHAnsi" w:hAnsiTheme="minorHAnsi" w:cstheme="minorHAnsi"/>
        </w:rPr>
      </w:pPr>
      <w:r w:rsidRPr="00F64A85">
        <w:rPr>
          <w:rFonts w:asciiTheme="minorHAnsi" w:hAnsiTheme="minorHAnsi" w:cstheme="minorHAnsi"/>
        </w:rPr>
        <w:t>4. Set up the tax engine for each subsidiary's tax registrations — this is required before taxable transactions can be created or edited; a nexus can instead be marked tax-exempt if no tax tracking is required for it.</w:t>
      </w:r>
    </w:p>
    <w:p w14:paraId="47930AEB" w14:textId="77777777" w:rsidR="002E24A9" w:rsidRPr="00F64A85" w:rsidRDefault="00C15295">
      <w:pPr>
        <w:spacing w:after="160"/>
        <w:rPr>
          <w:rFonts w:asciiTheme="minorHAnsi" w:hAnsiTheme="minorHAnsi" w:cstheme="minorHAnsi"/>
        </w:rPr>
      </w:pPr>
      <w:r w:rsidRPr="00F64A85">
        <w:rPr>
          <w:rFonts w:asciiTheme="minorHAnsi" w:hAnsiTheme="minorHAnsi" w:cstheme="minorHAnsi"/>
        </w:rPr>
        <w:t>5. Confirm migration status at Setup &gt; Taxes &gt; SuiteTax Migration before resuming full transaction activity.</w:t>
      </w:r>
    </w:p>
    <w:p w14:paraId="47930AEC"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5.2 Migration Mechanics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2E24A9" w:rsidRPr="00F64A85" w14:paraId="47930AEF" w14:textId="77777777">
        <w:trPr>
          <w:tblHeader/>
        </w:trPr>
        <w:tc>
          <w:tcPr>
            <w:tcW w:w="2400" w:type="dxa"/>
            <w:shd w:val="clear" w:color="auto" w:fill="1F3864"/>
            <w:tcMar>
              <w:top w:w="80" w:type="dxa"/>
              <w:left w:w="100" w:type="dxa"/>
              <w:bottom w:w="80" w:type="dxa"/>
              <w:right w:w="100" w:type="dxa"/>
            </w:tcMar>
            <w:vAlign w:val="center"/>
          </w:tcPr>
          <w:p w14:paraId="47930AED"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Aspect</w:t>
            </w:r>
          </w:p>
        </w:tc>
        <w:tc>
          <w:tcPr>
            <w:tcW w:w="6950" w:type="dxa"/>
            <w:shd w:val="clear" w:color="auto" w:fill="1F3864"/>
            <w:tcMar>
              <w:top w:w="80" w:type="dxa"/>
              <w:left w:w="100" w:type="dxa"/>
              <w:bottom w:w="80" w:type="dxa"/>
              <w:right w:w="100" w:type="dxa"/>
            </w:tcMar>
            <w:vAlign w:val="center"/>
          </w:tcPr>
          <w:p w14:paraId="47930AEE"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Behavior</w:t>
            </w:r>
          </w:p>
        </w:tc>
      </w:tr>
      <w:tr w:rsidR="002E24A9" w:rsidRPr="00F64A85" w14:paraId="47930AF2" w14:textId="77777777">
        <w:tc>
          <w:tcPr>
            <w:tcW w:w="2400" w:type="dxa"/>
            <w:shd w:val="clear" w:color="auto" w:fill="FFFFFF"/>
            <w:tcMar>
              <w:top w:w="80" w:type="dxa"/>
              <w:left w:w="100" w:type="dxa"/>
              <w:bottom w:w="80" w:type="dxa"/>
              <w:right w:w="100" w:type="dxa"/>
            </w:tcMar>
          </w:tcPr>
          <w:p w14:paraId="47930AF0" w14:textId="77777777" w:rsidR="002E24A9" w:rsidRPr="00F64A85" w:rsidRDefault="00C15295">
            <w:pPr>
              <w:rPr>
                <w:rFonts w:asciiTheme="minorHAnsi" w:hAnsiTheme="minorHAnsi" w:cstheme="minorHAnsi"/>
              </w:rPr>
            </w:pPr>
            <w:r w:rsidRPr="00F64A85">
              <w:rPr>
                <w:rFonts w:asciiTheme="minorHAnsi" w:hAnsiTheme="minorHAnsi" w:cstheme="minorHAnsi"/>
              </w:rPr>
              <w:t>Scope</w:t>
            </w:r>
          </w:p>
        </w:tc>
        <w:tc>
          <w:tcPr>
            <w:tcW w:w="6950" w:type="dxa"/>
            <w:shd w:val="clear" w:color="auto" w:fill="FFFFFF"/>
            <w:tcMar>
              <w:top w:w="80" w:type="dxa"/>
              <w:left w:w="100" w:type="dxa"/>
              <w:bottom w:w="80" w:type="dxa"/>
              <w:right w:w="100" w:type="dxa"/>
            </w:tcMar>
          </w:tcPr>
          <w:p w14:paraId="47930AF1" w14:textId="77777777" w:rsidR="002E24A9" w:rsidRPr="00F64A85" w:rsidRDefault="00C15295">
            <w:pPr>
              <w:rPr>
                <w:rFonts w:asciiTheme="minorHAnsi" w:hAnsiTheme="minorHAnsi" w:cstheme="minorHAnsi"/>
              </w:rPr>
            </w:pPr>
            <w:r w:rsidRPr="00F64A85">
              <w:rPr>
                <w:rFonts w:asciiTheme="minorHAnsi" w:hAnsiTheme="minorHAnsi" w:cstheme="minorHAnsi"/>
              </w:rPr>
              <w:t>SuiteTax is an account-level feature — it applies to the whole account, not to selected subsidiaries, and it is non-reversible once enabled</w:t>
            </w:r>
          </w:p>
        </w:tc>
      </w:tr>
      <w:tr w:rsidR="002E24A9" w:rsidRPr="00F64A85" w14:paraId="47930AF5" w14:textId="77777777">
        <w:tc>
          <w:tcPr>
            <w:tcW w:w="2400" w:type="dxa"/>
            <w:shd w:val="clear" w:color="auto" w:fill="F2F2F2"/>
            <w:tcMar>
              <w:top w:w="80" w:type="dxa"/>
              <w:left w:w="100" w:type="dxa"/>
              <w:bottom w:w="80" w:type="dxa"/>
              <w:right w:w="100" w:type="dxa"/>
            </w:tcMar>
          </w:tcPr>
          <w:p w14:paraId="47930AF3" w14:textId="77777777" w:rsidR="002E24A9" w:rsidRPr="00F64A85" w:rsidRDefault="00C15295">
            <w:pPr>
              <w:rPr>
                <w:rFonts w:asciiTheme="minorHAnsi" w:hAnsiTheme="minorHAnsi" w:cstheme="minorHAnsi"/>
              </w:rPr>
            </w:pPr>
            <w:r w:rsidRPr="00F64A85">
              <w:rPr>
                <w:rFonts w:asciiTheme="minorHAnsi" w:hAnsiTheme="minorHAnsi" w:cstheme="minorHAnsi"/>
              </w:rPr>
              <w:t>Transaction lock</w:t>
            </w:r>
          </w:p>
        </w:tc>
        <w:tc>
          <w:tcPr>
            <w:tcW w:w="6950" w:type="dxa"/>
            <w:shd w:val="clear" w:color="auto" w:fill="F2F2F2"/>
            <w:tcMar>
              <w:top w:w="80" w:type="dxa"/>
              <w:left w:w="100" w:type="dxa"/>
              <w:bottom w:w="80" w:type="dxa"/>
              <w:right w:w="100" w:type="dxa"/>
            </w:tcMar>
          </w:tcPr>
          <w:p w14:paraId="47930AF4" w14:textId="77777777" w:rsidR="002E24A9" w:rsidRPr="00F64A85" w:rsidRDefault="00C15295">
            <w:pPr>
              <w:rPr>
                <w:rFonts w:asciiTheme="minorHAnsi" w:hAnsiTheme="minorHAnsi" w:cstheme="minorHAnsi"/>
              </w:rPr>
            </w:pPr>
            <w:r w:rsidRPr="00F64A85">
              <w:rPr>
                <w:rFonts w:asciiTheme="minorHAnsi" w:hAnsiTheme="minorHAnsi" w:cstheme="minorHAnsi"/>
              </w:rPr>
              <w:t>Taxable transactions are initially locked for creation and editing until the required tax engine setup is completed for each subsidiary's tax registrations</w:t>
            </w:r>
          </w:p>
        </w:tc>
      </w:tr>
      <w:tr w:rsidR="002E24A9" w:rsidRPr="00F64A85" w14:paraId="47930AF8" w14:textId="77777777">
        <w:tc>
          <w:tcPr>
            <w:tcW w:w="2400" w:type="dxa"/>
            <w:shd w:val="clear" w:color="auto" w:fill="FFFFFF"/>
            <w:tcMar>
              <w:top w:w="80" w:type="dxa"/>
              <w:left w:w="100" w:type="dxa"/>
              <w:bottom w:w="80" w:type="dxa"/>
              <w:right w:w="100" w:type="dxa"/>
            </w:tcMar>
          </w:tcPr>
          <w:p w14:paraId="47930AF6" w14:textId="77777777" w:rsidR="002E24A9" w:rsidRPr="00F64A85" w:rsidRDefault="00C15295">
            <w:pPr>
              <w:rPr>
                <w:rFonts w:asciiTheme="minorHAnsi" w:hAnsiTheme="minorHAnsi" w:cstheme="minorHAnsi"/>
              </w:rPr>
            </w:pPr>
            <w:r w:rsidRPr="00F64A85">
              <w:rPr>
                <w:rFonts w:asciiTheme="minorHAnsi" w:hAnsiTheme="minorHAnsi" w:cstheme="minorHAnsi"/>
              </w:rPr>
              <w:t>Historical transaction migration</w:t>
            </w:r>
          </w:p>
        </w:tc>
        <w:tc>
          <w:tcPr>
            <w:tcW w:w="6950" w:type="dxa"/>
            <w:shd w:val="clear" w:color="auto" w:fill="FFFFFF"/>
            <w:tcMar>
              <w:top w:w="80" w:type="dxa"/>
              <w:left w:w="100" w:type="dxa"/>
              <w:bottom w:w="80" w:type="dxa"/>
              <w:right w:w="100" w:type="dxa"/>
            </w:tcMar>
          </w:tcPr>
          <w:p w14:paraId="47930AF7" w14:textId="77777777" w:rsidR="002E24A9" w:rsidRPr="00F64A85" w:rsidRDefault="00C15295">
            <w:pPr>
              <w:rPr>
                <w:rFonts w:asciiTheme="minorHAnsi" w:hAnsiTheme="minorHAnsi" w:cstheme="minorHAnsi"/>
              </w:rPr>
            </w:pPr>
            <w:r w:rsidRPr="00F64A85">
              <w:rPr>
                <w:rFonts w:asciiTheme="minorHAnsi" w:hAnsiTheme="minorHAnsi" w:cstheme="minorHAnsi"/>
              </w:rPr>
              <w:t>Transactions from the last three years are migrated asynchronously in the background; older transactions are migrated on demand when the transaction record is opened</w:t>
            </w:r>
          </w:p>
        </w:tc>
      </w:tr>
      <w:tr w:rsidR="002E24A9" w:rsidRPr="00F64A85" w14:paraId="47930AFB" w14:textId="77777777">
        <w:tc>
          <w:tcPr>
            <w:tcW w:w="2400" w:type="dxa"/>
            <w:shd w:val="clear" w:color="auto" w:fill="F2F2F2"/>
            <w:tcMar>
              <w:top w:w="80" w:type="dxa"/>
              <w:left w:w="100" w:type="dxa"/>
              <w:bottom w:w="80" w:type="dxa"/>
              <w:right w:w="100" w:type="dxa"/>
            </w:tcMar>
          </w:tcPr>
          <w:p w14:paraId="47930AF9" w14:textId="77777777" w:rsidR="002E24A9" w:rsidRPr="00F64A85" w:rsidRDefault="00C15295">
            <w:pPr>
              <w:rPr>
                <w:rFonts w:asciiTheme="minorHAnsi" w:hAnsiTheme="minorHAnsi" w:cstheme="minorHAnsi"/>
              </w:rPr>
            </w:pPr>
            <w:r w:rsidRPr="00F64A85">
              <w:rPr>
                <w:rFonts w:asciiTheme="minorHAnsi" w:hAnsiTheme="minorHAnsi" w:cstheme="minorHAnsi"/>
              </w:rPr>
              <w:t>Legacy tax codes</w:t>
            </w:r>
          </w:p>
        </w:tc>
        <w:tc>
          <w:tcPr>
            <w:tcW w:w="6950" w:type="dxa"/>
            <w:shd w:val="clear" w:color="auto" w:fill="F2F2F2"/>
            <w:tcMar>
              <w:top w:w="80" w:type="dxa"/>
              <w:left w:w="100" w:type="dxa"/>
              <w:bottom w:w="80" w:type="dxa"/>
              <w:right w:w="100" w:type="dxa"/>
            </w:tcMar>
          </w:tcPr>
          <w:p w14:paraId="47930AFA" w14:textId="77777777" w:rsidR="002E24A9" w:rsidRPr="00F64A85" w:rsidRDefault="00C15295">
            <w:pPr>
              <w:rPr>
                <w:rFonts w:asciiTheme="minorHAnsi" w:hAnsiTheme="minorHAnsi" w:cstheme="minorHAnsi"/>
              </w:rPr>
            </w:pPr>
            <w:r w:rsidRPr="00F64A85">
              <w:rPr>
                <w:rFonts w:asciiTheme="minorHAnsi" w:hAnsiTheme="minorHAnsi" w:cstheme="minorHAnsi"/>
              </w:rPr>
              <w:t>All legacy tax codes are inactivated on enablement; they are preserved and remain visible on historical transactions but cannot be selected on new ones</w:t>
            </w:r>
          </w:p>
        </w:tc>
      </w:tr>
      <w:tr w:rsidR="002E24A9" w:rsidRPr="00F64A85" w14:paraId="47930AFE" w14:textId="77777777">
        <w:tc>
          <w:tcPr>
            <w:tcW w:w="2400" w:type="dxa"/>
            <w:shd w:val="clear" w:color="auto" w:fill="FFFFFF"/>
            <w:tcMar>
              <w:top w:w="80" w:type="dxa"/>
              <w:left w:w="100" w:type="dxa"/>
              <w:bottom w:w="80" w:type="dxa"/>
              <w:right w:w="100" w:type="dxa"/>
            </w:tcMar>
          </w:tcPr>
          <w:p w14:paraId="47930AFC" w14:textId="77777777" w:rsidR="002E24A9" w:rsidRPr="00F64A85" w:rsidRDefault="00C15295">
            <w:pPr>
              <w:rPr>
                <w:rFonts w:asciiTheme="minorHAnsi" w:hAnsiTheme="minorHAnsi" w:cstheme="minorHAnsi"/>
              </w:rPr>
            </w:pPr>
            <w:r w:rsidRPr="00F64A85">
              <w:rPr>
                <w:rFonts w:asciiTheme="minorHAnsi" w:hAnsiTheme="minorHAnsi" w:cstheme="minorHAnsi"/>
              </w:rPr>
              <w:t>Journal entries</w:t>
            </w:r>
          </w:p>
        </w:tc>
        <w:tc>
          <w:tcPr>
            <w:tcW w:w="6950" w:type="dxa"/>
            <w:shd w:val="clear" w:color="auto" w:fill="FFFFFF"/>
            <w:tcMar>
              <w:top w:w="80" w:type="dxa"/>
              <w:left w:w="100" w:type="dxa"/>
              <w:bottom w:w="80" w:type="dxa"/>
              <w:right w:w="100" w:type="dxa"/>
            </w:tcMar>
          </w:tcPr>
          <w:p w14:paraId="47930AFD" w14:textId="77777777" w:rsidR="002E24A9" w:rsidRPr="00F64A85" w:rsidRDefault="00C15295">
            <w:pPr>
              <w:rPr>
                <w:rFonts w:asciiTheme="minorHAnsi" w:hAnsiTheme="minorHAnsi" w:cstheme="minorHAnsi"/>
              </w:rPr>
            </w:pPr>
            <w:r w:rsidRPr="00F64A85">
              <w:rPr>
                <w:rFonts w:asciiTheme="minorHAnsi" w:hAnsiTheme="minorHAnsi" w:cstheme="minorHAnsi"/>
              </w:rPr>
              <w:t>Journal transactions are not migrated asynchronously with other transaction types — they migrate individually when opened for view or edit</w:t>
            </w:r>
          </w:p>
        </w:tc>
      </w:tr>
      <w:tr w:rsidR="002E24A9" w:rsidRPr="00F64A85" w14:paraId="47930B01" w14:textId="77777777">
        <w:tc>
          <w:tcPr>
            <w:tcW w:w="2400" w:type="dxa"/>
            <w:shd w:val="clear" w:color="auto" w:fill="F2F2F2"/>
            <w:tcMar>
              <w:top w:w="80" w:type="dxa"/>
              <w:left w:w="100" w:type="dxa"/>
              <w:bottom w:w="80" w:type="dxa"/>
              <w:right w:w="100" w:type="dxa"/>
            </w:tcMar>
          </w:tcPr>
          <w:p w14:paraId="47930AFF" w14:textId="77777777" w:rsidR="002E24A9" w:rsidRPr="00F64A85" w:rsidRDefault="00C15295">
            <w:pPr>
              <w:rPr>
                <w:rFonts w:asciiTheme="minorHAnsi" w:hAnsiTheme="minorHAnsi" w:cstheme="minorHAnsi"/>
              </w:rPr>
            </w:pPr>
            <w:r w:rsidRPr="00F64A85">
              <w:rPr>
                <w:rFonts w:asciiTheme="minorHAnsi" w:hAnsiTheme="minorHAnsi" w:cstheme="minorHAnsi"/>
              </w:rPr>
              <w:t>GL impact of history</w:t>
            </w:r>
          </w:p>
        </w:tc>
        <w:tc>
          <w:tcPr>
            <w:tcW w:w="6950" w:type="dxa"/>
            <w:shd w:val="clear" w:color="auto" w:fill="F2F2F2"/>
            <w:tcMar>
              <w:top w:w="80" w:type="dxa"/>
              <w:left w:w="100" w:type="dxa"/>
              <w:bottom w:w="80" w:type="dxa"/>
              <w:right w:w="100" w:type="dxa"/>
            </w:tcMar>
          </w:tcPr>
          <w:p w14:paraId="47930B00" w14:textId="77777777" w:rsidR="002E24A9" w:rsidRPr="00F64A85" w:rsidRDefault="00C15295">
            <w:pPr>
              <w:rPr>
                <w:rFonts w:asciiTheme="minorHAnsi" w:hAnsiTheme="minorHAnsi" w:cstheme="minorHAnsi"/>
              </w:rPr>
            </w:pPr>
            <w:r w:rsidRPr="00F64A85">
              <w:rPr>
                <w:rFonts w:asciiTheme="minorHAnsi" w:hAnsiTheme="minorHAnsi" w:cstheme="minorHAnsi"/>
              </w:rPr>
              <w:t>The details and GL impact of all historical transactions are preserved and remain unchanged after migration</w:t>
            </w:r>
          </w:p>
        </w:tc>
      </w:tr>
      <w:tr w:rsidR="002E24A9" w:rsidRPr="00F64A85" w14:paraId="47930B04" w14:textId="77777777">
        <w:tc>
          <w:tcPr>
            <w:tcW w:w="2400" w:type="dxa"/>
            <w:shd w:val="clear" w:color="auto" w:fill="FFFFFF"/>
            <w:tcMar>
              <w:top w:w="80" w:type="dxa"/>
              <w:left w:w="100" w:type="dxa"/>
              <w:bottom w:w="80" w:type="dxa"/>
              <w:right w:w="100" w:type="dxa"/>
            </w:tcMar>
          </w:tcPr>
          <w:p w14:paraId="47930B02" w14:textId="77777777" w:rsidR="002E24A9" w:rsidRPr="00F64A85" w:rsidRDefault="00C15295">
            <w:pPr>
              <w:rPr>
                <w:rFonts w:asciiTheme="minorHAnsi" w:hAnsiTheme="minorHAnsi" w:cstheme="minorHAnsi"/>
              </w:rPr>
            </w:pPr>
            <w:r w:rsidRPr="00F64A85">
              <w:rPr>
                <w:rFonts w:asciiTheme="minorHAnsi" w:hAnsiTheme="minorHAnsi" w:cstheme="minorHAnsi"/>
              </w:rPr>
              <w:t>Third-party integrations</w:t>
            </w:r>
          </w:p>
        </w:tc>
        <w:tc>
          <w:tcPr>
            <w:tcW w:w="6950" w:type="dxa"/>
            <w:shd w:val="clear" w:color="auto" w:fill="FFFFFF"/>
            <w:tcMar>
              <w:top w:w="80" w:type="dxa"/>
              <w:left w:w="100" w:type="dxa"/>
              <w:bottom w:w="80" w:type="dxa"/>
              <w:right w:w="100" w:type="dxa"/>
            </w:tcMar>
          </w:tcPr>
          <w:p w14:paraId="47930B03" w14:textId="77777777" w:rsidR="002E24A9" w:rsidRPr="00F64A85" w:rsidRDefault="00C15295">
            <w:pPr>
              <w:rPr>
                <w:rFonts w:asciiTheme="minorHAnsi" w:hAnsiTheme="minorHAnsi" w:cstheme="minorHAnsi"/>
              </w:rPr>
            </w:pPr>
            <w:r w:rsidRPr="00F64A85">
              <w:rPr>
                <w:rFonts w:asciiTheme="minorHAnsi" w:hAnsiTheme="minorHAnsi" w:cstheme="minorHAnsi"/>
              </w:rPr>
              <w:t>Partners must be contacted to confirm SuiteTax compatibility; incompatible bundles need equivalent SuiteTax replacements</w:t>
            </w:r>
          </w:p>
        </w:tc>
      </w:tr>
    </w:tbl>
    <w:p w14:paraId="47930B05" w14:textId="77777777" w:rsidR="002E24A9" w:rsidRPr="00F64A85" w:rsidRDefault="00C15295">
      <w:pPr>
        <w:rPr>
          <w:rFonts w:asciiTheme="minorHAnsi" w:hAnsiTheme="minorHAnsi" w:cstheme="minorHAnsi"/>
        </w:rPr>
      </w:pPr>
      <w:r w:rsidRPr="00F64A85">
        <w:rPr>
          <w:rFonts w:asciiTheme="minorHAnsi" w:hAnsiTheme="minorHAnsi" w:cstheme="minorHAnsi"/>
        </w:rPr>
        <w:br w:type="page"/>
      </w:r>
    </w:p>
    <w:p w14:paraId="47930B06"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6. Nexus Determination and Tax Details on Transactions</w:t>
      </w:r>
    </w:p>
    <w:p w14:paraId="47930B07"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Once SuiteTax is enabled, every taxable transaction form gains a Tax Details subtab and a tax summary broken out by tax type. NetSuite runs its nexus lookup logic on save (or when Preview Tax is clicked) to decide which tax engine to call.</w:t>
      </w:r>
    </w:p>
    <w:p w14:paraId="47930B08"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6.1 Nexus Lookup Logic</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4"/>
        <w:gridCol w:w="4376"/>
      </w:tblGrid>
      <w:tr w:rsidR="002E24A9" w:rsidRPr="00F64A85" w14:paraId="47930B0B" w14:textId="77777777">
        <w:trPr>
          <w:tblHeader/>
        </w:trPr>
        <w:tc>
          <w:tcPr>
            <w:tcW w:w="2400" w:type="dxa"/>
            <w:shd w:val="clear" w:color="auto" w:fill="1F3864"/>
            <w:tcMar>
              <w:top w:w="80" w:type="dxa"/>
              <w:left w:w="100" w:type="dxa"/>
              <w:bottom w:w="80" w:type="dxa"/>
              <w:right w:w="100" w:type="dxa"/>
            </w:tcMar>
            <w:vAlign w:val="center"/>
          </w:tcPr>
          <w:p w14:paraId="47930B09"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Behavior</w:t>
            </w:r>
          </w:p>
        </w:tc>
        <w:tc>
          <w:tcPr>
            <w:tcW w:w="6950" w:type="dxa"/>
            <w:shd w:val="clear" w:color="auto" w:fill="1F3864"/>
            <w:tcMar>
              <w:top w:w="80" w:type="dxa"/>
              <w:left w:w="100" w:type="dxa"/>
              <w:bottom w:w="80" w:type="dxa"/>
              <w:right w:w="100" w:type="dxa"/>
            </w:tcMar>
            <w:vAlign w:val="center"/>
          </w:tcPr>
          <w:p w14:paraId="47930B0A"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Detail</w:t>
            </w:r>
          </w:p>
        </w:tc>
      </w:tr>
      <w:tr w:rsidR="002E24A9" w:rsidRPr="00F64A85" w14:paraId="47930B0E" w14:textId="77777777">
        <w:tc>
          <w:tcPr>
            <w:tcW w:w="2400" w:type="dxa"/>
            <w:shd w:val="clear" w:color="auto" w:fill="FFFFFF"/>
            <w:tcMar>
              <w:top w:w="80" w:type="dxa"/>
              <w:left w:w="100" w:type="dxa"/>
              <w:bottom w:w="80" w:type="dxa"/>
              <w:right w:w="100" w:type="dxa"/>
            </w:tcMar>
          </w:tcPr>
          <w:p w14:paraId="47930B0C" w14:textId="77777777" w:rsidR="002E24A9" w:rsidRPr="00F64A85" w:rsidRDefault="00C15295">
            <w:pPr>
              <w:rPr>
                <w:rFonts w:asciiTheme="minorHAnsi" w:hAnsiTheme="minorHAnsi" w:cstheme="minorHAnsi"/>
              </w:rPr>
            </w:pPr>
            <w:r w:rsidRPr="00F64A85">
              <w:rPr>
                <w:rFonts w:asciiTheme="minorHAnsi" w:hAnsiTheme="minorHAnsi" w:cstheme="minorHAnsi"/>
              </w:rPr>
              <w:t>Auto-population</w:t>
            </w:r>
          </w:p>
        </w:tc>
        <w:tc>
          <w:tcPr>
            <w:tcW w:w="6950" w:type="dxa"/>
            <w:shd w:val="clear" w:color="auto" w:fill="FFFFFF"/>
            <w:tcMar>
              <w:top w:w="80" w:type="dxa"/>
              <w:left w:w="100" w:type="dxa"/>
              <w:bottom w:w="80" w:type="dxa"/>
              <w:right w:w="100" w:type="dxa"/>
            </w:tcMar>
          </w:tcPr>
          <w:p w14:paraId="47930B0D" w14:textId="77777777" w:rsidR="002E24A9" w:rsidRPr="00F64A85" w:rsidRDefault="00C15295">
            <w:pPr>
              <w:rPr>
                <w:rFonts w:asciiTheme="minorHAnsi" w:hAnsiTheme="minorHAnsi" w:cstheme="minorHAnsi"/>
              </w:rPr>
            </w:pPr>
            <w:r w:rsidRPr="00F64A85">
              <w:rPr>
                <w:rFonts w:asciiTheme="minorHAnsi" w:hAnsiTheme="minorHAnsi" w:cstheme="minorHAnsi"/>
              </w:rPr>
              <w:t>The Nexus and Subsidiary Tax Reg. Number fields are populated automatically based on the transaction's nexus lookup logic</w:t>
            </w:r>
          </w:p>
        </w:tc>
      </w:tr>
      <w:tr w:rsidR="002E24A9" w:rsidRPr="00F64A85" w14:paraId="47930B11" w14:textId="77777777">
        <w:tc>
          <w:tcPr>
            <w:tcW w:w="2400" w:type="dxa"/>
            <w:shd w:val="clear" w:color="auto" w:fill="F2F2F2"/>
            <w:tcMar>
              <w:top w:w="80" w:type="dxa"/>
              <w:left w:w="100" w:type="dxa"/>
              <w:bottom w:w="80" w:type="dxa"/>
              <w:right w:w="100" w:type="dxa"/>
            </w:tcMar>
          </w:tcPr>
          <w:p w14:paraId="47930B0F" w14:textId="77777777" w:rsidR="002E24A9" w:rsidRPr="00F64A85" w:rsidRDefault="00C15295">
            <w:pPr>
              <w:rPr>
                <w:rFonts w:asciiTheme="minorHAnsi" w:hAnsiTheme="minorHAnsi" w:cstheme="minorHAnsi"/>
              </w:rPr>
            </w:pPr>
            <w:r w:rsidRPr="00F64A85">
              <w:rPr>
                <w:rFonts w:asciiTheme="minorHAnsi" w:hAnsiTheme="minorHAnsi" w:cstheme="minorHAnsi"/>
              </w:rPr>
              <w:t>Linked selection</w:t>
            </w:r>
          </w:p>
        </w:tc>
        <w:tc>
          <w:tcPr>
            <w:tcW w:w="6950" w:type="dxa"/>
            <w:shd w:val="clear" w:color="auto" w:fill="F2F2F2"/>
            <w:tcMar>
              <w:top w:w="80" w:type="dxa"/>
              <w:left w:w="100" w:type="dxa"/>
              <w:bottom w:w="80" w:type="dxa"/>
              <w:right w:w="100" w:type="dxa"/>
            </w:tcMar>
          </w:tcPr>
          <w:p w14:paraId="47930B10" w14:textId="77777777" w:rsidR="002E24A9" w:rsidRPr="00F64A85" w:rsidRDefault="00C15295">
            <w:pPr>
              <w:rPr>
                <w:rFonts w:asciiTheme="minorHAnsi" w:hAnsiTheme="minorHAnsi" w:cstheme="minorHAnsi"/>
              </w:rPr>
            </w:pPr>
            <w:r w:rsidRPr="00F64A85">
              <w:rPr>
                <w:rFonts w:asciiTheme="minorHAnsi" w:hAnsiTheme="minorHAnsi" w:cstheme="minorHAnsi"/>
              </w:rPr>
              <w:t>Selecting a different nexus automatically selects the corresponding subsidiary tax registration number, and vice versa</w:t>
            </w:r>
          </w:p>
        </w:tc>
      </w:tr>
      <w:tr w:rsidR="002E24A9" w:rsidRPr="00F64A85" w14:paraId="47930B14" w14:textId="77777777">
        <w:tc>
          <w:tcPr>
            <w:tcW w:w="2400" w:type="dxa"/>
            <w:shd w:val="clear" w:color="auto" w:fill="FFFFFF"/>
            <w:tcMar>
              <w:top w:w="80" w:type="dxa"/>
              <w:left w:w="100" w:type="dxa"/>
              <w:bottom w:w="80" w:type="dxa"/>
              <w:right w:w="100" w:type="dxa"/>
            </w:tcMar>
          </w:tcPr>
          <w:p w14:paraId="47930B12" w14:textId="77777777" w:rsidR="002E24A9" w:rsidRPr="00F64A85" w:rsidRDefault="00C15295">
            <w:pPr>
              <w:rPr>
                <w:rFonts w:asciiTheme="minorHAnsi" w:hAnsiTheme="minorHAnsi" w:cstheme="minorHAnsi"/>
              </w:rPr>
            </w:pPr>
            <w:r w:rsidRPr="00F64A85">
              <w:rPr>
                <w:rFonts w:asciiTheme="minorHAnsi" w:hAnsiTheme="minorHAnsi" w:cstheme="minorHAnsi"/>
              </w:rPr>
              <w:t>Multiple valid registrations</w:t>
            </w:r>
          </w:p>
        </w:tc>
        <w:tc>
          <w:tcPr>
            <w:tcW w:w="6950" w:type="dxa"/>
            <w:shd w:val="clear" w:color="auto" w:fill="FFFFFF"/>
            <w:tcMar>
              <w:top w:w="80" w:type="dxa"/>
              <w:left w:w="100" w:type="dxa"/>
              <w:bottom w:w="80" w:type="dxa"/>
              <w:right w:w="100" w:type="dxa"/>
            </w:tcMar>
          </w:tcPr>
          <w:p w14:paraId="47930B13" w14:textId="77777777" w:rsidR="002E24A9" w:rsidRPr="00F64A85" w:rsidRDefault="00C15295">
            <w:pPr>
              <w:rPr>
                <w:rFonts w:asciiTheme="minorHAnsi" w:hAnsiTheme="minorHAnsi" w:cstheme="minorHAnsi"/>
              </w:rPr>
            </w:pPr>
            <w:r w:rsidRPr="00F64A85">
              <w:rPr>
                <w:rFonts w:asciiTheme="minorHAnsi" w:hAnsiTheme="minorHAnsi" w:cstheme="minorHAnsi"/>
              </w:rPr>
              <w:t>If a nexus has more than one registration number, the transaction date determines which one applies, based on the validity dates on the subsidiary record</w:t>
            </w:r>
          </w:p>
        </w:tc>
      </w:tr>
      <w:tr w:rsidR="002E24A9" w:rsidRPr="00F64A85" w14:paraId="47930B17" w14:textId="77777777">
        <w:tc>
          <w:tcPr>
            <w:tcW w:w="2400" w:type="dxa"/>
            <w:shd w:val="clear" w:color="auto" w:fill="F2F2F2"/>
            <w:tcMar>
              <w:top w:w="80" w:type="dxa"/>
              <w:left w:w="100" w:type="dxa"/>
              <w:bottom w:w="80" w:type="dxa"/>
              <w:right w:w="100" w:type="dxa"/>
            </w:tcMar>
          </w:tcPr>
          <w:p w14:paraId="47930B15" w14:textId="77777777" w:rsidR="002E24A9" w:rsidRPr="00F64A85" w:rsidRDefault="00C15295">
            <w:pPr>
              <w:rPr>
                <w:rFonts w:asciiTheme="minorHAnsi" w:hAnsiTheme="minorHAnsi" w:cstheme="minorHAnsi"/>
              </w:rPr>
            </w:pPr>
            <w:r w:rsidRPr="00F64A85">
              <w:rPr>
                <w:rFonts w:asciiTheme="minorHAnsi" w:hAnsiTheme="minorHAnsi" w:cstheme="minorHAnsi"/>
              </w:rPr>
              <w:t>Override</w:t>
            </w:r>
          </w:p>
        </w:tc>
        <w:tc>
          <w:tcPr>
            <w:tcW w:w="6950" w:type="dxa"/>
            <w:shd w:val="clear" w:color="auto" w:fill="F2F2F2"/>
            <w:tcMar>
              <w:top w:w="80" w:type="dxa"/>
              <w:left w:w="100" w:type="dxa"/>
              <w:bottom w:w="80" w:type="dxa"/>
              <w:right w:w="100" w:type="dxa"/>
            </w:tcMar>
          </w:tcPr>
          <w:p w14:paraId="47930B16" w14:textId="77777777" w:rsidR="002E24A9" w:rsidRPr="00F64A85" w:rsidRDefault="00C15295">
            <w:pPr>
              <w:rPr>
                <w:rFonts w:asciiTheme="minorHAnsi" w:hAnsiTheme="minorHAnsi" w:cstheme="minorHAnsi"/>
              </w:rPr>
            </w:pPr>
            <w:r w:rsidRPr="00F64A85">
              <w:rPr>
                <w:rFonts w:asciiTheme="minorHAnsi" w:hAnsiTheme="minorHAnsi" w:cstheme="minorHAnsi"/>
              </w:rPr>
              <w:t>A user with at least Edit-level access to the Tax Details Tab permission can check the Nexus Override box to manually change the nexus and registration number</w:t>
            </w:r>
          </w:p>
        </w:tc>
      </w:tr>
      <w:tr w:rsidR="002E24A9" w:rsidRPr="00F64A85" w14:paraId="47930B1A" w14:textId="77777777">
        <w:tc>
          <w:tcPr>
            <w:tcW w:w="2400" w:type="dxa"/>
            <w:shd w:val="clear" w:color="auto" w:fill="FFFFFF"/>
            <w:tcMar>
              <w:top w:w="80" w:type="dxa"/>
              <w:left w:w="100" w:type="dxa"/>
              <w:bottom w:w="80" w:type="dxa"/>
              <w:right w:w="100" w:type="dxa"/>
            </w:tcMar>
          </w:tcPr>
          <w:p w14:paraId="47930B18" w14:textId="77777777" w:rsidR="002E24A9" w:rsidRPr="00F64A85" w:rsidRDefault="00C15295">
            <w:pPr>
              <w:rPr>
                <w:rFonts w:asciiTheme="minorHAnsi" w:hAnsiTheme="minorHAnsi" w:cstheme="minorHAnsi"/>
              </w:rPr>
            </w:pPr>
            <w:r w:rsidRPr="00F64A85">
              <w:rPr>
                <w:rFonts w:asciiTheme="minorHAnsi" w:hAnsiTheme="minorHAnsi" w:cstheme="minorHAnsi"/>
              </w:rPr>
              <w:t>Tax-exempt nexus</w:t>
            </w:r>
          </w:p>
        </w:tc>
        <w:tc>
          <w:tcPr>
            <w:tcW w:w="6950" w:type="dxa"/>
            <w:shd w:val="clear" w:color="auto" w:fill="FFFFFF"/>
            <w:tcMar>
              <w:top w:w="80" w:type="dxa"/>
              <w:left w:w="100" w:type="dxa"/>
              <w:bottom w:w="80" w:type="dxa"/>
              <w:right w:w="100" w:type="dxa"/>
            </w:tcMar>
          </w:tcPr>
          <w:p w14:paraId="47930B19" w14:textId="77777777" w:rsidR="002E24A9" w:rsidRPr="00F64A85" w:rsidRDefault="00C15295">
            <w:pPr>
              <w:rPr>
                <w:rFonts w:asciiTheme="minorHAnsi" w:hAnsiTheme="minorHAnsi" w:cstheme="minorHAnsi"/>
              </w:rPr>
            </w:pPr>
            <w:r w:rsidRPr="00F64A85">
              <w:rPr>
                <w:rFonts w:asciiTheme="minorHAnsi" w:hAnsiTheme="minorHAnsi" w:cstheme="minorHAnsi"/>
              </w:rPr>
              <w:t>If the nexus determined for the transaction is marked tax-exempt, no tax engine is called and no tax is calculated</w:t>
            </w:r>
          </w:p>
        </w:tc>
      </w:tr>
      <w:tr w:rsidR="002E24A9" w:rsidRPr="00F64A85" w14:paraId="47930B1D" w14:textId="77777777">
        <w:tc>
          <w:tcPr>
            <w:tcW w:w="2400" w:type="dxa"/>
            <w:shd w:val="clear" w:color="auto" w:fill="F2F2F2"/>
            <w:tcMar>
              <w:top w:w="80" w:type="dxa"/>
              <w:left w:w="100" w:type="dxa"/>
              <w:bottom w:w="80" w:type="dxa"/>
              <w:right w:w="100" w:type="dxa"/>
            </w:tcMar>
          </w:tcPr>
          <w:p w14:paraId="47930B1B" w14:textId="77777777" w:rsidR="002E24A9" w:rsidRPr="00F64A85" w:rsidRDefault="00C15295">
            <w:pPr>
              <w:rPr>
                <w:rFonts w:asciiTheme="minorHAnsi" w:hAnsiTheme="minorHAnsi" w:cstheme="minorHAnsi"/>
              </w:rPr>
            </w:pPr>
            <w:r w:rsidRPr="00F64A85">
              <w:rPr>
                <w:rFonts w:asciiTheme="minorHAnsi" w:hAnsiTheme="minorHAnsi" w:cstheme="minorHAnsi"/>
              </w:rPr>
              <w:t>Single-nexus validation</w:t>
            </w:r>
          </w:p>
        </w:tc>
        <w:tc>
          <w:tcPr>
            <w:tcW w:w="6950" w:type="dxa"/>
            <w:shd w:val="clear" w:color="auto" w:fill="F2F2F2"/>
            <w:tcMar>
              <w:top w:w="80" w:type="dxa"/>
              <w:left w:w="100" w:type="dxa"/>
              <w:bottom w:w="80" w:type="dxa"/>
              <w:right w:w="100" w:type="dxa"/>
            </w:tcMar>
          </w:tcPr>
          <w:p w14:paraId="47930B1C" w14:textId="77777777" w:rsidR="002E24A9" w:rsidRPr="00F64A85" w:rsidRDefault="00C15295">
            <w:pPr>
              <w:rPr>
                <w:rFonts w:asciiTheme="minorHAnsi" w:hAnsiTheme="minorHAnsi" w:cstheme="minorHAnsi"/>
              </w:rPr>
            </w:pPr>
            <w:r w:rsidRPr="00F64A85">
              <w:rPr>
                <w:rFonts w:asciiTheme="minorHAnsi" w:hAnsiTheme="minorHAnsi" w:cstheme="minorHAnsi"/>
              </w:rPr>
              <w:t>NetSuite determines the nexus from the transaction's first item line, then validates that every subsequent line uses that same nexus</w:t>
            </w:r>
          </w:p>
        </w:tc>
      </w:tr>
      <w:tr w:rsidR="002E24A9" w:rsidRPr="00F64A85" w14:paraId="47930B20" w14:textId="77777777">
        <w:tc>
          <w:tcPr>
            <w:tcW w:w="2400" w:type="dxa"/>
            <w:shd w:val="clear" w:color="auto" w:fill="FFFFFF"/>
            <w:tcMar>
              <w:top w:w="80" w:type="dxa"/>
              <w:left w:w="100" w:type="dxa"/>
              <w:bottom w:w="80" w:type="dxa"/>
              <w:right w:w="100" w:type="dxa"/>
            </w:tcMar>
          </w:tcPr>
          <w:p w14:paraId="47930B1E" w14:textId="77777777" w:rsidR="002E24A9" w:rsidRPr="00F64A85" w:rsidRDefault="00C15295">
            <w:pPr>
              <w:rPr>
                <w:rFonts w:asciiTheme="minorHAnsi" w:hAnsiTheme="minorHAnsi" w:cstheme="minorHAnsi"/>
              </w:rPr>
            </w:pPr>
            <w:r w:rsidRPr="00F64A85">
              <w:rPr>
                <w:rFonts w:asciiTheme="minorHAnsi" w:hAnsiTheme="minorHAnsi" w:cstheme="minorHAnsi"/>
              </w:rPr>
              <w:t>Preview before save</w:t>
            </w:r>
          </w:p>
        </w:tc>
        <w:tc>
          <w:tcPr>
            <w:tcW w:w="6950" w:type="dxa"/>
            <w:shd w:val="clear" w:color="auto" w:fill="FFFFFF"/>
            <w:tcMar>
              <w:top w:w="80" w:type="dxa"/>
              <w:left w:w="100" w:type="dxa"/>
              <w:bottom w:w="80" w:type="dxa"/>
              <w:right w:w="100" w:type="dxa"/>
            </w:tcMar>
          </w:tcPr>
          <w:p w14:paraId="47930B1F" w14:textId="77777777" w:rsidR="002E24A9" w:rsidRPr="00F64A85" w:rsidRDefault="00C15295">
            <w:pPr>
              <w:rPr>
                <w:rFonts w:asciiTheme="minorHAnsi" w:hAnsiTheme="minorHAnsi" w:cstheme="minorHAnsi"/>
              </w:rPr>
            </w:pPr>
            <w:r w:rsidRPr="00F64A85">
              <w:rPr>
                <w:rFonts w:asciiTheme="minorHAnsi" w:hAnsiTheme="minorHAnsi" w:cstheme="minorHAnsi"/>
              </w:rPr>
              <w:t>The Preview Tax button calculates and displays tax amounts without requiring the transaction to be saved first</w:t>
            </w:r>
          </w:p>
        </w:tc>
      </w:tr>
      <w:tr w:rsidR="002E24A9" w:rsidRPr="00F64A85" w14:paraId="47930B25" w14:textId="77777777">
        <w:trPr>
          <w:gridAfter w:val="1"/>
          <w:wAfter w:w="9250" w:type="dxa"/>
        </w:trPr>
        <w:tc>
          <w:tcPr>
            <w:tcW w:w="9350" w:type="dxa"/>
            <w:shd w:val="clear" w:color="auto" w:fill="DCE6F1"/>
            <w:tcMar>
              <w:top w:w="150" w:type="dxa"/>
              <w:left w:w="200" w:type="dxa"/>
              <w:bottom w:w="150" w:type="dxa"/>
              <w:right w:w="200" w:type="dxa"/>
            </w:tcMar>
          </w:tcPr>
          <w:p w14:paraId="47930B21" w14:textId="77777777" w:rsidR="002E24A9" w:rsidRPr="00F64A85" w:rsidRDefault="00C15295">
            <w:pPr>
              <w:spacing w:after="100"/>
              <w:rPr>
                <w:rFonts w:asciiTheme="minorHAnsi" w:hAnsiTheme="minorHAnsi" w:cstheme="minorHAnsi"/>
              </w:rPr>
            </w:pPr>
            <w:r w:rsidRPr="00F64A85">
              <w:rPr>
                <w:rFonts w:ascii="Segoe UI Emoji" w:hAnsi="Segoe UI Emoji" w:cs="Segoe UI Emoji"/>
                <w:b/>
                <w:bCs/>
              </w:rPr>
              <w:t>📌</w:t>
            </w:r>
            <w:r w:rsidRPr="00F64A85">
              <w:rPr>
                <w:rFonts w:asciiTheme="minorHAnsi" w:hAnsiTheme="minorHAnsi" w:cstheme="minorHAnsi"/>
                <w:b/>
                <w:bCs/>
              </w:rPr>
              <w:t xml:space="preserve"> Multi-Registration Nexus Example</w:t>
            </w:r>
          </w:p>
          <w:p w14:paraId="47930B22"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 xml:space="preserve">A </w:t>
            </w:r>
            <w:proofErr w:type="gramStart"/>
            <w:r w:rsidRPr="00F64A85">
              <w:rPr>
                <w:rFonts w:asciiTheme="minorHAnsi" w:hAnsiTheme="minorHAnsi" w:cstheme="minorHAnsi"/>
              </w:rPr>
              <w:t>subsidiary re-registers</w:t>
            </w:r>
            <w:proofErr w:type="gramEnd"/>
            <w:r w:rsidRPr="00F64A85">
              <w:rPr>
                <w:rFonts w:asciiTheme="minorHAnsi" w:hAnsiTheme="minorHAnsi" w:cstheme="minorHAnsi"/>
              </w:rPr>
              <w:t xml:space="preserve"> for VAT in a country under a new registration number partway through the year</w:t>
            </w:r>
          </w:p>
          <w:p w14:paraId="47930B23"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Both the old and new registration numbers exist on the subsidiary record with non-overlapping validity date ranges</w:t>
            </w:r>
          </w:p>
          <w:p w14:paraId="47930B24"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For a transaction dated before the changeover, the nexus lookup logic selects the earlier registration number automatically; for one dated after, it selects the new number — no manual override is required unless the dates are wrong</w:t>
            </w:r>
          </w:p>
        </w:tc>
      </w:tr>
    </w:tbl>
    <w:p w14:paraId="47930B26" w14:textId="77777777" w:rsidR="002E24A9" w:rsidRPr="00F64A85" w:rsidRDefault="00C15295">
      <w:pPr>
        <w:rPr>
          <w:rFonts w:asciiTheme="minorHAnsi" w:hAnsiTheme="minorHAnsi" w:cstheme="minorHAnsi"/>
        </w:rPr>
      </w:pPr>
      <w:r w:rsidRPr="00F64A85">
        <w:rPr>
          <w:rFonts w:asciiTheme="minorHAnsi" w:hAnsiTheme="minorHAnsi" w:cstheme="minorHAnsi"/>
        </w:rPr>
        <w:br w:type="page"/>
      </w:r>
    </w:p>
    <w:p w14:paraId="47930B27"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7. SuiteScript 2.1 — Tax Architecture Automation</w:t>
      </w:r>
    </w:p>
    <w:p w14:paraId="47930B28"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SuiteScript can extend both the legacy and SuiteTax calculation flows, but the surface area differs: SuiteTax exposes a documented macro for programmatic recalculation, a structured Tax Details sublist for reading calculated results, and nexus/tax-engine configuration that is worth validating defensively before a transaction is allowed to save.</w:t>
      </w:r>
    </w:p>
    <w:p w14:paraId="47930B29" w14:textId="77777777"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t xml:space="preserve">7.1 Suitelet/Restlet — Triggering Tax Recalculation via </w:t>
      </w:r>
      <w:proofErr w:type="spellStart"/>
      <w:r w:rsidRPr="00F64A85">
        <w:rPr>
          <w:rFonts w:asciiTheme="minorHAnsi" w:hAnsiTheme="minorHAnsi" w:cstheme="minorHAnsi"/>
          <w:b/>
          <w:bCs/>
        </w:rPr>
        <w:t>executeMacro</w:t>
      </w:r>
      <w:proofErr w:type="spellEnd"/>
    </w:p>
    <w:p w14:paraId="47930B2A"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 xml:space="preserve">For SuiteTax-enabled accounts, NetSuite exposes a documented </w:t>
      </w:r>
      <w:proofErr w:type="spellStart"/>
      <w:r w:rsidRPr="00F64A85">
        <w:rPr>
          <w:rFonts w:asciiTheme="minorHAnsi" w:hAnsiTheme="minorHAnsi" w:cstheme="minorHAnsi"/>
        </w:rPr>
        <w:t>calculateTax</w:t>
      </w:r>
      <w:proofErr w:type="spellEnd"/>
      <w:r w:rsidRPr="00F64A85">
        <w:rPr>
          <w:rFonts w:asciiTheme="minorHAnsi" w:hAnsiTheme="minorHAnsi" w:cstheme="minorHAnsi"/>
        </w:rPr>
        <w:t xml:space="preserve"> macro through the SuiteScript 2.x record module's </w:t>
      </w:r>
      <w:proofErr w:type="spellStart"/>
      <w:proofErr w:type="gramStart"/>
      <w:r w:rsidRPr="00F64A85">
        <w:rPr>
          <w:rFonts w:asciiTheme="minorHAnsi" w:hAnsiTheme="minorHAnsi" w:cstheme="minorHAnsi"/>
        </w:rPr>
        <w:t>executeMacro</w:t>
      </w:r>
      <w:proofErr w:type="spellEnd"/>
      <w:r w:rsidRPr="00F64A85">
        <w:rPr>
          <w:rFonts w:asciiTheme="minorHAnsi" w:hAnsiTheme="minorHAnsi" w:cstheme="minorHAnsi"/>
        </w:rPr>
        <w:t>(</w:t>
      </w:r>
      <w:proofErr w:type="gramEnd"/>
      <w:r w:rsidRPr="00F64A85">
        <w:rPr>
          <w:rFonts w:asciiTheme="minorHAnsi" w:hAnsiTheme="minorHAnsi" w:cstheme="minorHAnsi"/>
        </w:rPr>
        <w:t>) method. This is the supported way to force a tax recalculation on a taxable transaction (Invoice, Sales Order, Cash Sale, Bill, Credit Memo, and others) from server-side script, rather than re-deriving the calculation independently.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E24A9" w:rsidRPr="00F64A85" w14:paraId="47930B42" w14:textId="77777777">
        <w:tc>
          <w:tcPr>
            <w:tcW w:w="9350" w:type="dxa"/>
            <w:shd w:val="clear" w:color="auto" w:fill="1E1E1E"/>
            <w:tcMar>
              <w:top w:w="150" w:type="dxa"/>
              <w:left w:w="200" w:type="dxa"/>
              <w:bottom w:w="150" w:type="dxa"/>
              <w:right w:w="200" w:type="dxa"/>
            </w:tcMar>
          </w:tcPr>
          <w:p w14:paraId="47930B2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w:t>
            </w:r>
          </w:p>
          <w:p w14:paraId="47930B2C"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SuiteScript 2.1 — Restlet: Recalculate Tax on a SuiteTax Transaction</w:t>
            </w:r>
          </w:p>
          <w:p w14:paraId="47930B2D"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Oracle Ref: docs.oracle.com/en/cloud/saas/netsuite/ns-online-help/section_1565108575.html</w:t>
            </w:r>
          </w:p>
          <w:p w14:paraId="47930B2E"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2F"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define(['N/record'], function(record) {</w:t>
            </w:r>
          </w:p>
          <w:p w14:paraId="47930B30"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31"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function post(context) {</w:t>
            </w:r>
          </w:p>
          <w:p w14:paraId="47930B32"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rec = </w:t>
            </w:r>
            <w:proofErr w:type="gramStart"/>
            <w:r w:rsidRPr="00F64A85">
              <w:rPr>
                <w:rFonts w:asciiTheme="minorHAnsi" w:eastAsia="Consolas" w:hAnsiTheme="minorHAnsi" w:cstheme="minorHAnsi"/>
                <w:color w:val="D4D4D4"/>
                <w:sz w:val="18"/>
                <w:szCs w:val="18"/>
              </w:rPr>
              <w:t>record.load</w:t>
            </w:r>
            <w:proofErr w:type="gramEnd"/>
            <w:r w:rsidRPr="00F64A85">
              <w:rPr>
                <w:rFonts w:asciiTheme="minorHAnsi" w:eastAsia="Consolas" w:hAnsiTheme="minorHAnsi" w:cstheme="minorHAnsi"/>
                <w:color w:val="D4D4D4"/>
                <w:sz w:val="18"/>
                <w:szCs w:val="18"/>
              </w:rPr>
              <w:t>({</w:t>
            </w:r>
          </w:p>
          <w:p w14:paraId="47930B33"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type: </w:t>
            </w:r>
            <w:proofErr w:type="spellStart"/>
            <w:proofErr w:type="gramStart"/>
            <w:r w:rsidRPr="00F64A85">
              <w:rPr>
                <w:rFonts w:asciiTheme="minorHAnsi" w:eastAsia="Consolas" w:hAnsiTheme="minorHAnsi" w:cstheme="minorHAnsi"/>
                <w:color w:val="D4D4D4"/>
                <w:sz w:val="18"/>
                <w:szCs w:val="18"/>
              </w:rPr>
              <w:t>context.recordType</w:t>
            </w:r>
            <w:proofErr w:type="spellEnd"/>
            <w:proofErr w:type="gramEnd"/>
            <w:r w:rsidRPr="00F64A85">
              <w:rPr>
                <w:rFonts w:asciiTheme="minorHAnsi" w:eastAsia="Consolas" w:hAnsiTheme="minorHAnsi" w:cstheme="minorHAnsi"/>
                <w:color w:val="D4D4D4"/>
                <w:sz w:val="18"/>
                <w:szCs w:val="18"/>
              </w:rPr>
              <w:t>,</w:t>
            </w:r>
          </w:p>
          <w:p w14:paraId="47930B34"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id: </w:t>
            </w:r>
            <w:proofErr w:type="spellStart"/>
            <w:proofErr w:type="gramStart"/>
            <w:r w:rsidRPr="00F64A85">
              <w:rPr>
                <w:rFonts w:asciiTheme="minorHAnsi" w:eastAsia="Consolas" w:hAnsiTheme="minorHAnsi" w:cstheme="minorHAnsi"/>
                <w:color w:val="D4D4D4"/>
                <w:sz w:val="18"/>
                <w:szCs w:val="18"/>
              </w:rPr>
              <w:t>context.recordId</w:t>
            </w:r>
            <w:proofErr w:type="spellEnd"/>
            <w:proofErr w:type="gramEnd"/>
            <w:r w:rsidRPr="00F64A85">
              <w:rPr>
                <w:rFonts w:asciiTheme="minorHAnsi" w:eastAsia="Consolas" w:hAnsiTheme="minorHAnsi" w:cstheme="minorHAnsi"/>
                <w:color w:val="D4D4D4"/>
                <w:sz w:val="18"/>
                <w:szCs w:val="18"/>
              </w:rPr>
              <w:t>,</w:t>
            </w:r>
          </w:p>
          <w:p w14:paraId="47930B35"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isDynamic: true</w:t>
            </w:r>
          </w:p>
          <w:p w14:paraId="47930B36"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37"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38"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w:t>
            </w:r>
            <w:proofErr w:type="spellStart"/>
            <w:r w:rsidRPr="00F64A85">
              <w:rPr>
                <w:rFonts w:asciiTheme="minorHAnsi" w:eastAsia="Consolas" w:hAnsiTheme="minorHAnsi" w:cstheme="minorHAnsi"/>
                <w:color w:val="D4D4D4"/>
                <w:sz w:val="18"/>
                <w:szCs w:val="18"/>
              </w:rPr>
              <w:t>calculateTax</w:t>
            </w:r>
            <w:proofErr w:type="spellEnd"/>
            <w:r w:rsidRPr="00F64A85">
              <w:rPr>
                <w:rFonts w:asciiTheme="minorHAnsi" w:eastAsia="Consolas" w:hAnsiTheme="minorHAnsi" w:cstheme="minorHAnsi"/>
                <w:color w:val="D4D4D4"/>
                <w:sz w:val="18"/>
                <w:szCs w:val="18"/>
              </w:rPr>
              <w:t xml:space="preserve"> is the documented SuiteTax macro exposed via </w:t>
            </w:r>
            <w:proofErr w:type="spellStart"/>
            <w:r w:rsidRPr="00F64A85">
              <w:rPr>
                <w:rFonts w:asciiTheme="minorHAnsi" w:eastAsia="Consolas" w:hAnsiTheme="minorHAnsi" w:cstheme="minorHAnsi"/>
                <w:color w:val="D4D4D4"/>
                <w:sz w:val="18"/>
                <w:szCs w:val="18"/>
              </w:rPr>
              <w:t>executeMacro</w:t>
            </w:r>
            <w:proofErr w:type="spellEnd"/>
          </w:p>
          <w:p w14:paraId="47930B39"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proofErr w:type="gramStart"/>
            <w:r w:rsidRPr="00F64A85">
              <w:rPr>
                <w:rFonts w:asciiTheme="minorHAnsi" w:eastAsia="Consolas" w:hAnsiTheme="minorHAnsi" w:cstheme="minorHAnsi"/>
                <w:color w:val="D4D4D4"/>
                <w:sz w:val="18"/>
                <w:szCs w:val="18"/>
              </w:rPr>
              <w:t>rec.executeMacro</w:t>
            </w:r>
            <w:proofErr w:type="spellEnd"/>
            <w:proofErr w:type="gramEnd"/>
            <w:r w:rsidRPr="00F64A85">
              <w:rPr>
                <w:rFonts w:asciiTheme="minorHAnsi" w:eastAsia="Consolas" w:hAnsiTheme="minorHAnsi" w:cstheme="minorHAnsi"/>
                <w:color w:val="D4D4D4"/>
                <w:sz w:val="18"/>
                <w:szCs w:val="18"/>
              </w:rPr>
              <w:t>({ id: '</w:t>
            </w:r>
            <w:proofErr w:type="spellStart"/>
            <w:r w:rsidRPr="00F64A85">
              <w:rPr>
                <w:rFonts w:asciiTheme="minorHAnsi" w:eastAsia="Consolas" w:hAnsiTheme="minorHAnsi" w:cstheme="minorHAnsi"/>
                <w:color w:val="D4D4D4"/>
                <w:sz w:val="18"/>
                <w:szCs w:val="18"/>
              </w:rPr>
              <w:t>calculateTax</w:t>
            </w:r>
            <w:proofErr w:type="spellEnd"/>
            <w:r w:rsidRPr="00F64A85">
              <w:rPr>
                <w:rFonts w:asciiTheme="minorHAnsi" w:eastAsia="Consolas" w:hAnsiTheme="minorHAnsi" w:cstheme="minorHAnsi"/>
                <w:color w:val="D4D4D4"/>
                <w:sz w:val="18"/>
                <w:szCs w:val="18"/>
              </w:rPr>
              <w:t>' });</w:t>
            </w:r>
          </w:p>
          <w:p w14:paraId="47930B3A"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3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w:t>
            </w:r>
            <w:proofErr w:type="spellStart"/>
            <w:r w:rsidRPr="00F64A85">
              <w:rPr>
                <w:rFonts w:asciiTheme="minorHAnsi" w:eastAsia="Consolas" w:hAnsiTheme="minorHAnsi" w:cstheme="minorHAnsi"/>
                <w:color w:val="D4D4D4"/>
                <w:sz w:val="18"/>
                <w:szCs w:val="18"/>
              </w:rPr>
              <w:t>savedId</w:t>
            </w:r>
            <w:proofErr w:type="spellEnd"/>
            <w:r w:rsidRPr="00F64A85">
              <w:rPr>
                <w:rFonts w:asciiTheme="minorHAnsi" w:eastAsia="Consolas" w:hAnsiTheme="minorHAnsi" w:cstheme="minorHAnsi"/>
                <w:color w:val="D4D4D4"/>
                <w:sz w:val="18"/>
                <w:szCs w:val="18"/>
              </w:rPr>
              <w:t xml:space="preserve"> = </w:t>
            </w:r>
            <w:proofErr w:type="spellStart"/>
            <w:proofErr w:type="gramStart"/>
            <w:r w:rsidRPr="00F64A85">
              <w:rPr>
                <w:rFonts w:asciiTheme="minorHAnsi" w:eastAsia="Consolas" w:hAnsiTheme="minorHAnsi" w:cstheme="minorHAnsi"/>
                <w:color w:val="D4D4D4"/>
                <w:sz w:val="18"/>
                <w:szCs w:val="18"/>
              </w:rPr>
              <w:t>rec.save</w:t>
            </w:r>
            <w:proofErr w:type="spellEnd"/>
            <w:proofErr w:type="gramEnd"/>
            <w:r w:rsidRPr="00F64A85">
              <w:rPr>
                <w:rFonts w:asciiTheme="minorHAnsi" w:eastAsia="Consolas" w:hAnsiTheme="minorHAnsi" w:cstheme="minorHAnsi"/>
                <w:color w:val="D4D4D4"/>
                <w:sz w:val="18"/>
                <w:szCs w:val="18"/>
              </w:rPr>
              <w:t>({ enableSourcing: true, ignoreMandatoryFields: false });</w:t>
            </w:r>
          </w:p>
          <w:p w14:paraId="47930B3C"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3D"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return </w:t>
            </w:r>
            <w:proofErr w:type="gramStart"/>
            <w:r w:rsidRPr="00F64A85">
              <w:rPr>
                <w:rFonts w:asciiTheme="minorHAnsi" w:eastAsia="Consolas" w:hAnsiTheme="minorHAnsi" w:cstheme="minorHAnsi"/>
                <w:color w:val="D4D4D4"/>
                <w:sz w:val="18"/>
                <w:szCs w:val="18"/>
              </w:rPr>
              <w:t>{ recordId</w:t>
            </w:r>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savedId</w:t>
            </w:r>
            <w:proofErr w:type="spellEnd"/>
            <w:r w:rsidRPr="00F64A85">
              <w:rPr>
                <w:rFonts w:asciiTheme="minorHAnsi" w:eastAsia="Consolas" w:hAnsiTheme="minorHAnsi" w:cstheme="minorHAnsi"/>
                <w:color w:val="D4D4D4"/>
                <w:sz w:val="18"/>
                <w:szCs w:val="18"/>
              </w:rPr>
              <w:t>, status: 'TAX_RECALCULATED' };</w:t>
            </w:r>
          </w:p>
          <w:p w14:paraId="47930B3E"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3F"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40"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return </w:t>
            </w:r>
            <w:proofErr w:type="gramStart"/>
            <w:r w:rsidRPr="00F64A85">
              <w:rPr>
                <w:rFonts w:asciiTheme="minorHAnsi" w:eastAsia="Consolas" w:hAnsiTheme="minorHAnsi" w:cstheme="minorHAnsi"/>
                <w:color w:val="D4D4D4"/>
                <w:sz w:val="18"/>
                <w:szCs w:val="18"/>
              </w:rPr>
              <w:t>{ post</w:t>
            </w:r>
            <w:proofErr w:type="gramEnd"/>
            <w:r w:rsidRPr="00F64A85">
              <w:rPr>
                <w:rFonts w:asciiTheme="minorHAnsi" w:eastAsia="Consolas" w:hAnsiTheme="minorHAnsi" w:cstheme="minorHAnsi"/>
                <w:color w:val="D4D4D4"/>
                <w:sz w:val="18"/>
                <w:szCs w:val="18"/>
              </w:rPr>
              <w:t>: post };</w:t>
            </w:r>
          </w:p>
          <w:p w14:paraId="47930B41"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w:t>
            </w:r>
          </w:p>
        </w:tc>
      </w:tr>
    </w:tbl>
    <w:p w14:paraId="3BCF557A" w14:textId="77777777" w:rsidR="00312FF0" w:rsidRDefault="00312FF0">
      <w:pPr>
        <w:pStyle w:val="Heading2"/>
        <w:spacing w:before="250" w:after="120"/>
        <w:rPr>
          <w:rFonts w:asciiTheme="minorHAnsi" w:hAnsiTheme="minorHAnsi" w:cstheme="minorHAnsi"/>
          <w:b/>
          <w:bCs/>
        </w:rPr>
      </w:pPr>
    </w:p>
    <w:p w14:paraId="03C8B24D" w14:textId="77777777" w:rsidR="00312FF0" w:rsidRDefault="00312FF0">
      <w:pPr>
        <w:pStyle w:val="Heading2"/>
        <w:spacing w:before="250" w:after="120"/>
        <w:rPr>
          <w:rFonts w:asciiTheme="minorHAnsi" w:hAnsiTheme="minorHAnsi" w:cstheme="minorHAnsi"/>
          <w:b/>
          <w:bCs/>
        </w:rPr>
      </w:pPr>
    </w:p>
    <w:p w14:paraId="7B1259D0" w14:textId="77777777" w:rsidR="00312FF0" w:rsidRDefault="00312FF0">
      <w:pPr>
        <w:pStyle w:val="Heading2"/>
        <w:spacing w:before="250" w:after="120"/>
        <w:rPr>
          <w:rFonts w:asciiTheme="minorHAnsi" w:hAnsiTheme="minorHAnsi" w:cstheme="minorHAnsi"/>
          <w:b/>
          <w:bCs/>
        </w:rPr>
      </w:pPr>
    </w:p>
    <w:p w14:paraId="1AFFC49C" w14:textId="77777777" w:rsidR="00312FF0" w:rsidRDefault="00312FF0">
      <w:pPr>
        <w:pStyle w:val="Heading2"/>
        <w:spacing w:before="250" w:after="120"/>
        <w:rPr>
          <w:rFonts w:asciiTheme="minorHAnsi" w:hAnsiTheme="minorHAnsi" w:cstheme="minorHAnsi"/>
          <w:b/>
          <w:bCs/>
        </w:rPr>
      </w:pPr>
    </w:p>
    <w:p w14:paraId="1787AA80" w14:textId="77777777" w:rsidR="00312FF0" w:rsidRDefault="00312FF0">
      <w:pPr>
        <w:pStyle w:val="Heading2"/>
        <w:spacing w:before="250" w:after="120"/>
        <w:rPr>
          <w:rFonts w:asciiTheme="minorHAnsi" w:hAnsiTheme="minorHAnsi" w:cstheme="minorHAnsi"/>
          <w:b/>
          <w:bCs/>
        </w:rPr>
      </w:pPr>
    </w:p>
    <w:p w14:paraId="2CA0380D" w14:textId="77777777" w:rsidR="00312FF0" w:rsidRDefault="00312FF0">
      <w:pPr>
        <w:pStyle w:val="Heading2"/>
        <w:spacing w:before="250" w:after="120"/>
        <w:rPr>
          <w:rFonts w:asciiTheme="minorHAnsi" w:hAnsiTheme="minorHAnsi" w:cstheme="minorHAnsi"/>
          <w:b/>
          <w:bCs/>
        </w:rPr>
      </w:pPr>
    </w:p>
    <w:p w14:paraId="38794D54" w14:textId="77777777" w:rsidR="00312FF0" w:rsidRDefault="00312FF0">
      <w:pPr>
        <w:pStyle w:val="Heading2"/>
        <w:spacing w:before="250" w:after="120"/>
        <w:rPr>
          <w:rFonts w:asciiTheme="minorHAnsi" w:hAnsiTheme="minorHAnsi" w:cstheme="minorHAnsi"/>
          <w:b/>
          <w:bCs/>
        </w:rPr>
      </w:pPr>
    </w:p>
    <w:p w14:paraId="47930B43" w14:textId="199306D1" w:rsidR="002E24A9" w:rsidRPr="00F64A85" w:rsidRDefault="00C15295">
      <w:pPr>
        <w:pStyle w:val="Heading2"/>
        <w:spacing w:before="250" w:after="120"/>
        <w:rPr>
          <w:rFonts w:asciiTheme="minorHAnsi" w:hAnsiTheme="minorHAnsi" w:cstheme="minorHAnsi"/>
        </w:rPr>
      </w:pPr>
      <w:r w:rsidRPr="00F64A85">
        <w:rPr>
          <w:rFonts w:asciiTheme="minorHAnsi" w:hAnsiTheme="minorHAnsi" w:cstheme="minorHAnsi"/>
          <w:b/>
          <w:bCs/>
        </w:rPr>
        <w:lastRenderedPageBreak/>
        <w:t>7.2 Library — Reading Per-Line Tax Details from a SuiteTax Transaction</w:t>
      </w:r>
    </w:p>
    <w:p w14:paraId="47930B44"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Once a SuiteTax transaction is saved, its Tax Details subtab holds the per-line breakdown used elsewhere in this document — tax type, tax code, nexus, basis, rate, and amount. A library wrapper around the transaction's tax details sublist keeps that read logic in one place for reporting, dashboards, or downstream validation.</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E24A9" w:rsidRPr="00F64A85" w14:paraId="47930B66" w14:textId="77777777">
        <w:tc>
          <w:tcPr>
            <w:tcW w:w="9350" w:type="dxa"/>
            <w:shd w:val="clear" w:color="auto" w:fill="1E1E1E"/>
            <w:tcMar>
              <w:top w:w="150" w:type="dxa"/>
              <w:left w:w="200" w:type="dxa"/>
              <w:bottom w:w="150" w:type="dxa"/>
              <w:right w:w="200" w:type="dxa"/>
            </w:tcMar>
          </w:tcPr>
          <w:p w14:paraId="47930B45"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w:t>
            </w:r>
          </w:p>
          <w:p w14:paraId="47930B46"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SuiteScript 2.1 — Library: Read SuiteTax Line-Level Tax Details</w:t>
            </w:r>
          </w:p>
          <w:p w14:paraId="47930B47"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Oracle Ref: docs.oracle.com/en/cloud/saas/netsuite/ns-online-help/section_4283867856.html</w:t>
            </w:r>
          </w:p>
          <w:p w14:paraId="47930B48"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49"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define(['N/record'], function(record) {</w:t>
            </w:r>
          </w:p>
          <w:p w14:paraId="47930B4A"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4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4C"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Returns the tax details lines for a saved SuiteTax transaction.</w:t>
            </w:r>
          </w:p>
          <w:p w14:paraId="47930B4D"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@param {string} </w:t>
            </w:r>
            <w:proofErr w:type="spellStart"/>
            <w:r w:rsidRPr="00F64A85">
              <w:rPr>
                <w:rFonts w:asciiTheme="minorHAnsi" w:eastAsia="Consolas" w:hAnsiTheme="minorHAnsi" w:cstheme="minorHAnsi"/>
                <w:color w:val="D4D4D4"/>
                <w:sz w:val="18"/>
                <w:szCs w:val="18"/>
              </w:rPr>
              <w:t>recordType</w:t>
            </w:r>
            <w:proofErr w:type="spellEnd"/>
            <w:r w:rsidRPr="00F64A85">
              <w:rPr>
                <w:rFonts w:asciiTheme="minorHAnsi" w:eastAsia="Consolas" w:hAnsiTheme="minorHAnsi" w:cstheme="minorHAnsi"/>
                <w:color w:val="D4D4D4"/>
                <w:sz w:val="18"/>
                <w:szCs w:val="18"/>
              </w:rPr>
              <w:t xml:space="preserve"> Transaction record type (e.g. </w:t>
            </w:r>
            <w:proofErr w:type="spellStart"/>
            <w:proofErr w:type="gramStart"/>
            <w:r w:rsidRPr="00F64A85">
              <w:rPr>
                <w:rFonts w:asciiTheme="minorHAnsi" w:eastAsia="Consolas" w:hAnsiTheme="minorHAnsi" w:cstheme="minorHAnsi"/>
                <w:color w:val="D4D4D4"/>
                <w:sz w:val="18"/>
                <w:szCs w:val="18"/>
              </w:rPr>
              <w:t>record.Type.INVOICE</w:t>
            </w:r>
            <w:proofErr w:type="spellEnd"/>
            <w:proofErr w:type="gramEnd"/>
            <w:r w:rsidRPr="00F64A85">
              <w:rPr>
                <w:rFonts w:asciiTheme="minorHAnsi" w:eastAsia="Consolas" w:hAnsiTheme="minorHAnsi" w:cstheme="minorHAnsi"/>
                <w:color w:val="D4D4D4"/>
                <w:sz w:val="18"/>
                <w:szCs w:val="18"/>
              </w:rPr>
              <w:t>)</w:t>
            </w:r>
          </w:p>
          <w:p w14:paraId="47930B4E"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@param {</w:t>
            </w:r>
            <w:proofErr w:type="spellStart"/>
            <w:r w:rsidRPr="00F64A85">
              <w:rPr>
                <w:rFonts w:asciiTheme="minorHAnsi" w:eastAsia="Consolas" w:hAnsiTheme="minorHAnsi" w:cstheme="minorHAnsi"/>
                <w:color w:val="D4D4D4"/>
                <w:sz w:val="18"/>
                <w:szCs w:val="18"/>
              </w:rPr>
              <w:t>string|number</w:t>
            </w:r>
            <w:proofErr w:type="spellEnd"/>
            <w:r w:rsidRPr="00F64A85">
              <w:rPr>
                <w:rFonts w:asciiTheme="minorHAnsi" w:eastAsia="Consolas" w:hAnsiTheme="minorHAnsi" w:cstheme="minorHAnsi"/>
                <w:color w:val="D4D4D4"/>
                <w:sz w:val="18"/>
                <w:szCs w:val="18"/>
              </w:rPr>
              <w:t>} recordId Internal ID of the transaction</w:t>
            </w:r>
          </w:p>
          <w:p w14:paraId="47930B4F"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@returns {Array&lt;Object&gt;}</w:t>
            </w:r>
          </w:p>
          <w:p w14:paraId="47930B50"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51"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function </w:t>
            </w:r>
            <w:proofErr w:type="spellStart"/>
            <w:proofErr w:type="gramStart"/>
            <w:r w:rsidRPr="00F64A85">
              <w:rPr>
                <w:rFonts w:asciiTheme="minorHAnsi" w:eastAsia="Consolas" w:hAnsiTheme="minorHAnsi" w:cstheme="minorHAnsi"/>
                <w:color w:val="D4D4D4"/>
                <w:sz w:val="18"/>
                <w:szCs w:val="18"/>
              </w:rPr>
              <w:t>getTaxDetailLines</w:t>
            </w:r>
            <w:proofErr w:type="spellEnd"/>
            <w:r w:rsidRPr="00F64A85">
              <w:rPr>
                <w:rFonts w:asciiTheme="minorHAnsi" w:eastAsia="Consolas" w:hAnsiTheme="minorHAnsi" w:cstheme="minorHAnsi"/>
                <w:color w:val="D4D4D4"/>
                <w:sz w:val="18"/>
                <w:szCs w:val="18"/>
              </w:rPr>
              <w:t>(</w:t>
            </w:r>
            <w:proofErr w:type="spellStart"/>
            <w:proofErr w:type="gramEnd"/>
            <w:r w:rsidRPr="00F64A85">
              <w:rPr>
                <w:rFonts w:asciiTheme="minorHAnsi" w:eastAsia="Consolas" w:hAnsiTheme="minorHAnsi" w:cstheme="minorHAnsi"/>
                <w:color w:val="D4D4D4"/>
                <w:sz w:val="18"/>
                <w:szCs w:val="18"/>
              </w:rPr>
              <w:t>recordType</w:t>
            </w:r>
            <w:proofErr w:type="spellEnd"/>
            <w:r w:rsidRPr="00F64A85">
              <w:rPr>
                <w:rFonts w:asciiTheme="minorHAnsi" w:eastAsia="Consolas" w:hAnsiTheme="minorHAnsi" w:cstheme="minorHAnsi"/>
                <w:color w:val="D4D4D4"/>
                <w:sz w:val="18"/>
                <w:szCs w:val="18"/>
              </w:rPr>
              <w:t>, recordId) {</w:t>
            </w:r>
          </w:p>
          <w:p w14:paraId="47930B52"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rec = </w:t>
            </w:r>
            <w:proofErr w:type="gramStart"/>
            <w:r w:rsidRPr="00F64A85">
              <w:rPr>
                <w:rFonts w:asciiTheme="minorHAnsi" w:eastAsia="Consolas" w:hAnsiTheme="minorHAnsi" w:cstheme="minorHAnsi"/>
                <w:color w:val="D4D4D4"/>
                <w:sz w:val="18"/>
                <w:szCs w:val="18"/>
              </w:rPr>
              <w:t>record.load</w:t>
            </w:r>
            <w:proofErr w:type="gramEnd"/>
            <w:r w:rsidRPr="00F64A85">
              <w:rPr>
                <w:rFonts w:asciiTheme="minorHAnsi" w:eastAsia="Consolas" w:hAnsiTheme="minorHAnsi" w:cstheme="minorHAnsi"/>
                <w:color w:val="D4D4D4"/>
                <w:sz w:val="18"/>
                <w:szCs w:val="18"/>
              </w:rPr>
              <w:t xml:space="preserve">({ type: </w:t>
            </w:r>
            <w:proofErr w:type="spellStart"/>
            <w:r w:rsidRPr="00F64A85">
              <w:rPr>
                <w:rFonts w:asciiTheme="minorHAnsi" w:eastAsia="Consolas" w:hAnsiTheme="minorHAnsi" w:cstheme="minorHAnsi"/>
                <w:color w:val="D4D4D4"/>
                <w:sz w:val="18"/>
                <w:szCs w:val="18"/>
              </w:rPr>
              <w:t>recordType</w:t>
            </w:r>
            <w:proofErr w:type="spellEnd"/>
            <w:r w:rsidRPr="00F64A85">
              <w:rPr>
                <w:rFonts w:asciiTheme="minorHAnsi" w:eastAsia="Consolas" w:hAnsiTheme="minorHAnsi" w:cstheme="minorHAnsi"/>
                <w:color w:val="D4D4D4"/>
                <w:sz w:val="18"/>
                <w:szCs w:val="18"/>
              </w:rPr>
              <w:t>, id: recordId });</w:t>
            </w:r>
          </w:p>
          <w:p w14:paraId="47930B53"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w:t>
            </w:r>
            <w:proofErr w:type="spellStart"/>
            <w:r w:rsidRPr="00F64A85">
              <w:rPr>
                <w:rFonts w:asciiTheme="minorHAnsi" w:eastAsia="Consolas" w:hAnsiTheme="minorHAnsi" w:cstheme="minorHAnsi"/>
                <w:color w:val="D4D4D4"/>
                <w:sz w:val="18"/>
                <w:szCs w:val="18"/>
              </w:rPr>
              <w:t>lineCount</w:t>
            </w:r>
            <w:proofErr w:type="spellEnd"/>
            <w:r w:rsidRPr="00F64A85">
              <w:rPr>
                <w:rFonts w:asciiTheme="minorHAnsi" w:eastAsia="Consolas" w:hAnsiTheme="minorHAnsi" w:cstheme="minorHAnsi"/>
                <w:color w:val="D4D4D4"/>
                <w:sz w:val="18"/>
                <w:szCs w:val="18"/>
              </w:rPr>
              <w:t xml:space="preserve"> = </w:t>
            </w:r>
            <w:proofErr w:type="spellStart"/>
            <w:proofErr w:type="gramStart"/>
            <w:r w:rsidRPr="00F64A85">
              <w:rPr>
                <w:rFonts w:asciiTheme="minorHAnsi" w:eastAsia="Consolas" w:hAnsiTheme="minorHAnsi" w:cstheme="minorHAnsi"/>
                <w:color w:val="D4D4D4"/>
                <w:sz w:val="18"/>
                <w:szCs w:val="18"/>
              </w:rPr>
              <w:t>rec.getLineCount</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w:t>
            </w:r>
          </w:p>
          <w:p w14:paraId="47930B54"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lines = [];</w:t>
            </w:r>
          </w:p>
          <w:p w14:paraId="47930B55"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56"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for (var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 0;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&lt; </w:t>
            </w:r>
            <w:proofErr w:type="spellStart"/>
            <w:r w:rsidRPr="00F64A85">
              <w:rPr>
                <w:rFonts w:asciiTheme="minorHAnsi" w:eastAsia="Consolas" w:hAnsiTheme="minorHAnsi" w:cstheme="minorHAnsi"/>
                <w:color w:val="D4D4D4"/>
                <w:sz w:val="18"/>
                <w:szCs w:val="18"/>
              </w:rPr>
              <w:t>lineCount</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w:t>
            </w:r>
          </w:p>
          <w:p w14:paraId="47930B57"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proofErr w:type="gramStart"/>
            <w:r w:rsidRPr="00F64A85">
              <w:rPr>
                <w:rFonts w:asciiTheme="minorHAnsi" w:eastAsia="Consolas" w:hAnsiTheme="minorHAnsi" w:cstheme="minorHAnsi"/>
                <w:color w:val="D4D4D4"/>
                <w:sz w:val="18"/>
                <w:szCs w:val="18"/>
              </w:rPr>
              <w:t>lines.push</w:t>
            </w:r>
            <w:proofErr w:type="spellEnd"/>
            <w:proofErr w:type="gramEnd"/>
            <w:r w:rsidRPr="00F64A85">
              <w:rPr>
                <w:rFonts w:asciiTheme="minorHAnsi" w:eastAsia="Consolas" w:hAnsiTheme="minorHAnsi" w:cstheme="minorHAnsi"/>
                <w:color w:val="D4D4D4"/>
                <w:sz w:val="18"/>
                <w:szCs w:val="18"/>
              </w:rPr>
              <w:t>({</w:t>
            </w:r>
          </w:p>
          <w:p w14:paraId="47930B58"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reference: </w:t>
            </w:r>
            <w:proofErr w:type="spellStart"/>
            <w:proofErr w:type="gramStart"/>
            <w:r w:rsidRPr="00F64A85">
              <w:rPr>
                <w:rFonts w:asciiTheme="minorHAnsi" w:eastAsia="Consolas" w:hAnsiTheme="minorHAnsi" w:cstheme="minorHAnsi"/>
                <w:color w:val="D4D4D4"/>
                <w:sz w:val="18"/>
                <w:szCs w:val="18"/>
              </w:rPr>
              <w:t>rec.getSublistValue</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taxdetailsreference</w:t>
            </w:r>
            <w:proofErr w:type="spellEnd"/>
            <w:r w:rsidRPr="00F64A85">
              <w:rPr>
                <w:rFonts w:asciiTheme="minorHAnsi" w:eastAsia="Consolas" w:hAnsiTheme="minorHAnsi" w:cstheme="minorHAnsi"/>
                <w:color w:val="D4D4D4"/>
                <w:sz w:val="18"/>
                <w:szCs w:val="18"/>
              </w:rPr>
              <w:t xml:space="preserve">',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w:t>
            </w:r>
          </w:p>
          <w:p w14:paraId="47930B59"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nexus: </w:t>
            </w:r>
            <w:proofErr w:type="spellStart"/>
            <w:proofErr w:type="gramStart"/>
            <w:r w:rsidRPr="00F64A85">
              <w:rPr>
                <w:rFonts w:asciiTheme="minorHAnsi" w:eastAsia="Consolas" w:hAnsiTheme="minorHAnsi" w:cstheme="minorHAnsi"/>
                <w:color w:val="D4D4D4"/>
                <w:sz w:val="18"/>
                <w:szCs w:val="18"/>
              </w:rPr>
              <w:t>rec.getSublistText</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xml:space="preserve">: 'nexus',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w:t>
            </w:r>
          </w:p>
          <w:p w14:paraId="47930B5A"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taxType</w:t>
            </w:r>
            <w:proofErr w:type="spellEnd"/>
            <w:r w:rsidRPr="00F64A85">
              <w:rPr>
                <w:rFonts w:asciiTheme="minorHAnsi" w:eastAsia="Consolas" w:hAnsiTheme="minorHAnsi" w:cstheme="minorHAnsi"/>
                <w:color w:val="D4D4D4"/>
                <w:sz w:val="18"/>
                <w:szCs w:val="18"/>
              </w:rPr>
              <w:t xml:space="preserve">: </w:t>
            </w:r>
            <w:proofErr w:type="spellStart"/>
            <w:proofErr w:type="gramStart"/>
            <w:r w:rsidRPr="00F64A85">
              <w:rPr>
                <w:rFonts w:asciiTheme="minorHAnsi" w:eastAsia="Consolas" w:hAnsiTheme="minorHAnsi" w:cstheme="minorHAnsi"/>
                <w:color w:val="D4D4D4"/>
                <w:sz w:val="18"/>
                <w:szCs w:val="18"/>
              </w:rPr>
              <w:t>rec.getSublistText</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taxtype</w:t>
            </w:r>
            <w:proofErr w:type="spellEnd"/>
            <w:r w:rsidRPr="00F64A85">
              <w:rPr>
                <w:rFonts w:asciiTheme="minorHAnsi" w:eastAsia="Consolas" w:hAnsiTheme="minorHAnsi" w:cstheme="minorHAnsi"/>
                <w:color w:val="D4D4D4"/>
                <w:sz w:val="18"/>
                <w:szCs w:val="18"/>
              </w:rPr>
              <w:t xml:space="preserve">',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w:t>
            </w:r>
          </w:p>
          <w:p w14:paraId="47930B5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taxCode</w:t>
            </w:r>
            <w:proofErr w:type="spellEnd"/>
            <w:r w:rsidRPr="00F64A85">
              <w:rPr>
                <w:rFonts w:asciiTheme="minorHAnsi" w:eastAsia="Consolas" w:hAnsiTheme="minorHAnsi" w:cstheme="minorHAnsi"/>
                <w:color w:val="D4D4D4"/>
                <w:sz w:val="18"/>
                <w:szCs w:val="18"/>
              </w:rPr>
              <w:t xml:space="preserve">: </w:t>
            </w:r>
            <w:proofErr w:type="spellStart"/>
            <w:proofErr w:type="gramStart"/>
            <w:r w:rsidRPr="00F64A85">
              <w:rPr>
                <w:rFonts w:asciiTheme="minorHAnsi" w:eastAsia="Consolas" w:hAnsiTheme="minorHAnsi" w:cstheme="minorHAnsi"/>
                <w:color w:val="D4D4D4"/>
                <w:sz w:val="18"/>
                <w:szCs w:val="18"/>
              </w:rPr>
              <w:t>rec.getSublistText</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taxcode</w:t>
            </w:r>
            <w:proofErr w:type="spellEnd"/>
            <w:r w:rsidRPr="00F64A85">
              <w:rPr>
                <w:rFonts w:asciiTheme="minorHAnsi" w:eastAsia="Consolas" w:hAnsiTheme="minorHAnsi" w:cstheme="minorHAnsi"/>
                <w:color w:val="D4D4D4"/>
                <w:sz w:val="18"/>
                <w:szCs w:val="18"/>
              </w:rPr>
              <w:t xml:space="preserve">',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w:t>
            </w:r>
          </w:p>
          <w:p w14:paraId="47930B5C"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taxBasis</w:t>
            </w:r>
            <w:proofErr w:type="spellEnd"/>
            <w:r w:rsidRPr="00F64A85">
              <w:rPr>
                <w:rFonts w:asciiTheme="minorHAnsi" w:eastAsia="Consolas" w:hAnsiTheme="minorHAnsi" w:cstheme="minorHAnsi"/>
                <w:color w:val="D4D4D4"/>
                <w:sz w:val="18"/>
                <w:szCs w:val="18"/>
              </w:rPr>
              <w:t xml:space="preserve">: </w:t>
            </w:r>
            <w:proofErr w:type="gramStart"/>
            <w:r w:rsidRPr="00F64A85">
              <w:rPr>
                <w:rFonts w:asciiTheme="minorHAnsi" w:eastAsia="Consolas" w:hAnsiTheme="minorHAnsi" w:cstheme="minorHAnsi"/>
                <w:color w:val="D4D4D4"/>
                <w:sz w:val="18"/>
                <w:szCs w:val="18"/>
              </w:rPr>
              <w:t>parseFloat(</w:t>
            </w:r>
            <w:proofErr w:type="spellStart"/>
            <w:proofErr w:type="gramEnd"/>
            <w:r w:rsidRPr="00F64A85">
              <w:rPr>
                <w:rFonts w:asciiTheme="minorHAnsi" w:eastAsia="Consolas" w:hAnsiTheme="minorHAnsi" w:cstheme="minorHAnsi"/>
                <w:color w:val="D4D4D4"/>
                <w:sz w:val="18"/>
                <w:szCs w:val="18"/>
              </w:rPr>
              <w:t>rec.getSublistValue</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taxbasis</w:t>
            </w:r>
            <w:proofErr w:type="spellEnd"/>
            <w:r w:rsidRPr="00F64A85">
              <w:rPr>
                <w:rFonts w:asciiTheme="minorHAnsi" w:eastAsia="Consolas" w:hAnsiTheme="minorHAnsi" w:cstheme="minorHAnsi"/>
                <w:color w:val="D4D4D4"/>
                <w:sz w:val="18"/>
                <w:szCs w:val="18"/>
              </w:rPr>
              <w:t xml:space="preserve">',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 || 0),</w:t>
            </w:r>
          </w:p>
          <w:p w14:paraId="47930B5D"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taxRate</w:t>
            </w:r>
            <w:proofErr w:type="spellEnd"/>
            <w:r w:rsidRPr="00F64A85">
              <w:rPr>
                <w:rFonts w:asciiTheme="minorHAnsi" w:eastAsia="Consolas" w:hAnsiTheme="minorHAnsi" w:cstheme="minorHAnsi"/>
                <w:color w:val="D4D4D4"/>
                <w:sz w:val="18"/>
                <w:szCs w:val="18"/>
              </w:rPr>
              <w:t xml:space="preserve">: </w:t>
            </w:r>
            <w:proofErr w:type="gramStart"/>
            <w:r w:rsidRPr="00F64A85">
              <w:rPr>
                <w:rFonts w:asciiTheme="minorHAnsi" w:eastAsia="Consolas" w:hAnsiTheme="minorHAnsi" w:cstheme="minorHAnsi"/>
                <w:color w:val="D4D4D4"/>
                <w:sz w:val="18"/>
                <w:szCs w:val="18"/>
              </w:rPr>
              <w:t>parseFloat(</w:t>
            </w:r>
            <w:proofErr w:type="spellStart"/>
            <w:proofErr w:type="gramEnd"/>
            <w:r w:rsidRPr="00F64A85">
              <w:rPr>
                <w:rFonts w:asciiTheme="minorHAnsi" w:eastAsia="Consolas" w:hAnsiTheme="minorHAnsi" w:cstheme="minorHAnsi"/>
                <w:color w:val="D4D4D4"/>
                <w:sz w:val="18"/>
                <w:szCs w:val="18"/>
              </w:rPr>
              <w:t>rec.getSublistValue</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taxrate</w:t>
            </w:r>
            <w:proofErr w:type="spellEnd"/>
            <w:r w:rsidRPr="00F64A85">
              <w:rPr>
                <w:rFonts w:asciiTheme="minorHAnsi" w:eastAsia="Consolas" w:hAnsiTheme="minorHAnsi" w:cstheme="minorHAnsi"/>
                <w:color w:val="D4D4D4"/>
                <w:sz w:val="18"/>
                <w:szCs w:val="18"/>
              </w:rPr>
              <w:t xml:space="preserve">',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 || 0),</w:t>
            </w:r>
          </w:p>
          <w:p w14:paraId="47930B5E"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taxAmount</w:t>
            </w:r>
            <w:proofErr w:type="spellEnd"/>
            <w:r w:rsidRPr="00F64A85">
              <w:rPr>
                <w:rFonts w:asciiTheme="minorHAnsi" w:eastAsia="Consolas" w:hAnsiTheme="minorHAnsi" w:cstheme="minorHAnsi"/>
                <w:color w:val="D4D4D4"/>
                <w:sz w:val="18"/>
                <w:szCs w:val="18"/>
              </w:rPr>
              <w:t xml:space="preserve">: </w:t>
            </w:r>
            <w:proofErr w:type="gramStart"/>
            <w:r w:rsidRPr="00F64A85">
              <w:rPr>
                <w:rFonts w:asciiTheme="minorHAnsi" w:eastAsia="Consolas" w:hAnsiTheme="minorHAnsi" w:cstheme="minorHAnsi"/>
                <w:color w:val="D4D4D4"/>
                <w:sz w:val="18"/>
                <w:szCs w:val="18"/>
              </w:rPr>
              <w:t>parseFloat(</w:t>
            </w:r>
            <w:proofErr w:type="spellStart"/>
            <w:proofErr w:type="gramEnd"/>
            <w:r w:rsidRPr="00F64A85">
              <w:rPr>
                <w:rFonts w:asciiTheme="minorHAnsi" w:eastAsia="Consolas" w:hAnsiTheme="minorHAnsi" w:cstheme="minorHAnsi"/>
                <w:color w:val="D4D4D4"/>
                <w:sz w:val="18"/>
                <w:szCs w:val="18"/>
              </w:rPr>
              <w:t>rec.getSublistValue</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sublistId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taxdetails</w:t>
            </w:r>
            <w:proofErr w:type="spell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taxamount</w:t>
            </w:r>
            <w:proofErr w:type="spellEnd"/>
            <w:r w:rsidRPr="00F64A85">
              <w:rPr>
                <w:rFonts w:asciiTheme="minorHAnsi" w:eastAsia="Consolas" w:hAnsiTheme="minorHAnsi" w:cstheme="minorHAnsi"/>
                <w:color w:val="D4D4D4"/>
                <w:sz w:val="18"/>
                <w:szCs w:val="18"/>
              </w:rPr>
              <w:t xml:space="preserve">', line: </w:t>
            </w:r>
            <w:proofErr w:type="spellStart"/>
            <w:r w:rsidRPr="00F64A85">
              <w:rPr>
                <w:rFonts w:asciiTheme="minorHAnsi" w:eastAsia="Consolas" w:hAnsiTheme="minorHAnsi" w:cstheme="minorHAnsi"/>
                <w:color w:val="D4D4D4"/>
                <w:sz w:val="18"/>
                <w:szCs w:val="18"/>
              </w:rPr>
              <w:t>i</w:t>
            </w:r>
            <w:proofErr w:type="spellEnd"/>
            <w:r w:rsidRPr="00F64A85">
              <w:rPr>
                <w:rFonts w:asciiTheme="minorHAnsi" w:eastAsia="Consolas" w:hAnsiTheme="minorHAnsi" w:cstheme="minorHAnsi"/>
                <w:color w:val="D4D4D4"/>
                <w:sz w:val="18"/>
                <w:szCs w:val="18"/>
              </w:rPr>
              <w:t xml:space="preserve"> }) || 0)</w:t>
            </w:r>
          </w:p>
          <w:p w14:paraId="47930B5F"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60"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61"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return lines;</w:t>
            </w:r>
          </w:p>
          <w:p w14:paraId="47930B62"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63"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64"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return </w:t>
            </w:r>
            <w:proofErr w:type="gramStart"/>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getTaxDetailLines</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getTaxDetailLines</w:t>
            </w:r>
            <w:proofErr w:type="spellEnd"/>
            <w:r w:rsidRPr="00F64A85">
              <w:rPr>
                <w:rFonts w:asciiTheme="minorHAnsi" w:eastAsia="Consolas" w:hAnsiTheme="minorHAnsi" w:cstheme="minorHAnsi"/>
                <w:color w:val="D4D4D4"/>
                <w:sz w:val="18"/>
                <w:szCs w:val="18"/>
              </w:rPr>
              <w:t xml:space="preserve"> };</w:t>
            </w:r>
          </w:p>
          <w:p w14:paraId="47930B65"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w:t>
            </w:r>
          </w:p>
        </w:tc>
      </w:tr>
    </w:tbl>
    <w:p w14:paraId="4BFB72BF" w14:textId="77777777" w:rsidR="00BC3CB8" w:rsidRDefault="00BC3CB8">
      <w:pPr>
        <w:pStyle w:val="Heading2"/>
        <w:spacing w:before="250" w:after="120"/>
        <w:rPr>
          <w:rFonts w:asciiTheme="minorHAnsi" w:hAnsiTheme="minorHAnsi" w:cstheme="minorHAnsi"/>
          <w:b/>
          <w:bCs/>
        </w:rPr>
      </w:pPr>
    </w:p>
    <w:p w14:paraId="7B00963F" w14:textId="77777777" w:rsidR="00BC3CB8" w:rsidRDefault="00BC3CB8">
      <w:pPr>
        <w:pStyle w:val="Heading2"/>
        <w:spacing w:before="250" w:after="120"/>
        <w:rPr>
          <w:rFonts w:asciiTheme="minorHAnsi" w:hAnsiTheme="minorHAnsi" w:cstheme="minorHAnsi"/>
          <w:b/>
          <w:bCs/>
        </w:rPr>
      </w:pPr>
    </w:p>
    <w:p w14:paraId="33B27135" w14:textId="77777777" w:rsidR="00BC3CB8" w:rsidRDefault="00BC3CB8">
      <w:pPr>
        <w:pStyle w:val="Heading2"/>
        <w:spacing w:before="250" w:after="120"/>
        <w:rPr>
          <w:rFonts w:asciiTheme="minorHAnsi" w:hAnsiTheme="minorHAnsi" w:cstheme="minorHAnsi"/>
          <w:b/>
          <w:bCs/>
        </w:rPr>
      </w:pPr>
    </w:p>
    <w:p w14:paraId="2C2AF82D" w14:textId="77777777" w:rsidR="00BC3CB8" w:rsidRDefault="00BC3CB8">
      <w:pPr>
        <w:pStyle w:val="Heading2"/>
        <w:spacing w:before="250" w:after="120"/>
        <w:rPr>
          <w:rFonts w:asciiTheme="minorHAnsi" w:hAnsiTheme="minorHAnsi" w:cstheme="minorHAnsi"/>
          <w:b/>
          <w:bCs/>
        </w:rPr>
      </w:pPr>
    </w:p>
    <w:p w14:paraId="45B9F416" w14:textId="77777777" w:rsidR="00BC3CB8" w:rsidRDefault="00BC3CB8">
      <w:pPr>
        <w:pStyle w:val="Heading2"/>
        <w:spacing w:before="250" w:after="120"/>
        <w:rPr>
          <w:rFonts w:asciiTheme="minorHAnsi" w:hAnsiTheme="minorHAnsi" w:cstheme="minorHAnsi"/>
          <w:b/>
          <w:bCs/>
        </w:rPr>
      </w:pPr>
    </w:p>
    <w:p w14:paraId="6BDD48D4" w14:textId="77777777" w:rsidR="00BC3CB8" w:rsidRDefault="00BC3CB8">
      <w:pPr>
        <w:pStyle w:val="Heading2"/>
        <w:spacing w:before="250" w:after="120"/>
        <w:rPr>
          <w:rFonts w:asciiTheme="minorHAnsi" w:hAnsiTheme="minorHAnsi" w:cstheme="minorHAnsi"/>
          <w:b/>
          <w:bCs/>
        </w:rPr>
      </w:pPr>
    </w:p>
    <w:p w14:paraId="47930B67" w14:textId="09D5D872" w:rsidR="002E24A9" w:rsidRPr="00F64A85" w:rsidRDefault="00C15295">
      <w:pPr>
        <w:pStyle w:val="Heading2"/>
        <w:spacing w:before="250" w:after="120"/>
        <w:rPr>
          <w:rFonts w:asciiTheme="minorHAnsi" w:hAnsiTheme="minorHAnsi" w:cstheme="minorHAnsi"/>
        </w:rPr>
      </w:pPr>
      <w:bookmarkStart w:id="0" w:name="_GoBack"/>
      <w:bookmarkEnd w:id="0"/>
      <w:r w:rsidRPr="00F64A85">
        <w:rPr>
          <w:rFonts w:asciiTheme="minorHAnsi" w:hAnsiTheme="minorHAnsi" w:cstheme="minorHAnsi"/>
          <w:b/>
          <w:bCs/>
        </w:rPr>
        <w:lastRenderedPageBreak/>
        <w:t>7.3 User Event — Guard Against a Nexus with No Assigned Tax Engine</w:t>
      </w:r>
    </w:p>
    <w:p w14:paraId="47930B68" w14:textId="77777777" w:rsidR="002E24A9" w:rsidRPr="00F64A85" w:rsidRDefault="00C15295">
      <w:pPr>
        <w:spacing w:after="160" w:line="276" w:lineRule="auto"/>
        <w:rPr>
          <w:rFonts w:asciiTheme="minorHAnsi" w:hAnsiTheme="minorHAnsi" w:cstheme="minorHAnsi"/>
        </w:rPr>
      </w:pPr>
      <w:r w:rsidRPr="00F64A85">
        <w:rPr>
          <w:rFonts w:asciiTheme="minorHAnsi" w:hAnsiTheme="minorHAnsi" w:cstheme="minorHAnsi"/>
        </w:rPr>
        <w:t>Because a nexus with no assigned tax engine and no tax-exempt flag will fail to calculate tax at all, a BeforeSubmit guard on taxable transactions can catch a misconfigured nexus before it reaches Save, rather than surfacing as a silent zero-tax line.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E24A9" w:rsidRPr="00F64A85" w14:paraId="47930B8C" w14:textId="77777777">
        <w:tc>
          <w:tcPr>
            <w:tcW w:w="9350" w:type="dxa"/>
            <w:shd w:val="clear" w:color="auto" w:fill="1E1E1E"/>
            <w:tcMar>
              <w:top w:w="150" w:type="dxa"/>
              <w:left w:w="200" w:type="dxa"/>
              <w:bottom w:w="150" w:type="dxa"/>
              <w:right w:w="200" w:type="dxa"/>
            </w:tcMar>
          </w:tcPr>
          <w:p w14:paraId="47930B69"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w:t>
            </w:r>
          </w:p>
          <w:p w14:paraId="47930B6A"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SuiteScript 2.1 — </w:t>
            </w:r>
            <w:proofErr w:type="spellStart"/>
            <w:r w:rsidRPr="00F64A85">
              <w:rPr>
                <w:rFonts w:asciiTheme="minorHAnsi" w:eastAsia="Consolas" w:hAnsiTheme="minorHAnsi" w:cstheme="minorHAnsi"/>
                <w:color w:val="D4D4D4"/>
                <w:sz w:val="18"/>
                <w:szCs w:val="18"/>
              </w:rPr>
              <w:t>UserEvent</w:t>
            </w:r>
            <w:proofErr w:type="spellEnd"/>
            <w:r w:rsidRPr="00F64A85">
              <w:rPr>
                <w:rFonts w:asciiTheme="minorHAnsi" w:eastAsia="Consolas" w:hAnsiTheme="minorHAnsi" w:cstheme="minorHAnsi"/>
                <w:color w:val="D4D4D4"/>
                <w:sz w:val="18"/>
                <w:szCs w:val="18"/>
              </w:rPr>
              <w:t xml:space="preserve"> BeforeSubmit: Validate Nexus Has a Tax Engine or Exemption</w:t>
            </w:r>
          </w:p>
          <w:p w14:paraId="47930B6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 Applies to: SuiteTax-enabled taxable transaction types</w:t>
            </w:r>
          </w:p>
          <w:p w14:paraId="47930B6C"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6D" w14:textId="77777777" w:rsidR="002E24A9" w:rsidRPr="00F64A85" w:rsidRDefault="00C15295">
            <w:pPr>
              <w:spacing w:after="20"/>
              <w:rPr>
                <w:rFonts w:asciiTheme="minorHAnsi" w:hAnsiTheme="minorHAnsi" w:cstheme="minorHAnsi"/>
              </w:rPr>
            </w:pPr>
            <w:proofErr w:type="gramStart"/>
            <w:r w:rsidRPr="00F64A85">
              <w:rPr>
                <w:rFonts w:asciiTheme="minorHAnsi" w:eastAsia="Consolas" w:hAnsiTheme="minorHAnsi" w:cstheme="minorHAnsi"/>
                <w:color w:val="D4D4D4"/>
                <w:sz w:val="18"/>
                <w:szCs w:val="18"/>
              </w:rPr>
              <w:t>define(</w:t>
            </w:r>
            <w:proofErr w:type="gramEnd"/>
            <w:r w:rsidRPr="00F64A85">
              <w:rPr>
                <w:rFonts w:asciiTheme="minorHAnsi" w:eastAsia="Consolas" w:hAnsiTheme="minorHAnsi" w:cstheme="minorHAnsi"/>
                <w:color w:val="D4D4D4"/>
                <w:sz w:val="18"/>
                <w:szCs w:val="18"/>
              </w:rPr>
              <w:t>['N/search', 'N/error'], function(search, error) {</w:t>
            </w:r>
          </w:p>
          <w:p w14:paraId="47930B6E"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6F"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function beforeSubmit(context) {</w:t>
            </w:r>
          </w:p>
          <w:p w14:paraId="47930B70"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if (</w:t>
            </w:r>
            <w:proofErr w:type="gramStart"/>
            <w:r w:rsidRPr="00F64A85">
              <w:rPr>
                <w:rFonts w:asciiTheme="minorHAnsi" w:eastAsia="Consolas" w:hAnsiTheme="minorHAnsi" w:cstheme="minorHAnsi"/>
                <w:color w:val="D4D4D4"/>
                <w:sz w:val="18"/>
                <w:szCs w:val="18"/>
              </w:rPr>
              <w:t>context.type</w:t>
            </w:r>
            <w:proofErr w:type="gramEnd"/>
            <w:r w:rsidRPr="00F64A85">
              <w:rPr>
                <w:rFonts w:asciiTheme="minorHAnsi" w:eastAsia="Consolas" w:hAnsiTheme="minorHAnsi" w:cstheme="minorHAnsi"/>
                <w:color w:val="D4D4D4"/>
                <w:sz w:val="18"/>
                <w:szCs w:val="18"/>
              </w:rPr>
              <w:t xml:space="preserve"> !== context.UserEventType.CREATE &amp;&amp;</w:t>
            </w:r>
          </w:p>
          <w:p w14:paraId="47930B71"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gramStart"/>
            <w:r w:rsidRPr="00F64A85">
              <w:rPr>
                <w:rFonts w:asciiTheme="minorHAnsi" w:eastAsia="Consolas" w:hAnsiTheme="minorHAnsi" w:cstheme="minorHAnsi"/>
                <w:color w:val="D4D4D4"/>
                <w:sz w:val="18"/>
                <w:szCs w:val="18"/>
              </w:rPr>
              <w:t>context.type</w:t>
            </w:r>
            <w:proofErr w:type="gramEnd"/>
            <w:r w:rsidRPr="00F64A85">
              <w:rPr>
                <w:rFonts w:asciiTheme="minorHAnsi" w:eastAsia="Consolas" w:hAnsiTheme="minorHAnsi" w:cstheme="minorHAnsi"/>
                <w:color w:val="D4D4D4"/>
                <w:sz w:val="18"/>
                <w:szCs w:val="18"/>
              </w:rPr>
              <w:t xml:space="preserve"> !== context.UserEventType.EDIT) return;</w:t>
            </w:r>
          </w:p>
          <w:p w14:paraId="47930B72"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73"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rec = </w:t>
            </w:r>
            <w:proofErr w:type="spellStart"/>
            <w:proofErr w:type="gramStart"/>
            <w:r w:rsidRPr="00F64A85">
              <w:rPr>
                <w:rFonts w:asciiTheme="minorHAnsi" w:eastAsia="Consolas" w:hAnsiTheme="minorHAnsi" w:cstheme="minorHAnsi"/>
                <w:color w:val="D4D4D4"/>
                <w:sz w:val="18"/>
                <w:szCs w:val="18"/>
              </w:rPr>
              <w:t>context.newRecord</w:t>
            </w:r>
            <w:proofErr w:type="spellEnd"/>
            <w:proofErr w:type="gramEnd"/>
            <w:r w:rsidRPr="00F64A85">
              <w:rPr>
                <w:rFonts w:asciiTheme="minorHAnsi" w:eastAsia="Consolas" w:hAnsiTheme="minorHAnsi" w:cstheme="minorHAnsi"/>
                <w:color w:val="D4D4D4"/>
                <w:sz w:val="18"/>
                <w:szCs w:val="18"/>
              </w:rPr>
              <w:t>;</w:t>
            </w:r>
          </w:p>
          <w:p w14:paraId="47930B74"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w:t>
            </w:r>
            <w:proofErr w:type="spellStart"/>
            <w:r w:rsidRPr="00F64A85">
              <w:rPr>
                <w:rFonts w:asciiTheme="minorHAnsi" w:eastAsia="Consolas" w:hAnsiTheme="minorHAnsi" w:cstheme="minorHAnsi"/>
                <w:color w:val="D4D4D4"/>
                <w:sz w:val="18"/>
                <w:szCs w:val="18"/>
              </w:rPr>
              <w:t>nexusId</w:t>
            </w:r>
            <w:proofErr w:type="spellEnd"/>
            <w:r w:rsidRPr="00F64A85">
              <w:rPr>
                <w:rFonts w:asciiTheme="minorHAnsi" w:eastAsia="Consolas" w:hAnsiTheme="minorHAnsi" w:cstheme="minorHAnsi"/>
                <w:color w:val="D4D4D4"/>
                <w:sz w:val="18"/>
                <w:szCs w:val="18"/>
              </w:rPr>
              <w:t xml:space="preserve"> = </w:t>
            </w:r>
            <w:proofErr w:type="spellStart"/>
            <w:proofErr w:type="gramStart"/>
            <w:r w:rsidRPr="00F64A85">
              <w:rPr>
                <w:rFonts w:asciiTheme="minorHAnsi" w:eastAsia="Consolas" w:hAnsiTheme="minorHAnsi" w:cstheme="minorHAnsi"/>
                <w:color w:val="D4D4D4"/>
                <w:sz w:val="18"/>
                <w:szCs w:val="18"/>
              </w:rPr>
              <w:t>rec.getValue</w:t>
            </w:r>
            <w:proofErr w:type="spellEnd"/>
            <w:proofErr w:type="gramEnd"/>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fieldId</w:t>
            </w:r>
            <w:proofErr w:type="spellEnd"/>
            <w:r w:rsidRPr="00F64A85">
              <w:rPr>
                <w:rFonts w:asciiTheme="minorHAnsi" w:eastAsia="Consolas" w:hAnsiTheme="minorHAnsi" w:cstheme="minorHAnsi"/>
                <w:color w:val="D4D4D4"/>
                <w:sz w:val="18"/>
                <w:szCs w:val="18"/>
              </w:rPr>
              <w:t>: 'nexus' });</w:t>
            </w:r>
          </w:p>
          <w:p w14:paraId="47930B75"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if </w:t>
            </w:r>
            <w:proofErr w:type="gramStart"/>
            <w:r w:rsidRPr="00F64A85">
              <w:rPr>
                <w:rFonts w:asciiTheme="minorHAnsi" w:eastAsia="Consolas" w:hAnsiTheme="minorHAnsi" w:cstheme="minorHAnsi"/>
                <w:color w:val="D4D4D4"/>
                <w:sz w:val="18"/>
                <w:szCs w:val="18"/>
              </w:rPr>
              <w:t>(!</w:t>
            </w:r>
            <w:proofErr w:type="spellStart"/>
            <w:r w:rsidRPr="00F64A85">
              <w:rPr>
                <w:rFonts w:asciiTheme="minorHAnsi" w:eastAsia="Consolas" w:hAnsiTheme="minorHAnsi" w:cstheme="minorHAnsi"/>
                <w:color w:val="D4D4D4"/>
                <w:sz w:val="18"/>
                <w:szCs w:val="18"/>
              </w:rPr>
              <w:t>nexusId</w:t>
            </w:r>
            <w:proofErr w:type="spellEnd"/>
            <w:proofErr w:type="gramEnd"/>
            <w:r w:rsidRPr="00F64A85">
              <w:rPr>
                <w:rFonts w:asciiTheme="minorHAnsi" w:eastAsia="Consolas" w:hAnsiTheme="minorHAnsi" w:cstheme="minorHAnsi"/>
                <w:color w:val="D4D4D4"/>
                <w:sz w:val="18"/>
                <w:szCs w:val="18"/>
              </w:rPr>
              <w:t>) return;</w:t>
            </w:r>
          </w:p>
          <w:p w14:paraId="47930B76"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77"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w:t>
            </w:r>
            <w:proofErr w:type="spellStart"/>
            <w:r w:rsidRPr="00F64A85">
              <w:rPr>
                <w:rFonts w:asciiTheme="minorHAnsi" w:eastAsia="Consolas" w:hAnsiTheme="minorHAnsi" w:cstheme="minorHAnsi"/>
                <w:color w:val="D4D4D4"/>
                <w:sz w:val="18"/>
                <w:szCs w:val="18"/>
              </w:rPr>
              <w:t>nexusLookup</w:t>
            </w:r>
            <w:proofErr w:type="spellEnd"/>
            <w:r w:rsidRPr="00F64A85">
              <w:rPr>
                <w:rFonts w:asciiTheme="minorHAnsi" w:eastAsia="Consolas" w:hAnsiTheme="minorHAnsi" w:cstheme="minorHAnsi"/>
                <w:color w:val="D4D4D4"/>
                <w:sz w:val="18"/>
                <w:szCs w:val="18"/>
              </w:rPr>
              <w:t xml:space="preserve"> = </w:t>
            </w:r>
            <w:proofErr w:type="spellStart"/>
            <w:proofErr w:type="gramStart"/>
            <w:r w:rsidRPr="00F64A85">
              <w:rPr>
                <w:rFonts w:asciiTheme="minorHAnsi" w:eastAsia="Consolas" w:hAnsiTheme="minorHAnsi" w:cstheme="minorHAnsi"/>
                <w:color w:val="D4D4D4"/>
                <w:sz w:val="18"/>
                <w:szCs w:val="18"/>
              </w:rPr>
              <w:t>search.lookupFields</w:t>
            </w:r>
            <w:proofErr w:type="spellEnd"/>
            <w:proofErr w:type="gramEnd"/>
            <w:r w:rsidRPr="00F64A85">
              <w:rPr>
                <w:rFonts w:asciiTheme="minorHAnsi" w:eastAsia="Consolas" w:hAnsiTheme="minorHAnsi" w:cstheme="minorHAnsi"/>
                <w:color w:val="D4D4D4"/>
                <w:sz w:val="18"/>
                <w:szCs w:val="18"/>
              </w:rPr>
              <w:t>({</w:t>
            </w:r>
          </w:p>
          <w:p w14:paraId="47930B78"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type: 'nexus',</w:t>
            </w:r>
          </w:p>
          <w:p w14:paraId="47930B79"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id: </w:t>
            </w:r>
            <w:proofErr w:type="spellStart"/>
            <w:r w:rsidRPr="00F64A85">
              <w:rPr>
                <w:rFonts w:asciiTheme="minorHAnsi" w:eastAsia="Consolas" w:hAnsiTheme="minorHAnsi" w:cstheme="minorHAnsi"/>
                <w:color w:val="D4D4D4"/>
                <w:sz w:val="18"/>
                <w:szCs w:val="18"/>
              </w:rPr>
              <w:t>nexusId</w:t>
            </w:r>
            <w:proofErr w:type="spellEnd"/>
            <w:r w:rsidRPr="00F64A85">
              <w:rPr>
                <w:rFonts w:asciiTheme="minorHAnsi" w:eastAsia="Consolas" w:hAnsiTheme="minorHAnsi" w:cstheme="minorHAnsi"/>
                <w:color w:val="D4D4D4"/>
                <w:sz w:val="18"/>
                <w:szCs w:val="18"/>
              </w:rPr>
              <w:t>,</w:t>
            </w:r>
          </w:p>
          <w:p w14:paraId="47930B7A"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columns: ['</w:t>
            </w:r>
            <w:proofErr w:type="spellStart"/>
            <w:r w:rsidRPr="00F64A85">
              <w:rPr>
                <w:rFonts w:asciiTheme="minorHAnsi" w:eastAsia="Consolas" w:hAnsiTheme="minorHAnsi" w:cstheme="minorHAnsi"/>
                <w:color w:val="D4D4D4"/>
                <w:sz w:val="18"/>
                <w:szCs w:val="18"/>
              </w:rPr>
              <w:t>taxexempt</w:t>
            </w:r>
            <w:proofErr w:type="spellEnd"/>
            <w:r w:rsidRPr="00F64A85">
              <w:rPr>
                <w:rFonts w:asciiTheme="minorHAnsi" w:eastAsia="Consolas" w:hAnsiTheme="minorHAnsi" w:cstheme="minorHAnsi"/>
                <w:color w:val="D4D4D4"/>
                <w:sz w:val="18"/>
                <w:szCs w:val="18"/>
              </w:rPr>
              <w:t>', '</w:t>
            </w:r>
            <w:proofErr w:type="spellStart"/>
            <w:r w:rsidRPr="00F64A85">
              <w:rPr>
                <w:rFonts w:asciiTheme="minorHAnsi" w:eastAsia="Consolas" w:hAnsiTheme="minorHAnsi" w:cstheme="minorHAnsi"/>
                <w:color w:val="D4D4D4"/>
                <w:sz w:val="18"/>
                <w:szCs w:val="18"/>
              </w:rPr>
              <w:t>taxagency</w:t>
            </w:r>
            <w:proofErr w:type="spellEnd"/>
            <w:r w:rsidRPr="00F64A85">
              <w:rPr>
                <w:rFonts w:asciiTheme="minorHAnsi" w:eastAsia="Consolas" w:hAnsiTheme="minorHAnsi" w:cstheme="minorHAnsi"/>
                <w:color w:val="D4D4D4"/>
                <w:sz w:val="18"/>
                <w:szCs w:val="18"/>
              </w:rPr>
              <w:t>']</w:t>
            </w:r>
          </w:p>
          <w:p w14:paraId="47930B7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7C"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7D"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w:t>
            </w:r>
            <w:proofErr w:type="spellStart"/>
            <w:r w:rsidRPr="00F64A85">
              <w:rPr>
                <w:rFonts w:asciiTheme="minorHAnsi" w:eastAsia="Consolas" w:hAnsiTheme="minorHAnsi" w:cstheme="minorHAnsi"/>
                <w:color w:val="D4D4D4"/>
                <w:sz w:val="18"/>
                <w:szCs w:val="18"/>
              </w:rPr>
              <w:t>isTaxExempt</w:t>
            </w:r>
            <w:proofErr w:type="spellEnd"/>
            <w:r w:rsidRPr="00F64A85">
              <w:rPr>
                <w:rFonts w:asciiTheme="minorHAnsi" w:eastAsia="Consolas" w:hAnsiTheme="minorHAnsi" w:cstheme="minorHAnsi"/>
                <w:color w:val="D4D4D4"/>
                <w:sz w:val="18"/>
                <w:szCs w:val="18"/>
              </w:rPr>
              <w:t xml:space="preserve"> = </w:t>
            </w:r>
            <w:proofErr w:type="spellStart"/>
            <w:r w:rsidRPr="00F64A85">
              <w:rPr>
                <w:rFonts w:asciiTheme="minorHAnsi" w:eastAsia="Consolas" w:hAnsiTheme="minorHAnsi" w:cstheme="minorHAnsi"/>
                <w:color w:val="D4D4D4"/>
                <w:sz w:val="18"/>
                <w:szCs w:val="18"/>
              </w:rPr>
              <w:t>nexusLookup.taxexempt</w:t>
            </w:r>
            <w:proofErr w:type="spellEnd"/>
            <w:r w:rsidRPr="00F64A85">
              <w:rPr>
                <w:rFonts w:asciiTheme="minorHAnsi" w:eastAsia="Consolas" w:hAnsiTheme="minorHAnsi" w:cstheme="minorHAnsi"/>
                <w:color w:val="D4D4D4"/>
                <w:sz w:val="18"/>
                <w:szCs w:val="18"/>
              </w:rPr>
              <w:t>;</w:t>
            </w:r>
          </w:p>
          <w:p w14:paraId="47930B7E"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var </w:t>
            </w:r>
            <w:proofErr w:type="spellStart"/>
            <w:r w:rsidRPr="00F64A85">
              <w:rPr>
                <w:rFonts w:asciiTheme="minorHAnsi" w:eastAsia="Consolas" w:hAnsiTheme="minorHAnsi" w:cstheme="minorHAnsi"/>
                <w:color w:val="D4D4D4"/>
                <w:sz w:val="18"/>
                <w:szCs w:val="18"/>
              </w:rPr>
              <w:t>hasTaxEngine</w:t>
            </w:r>
            <w:proofErr w:type="spellEnd"/>
            <w:r w:rsidRPr="00F64A85">
              <w:rPr>
                <w:rFonts w:asciiTheme="minorHAnsi" w:eastAsia="Consolas" w:hAnsiTheme="minorHAnsi" w:cstheme="minorHAnsi"/>
                <w:color w:val="D4D4D4"/>
                <w:sz w:val="18"/>
                <w:szCs w:val="18"/>
              </w:rPr>
              <w:t xml:space="preserve"> = </w:t>
            </w:r>
            <w:proofErr w:type="spellStart"/>
            <w:r w:rsidRPr="00F64A85">
              <w:rPr>
                <w:rFonts w:asciiTheme="minorHAnsi" w:eastAsia="Consolas" w:hAnsiTheme="minorHAnsi" w:cstheme="minorHAnsi"/>
                <w:color w:val="D4D4D4"/>
                <w:sz w:val="18"/>
                <w:szCs w:val="18"/>
              </w:rPr>
              <w:t>nexusLookup.taxagency</w:t>
            </w:r>
            <w:proofErr w:type="spellEnd"/>
            <w:r w:rsidRPr="00F64A85">
              <w:rPr>
                <w:rFonts w:asciiTheme="minorHAnsi" w:eastAsia="Consolas" w:hAnsiTheme="minorHAnsi" w:cstheme="minorHAnsi"/>
                <w:color w:val="D4D4D4"/>
                <w:sz w:val="18"/>
                <w:szCs w:val="18"/>
              </w:rPr>
              <w:t xml:space="preserve"> &amp;&amp; </w:t>
            </w:r>
            <w:proofErr w:type="spellStart"/>
            <w:proofErr w:type="gramStart"/>
            <w:r w:rsidRPr="00F64A85">
              <w:rPr>
                <w:rFonts w:asciiTheme="minorHAnsi" w:eastAsia="Consolas" w:hAnsiTheme="minorHAnsi" w:cstheme="minorHAnsi"/>
                <w:color w:val="D4D4D4"/>
                <w:sz w:val="18"/>
                <w:szCs w:val="18"/>
              </w:rPr>
              <w:t>nexusLookup.taxagency.length</w:t>
            </w:r>
            <w:proofErr w:type="spellEnd"/>
            <w:proofErr w:type="gramEnd"/>
            <w:r w:rsidRPr="00F64A85">
              <w:rPr>
                <w:rFonts w:asciiTheme="minorHAnsi" w:eastAsia="Consolas" w:hAnsiTheme="minorHAnsi" w:cstheme="minorHAnsi"/>
                <w:color w:val="D4D4D4"/>
                <w:sz w:val="18"/>
                <w:szCs w:val="18"/>
              </w:rPr>
              <w:t xml:space="preserve"> &gt; 0;</w:t>
            </w:r>
          </w:p>
          <w:p w14:paraId="47930B7F"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80"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if </w:t>
            </w:r>
            <w:proofErr w:type="gramStart"/>
            <w:r w:rsidRPr="00F64A85">
              <w:rPr>
                <w:rFonts w:asciiTheme="minorHAnsi" w:eastAsia="Consolas" w:hAnsiTheme="minorHAnsi" w:cstheme="minorHAnsi"/>
                <w:color w:val="D4D4D4"/>
                <w:sz w:val="18"/>
                <w:szCs w:val="18"/>
              </w:rPr>
              <w:t>(!</w:t>
            </w:r>
            <w:proofErr w:type="spellStart"/>
            <w:r w:rsidRPr="00F64A85">
              <w:rPr>
                <w:rFonts w:asciiTheme="minorHAnsi" w:eastAsia="Consolas" w:hAnsiTheme="minorHAnsi" w:cstheme="minorHAnsi"/>
                <w:color w:val="D4D4D4"/>
                <w:sz w:val="18"/>
                <w:szCs w:val="18"/>
              </w:rPr>
              <w:t>isTaxExempt</w:t>
            </w:r>
            <w:proofErr w:type="spellEnd"/>
            <w:proofErr w:type="gramEnd"/>
            <w:r w:rsidRPr="00F64A85">
              <w:rPr>
                <w:rFonts w:asciiTheme="minorHAnsi" w:eastAsia="Consolas" w:hAnsiTheme="minorHAnsi" w:cstheme="minorHAnsi"/>
                <w:color w:val="D4D4D4"/>
                <w:sz w:val="18"/>
                <w:szCs w:val="18"/>
              </w:rPr>
              <w:t xml:space="preserve"> &amp;&amp; !</w:t>
            </w:r>
            <w:proofErr w:type="spellStart"/>
            <w:r w:rsidRPr="00F64A85">
              <w:rPr>
                <w:rFonts w:asciiTheme="minorHAnsi" w:eastAsia="Consolas" w:hAnsiTheme="minorHAnsi" w:cstheme="minorHAnsi"/>
                <w:color w:val="D4D4D4"/>
                <w:sz w:val="18"/>
                <w:szCs w:val="18"/>
              </w:rPr>
              <w:t>hasTaxEngine</w:t>
            </w:r>
            <w:proofErr w:type="spellEnd"/>
            <w:r w:rsidRPr="00F64A85">
              <w:rPr>
                <w:rFonts w:asciiTheme="minorHAnsi" w:eastAsia="Consolas" w:hAnsiTheme="minorHAnsi" w:cstheme="minorHAnsi"/>
                <w:color w:val="D4D4D4"/>
                <w:sz w:val="18"/>
                <w:szCs w:val="18"/>
              </w:rPr>
              <w:t>) {</w:t>
            </w:r>
          </w:p>
          <w:p w14:paraId="47930B81"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throw </w:t>
            </w:r>
            <w:proofErr w:type="spellStart"/>
            <w:proofErr w:type="gramStart"/>
            <w:r w:rsidRPr="00F64A85">
              <w:rPr>
                <w:rFonts w:asciiTheme="minorHAnsi" w:eastAsia="Consolas" w:hAnsiTheme="minorHAnsi" w:cstheme="minorHAnsi"/>
                <w:color w:val="D4D4D4"/>
                <w:sz w:val="18"/>
                <w:szCs w:val="18"/>
              </w:rPr>
              <w:t>error.create</w:t>
            </w:r>
            <w:proofErr w:type="spellEnd"/>
            <w:proofErr w:type="gramEnd"/>
            <w:r w:rsidRPr="00F64A85">
              <w:rPr>
                <w:rFonts w:asciiTheme="minorHAnsi" w:eastAsia="Consolas" w:hAnsiTheme="minorHAnsi" w:cstheme="minorHAnsi"/>
                <w:color w:val="D4D4D4"/>
                <w:sz w:val="18"/>
                <w:szCs w:val="18"/>
              </w:rPr>
              <w:t>({</w:t>
            </w:r>
          </w:p>
          <w:p w14:paraId="47930B82"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name: 'NEXUS_MISSING_TAX_ENGINE',</w:t>
            </w:r>
          </w:p>
          <w:p w14:paraId="47930B83"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message: 'This nexus has no tax engine assigned and is not marked tax-exempt. ' +</w:t>
            </w:r>
          </w:p>
          <w:p w14:paraId="47930B84"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'Assign a tax engine on the subsidiary tax registration, or mark the nexus tax-exempt.',</w:t>
            </w:r>
          </w:p>
          <w:p w14:paraId="47930B85"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roofErr w:type="spellStart"/>
            <w:r w:rsidRPr="00F64A85">
              <w:rPr>
                <w:rFonts w:asciiTheme="minorHAnsi" w:eastAsia="Consolas" w:hAnsiTheme="minorHAnsi" w:cstheme="minorHAnsi"/>
                <w:color w:val="D4D4D4"/>
                <w:sz w:val="18"/>
                <w:szCs w:val="18"/>
              </w:rPr>
              <w:t>notifyOff</w:t>
            </w:r>
            <w:proofErr w:type="spellEnd"/>
            <w:r w:rsidRPr="00F64A85">
              <w:rPr>
                <w:rFonts w:asciiTheme="minorHAnsi" w:eastAsia="Consolas" w:hAnsiTheme="minorHAnsi" w:cstheme="minorHAnsi"/>
                <w:color w:val="D4D4D4"/>
                <w:sz w:val="18"/>
                <w:szCs w:val="18"/>
              </w:rPr>
              <w:t>: false</w:t>
            </w:r>
          </w:p>
          <w:p w14:paraId="47930B86"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87"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88"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89"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w:t>
            </w:r>
          </w:p>
          <w:p w14:paraId="47930B8A"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 xml:space="preserve">  return </w:t>
            </w:r>
            <w:proofErr w:type="gramStart"/>
            <w:r w:rsidRPr="00F64A85">
              <w:rPr>
                <w:rFonts w:asciiTheme="minorHAnsi" w:eastAsia="Consolas" w:hAnsiTheme="minorHAnsi" w:cstheme="minorHAnsi"/>
                <w:color w:val="D4D4D4"/>
                <w:sz w:val="18"/>
                <w:szCs w:val="18"/>
              </w:rPr>
              <w:t>{ beforeSubmit</w:t>
            </w:r>
            <w:proofErr w:type="gramEnd"/>
            <w:r w:rsidRPr="00F64A85">
              <w:rPr>
                <w:rFonts w:asciiTheme="minorHAnsi" w:eastAsia="Consolas" w:hAnsiTheme="minorHAnsi" w:cstheme="minorHAnsi"/>
                <w:color w:val="D4D4D4"/>
                <w:sz w:val="18"/>
                <w:szCs w:val="18"/>
              </w:rPr>
              <w:t>: beforeSubmit };</w:t>
            </w:r>
          </w:p>
          <w:p w14:paraId="47930B8B" w14:textId="77777777" w:rsidR="002E24A9" w:rsidRPr="00F64A85" w:rsidRDefault="00C15295">
            <w:pPr>
              <w:spacing w:after="20"/>
              <w:rPr>
                <w:rFonts w:asciiTheme="minorHAnsi" w:hAnsiTheme="minorHAnsi" w:cstheme="minorHAnsi"/>
              </w:rPr>
            </w:pPr>
            <w:r w:rsidRPr="00F64A85">
              <w:rPr>
                <w:rFonts w:asciiTheme="minorHAnsi" w:eastAsia="Consolas" w:hAnsiTheme="minorHAnsi" w:cstheme="minorHAnsi"/>
                <w:color w:val="D4D4D4"/>
                <w:sz w:val="18"/>
                <w:szCs w:val="18"/>
              </w:rPr>
              <w:t>});</w:t>
            </w:r>
          </w:p>
        </w:tc>
      </w:tr>
    </w:tbl>
    <w:p w14:paraId="47930B8D" w14:textId="77777777" w:rsidR="002E24A9" w:rsidRPr="00F64A85" w:rsidRDefault="00C15295">
      <w:pPr>
        <w:rPr>
          <w:rFonts w:asciiTheme="minorHAnsi" w:hAnsiTheme="minorHAnsi" w:cstheme="minorHAnsi"/>
        </w:rPr>
      </w:pPr>
      <w:r w:rsidRPr="00F64A85">
        <w:rPr>
          <w:rFonts w:asciiTheme="minorHAnsi" w:hAnsiTheme="minorHAnsi" w:cstheme="minorHAnsi"/>
        </w:rPr>
        <w:br w:type="page"/>
      </w:r>
    </w:p>
    <w:p w14:paraId="47930B8E" w14:textId="77777777" w:rsidR="002E24A9" w:rsidRPr="00F64A85" w:rsidRDefault="00C15295">
      <w:pPr>
        <w:pStyle w:val="Heading1"/>
        <w:spacing w:before="300" w:after="150"/>
        <w:rPr>
          <w:rFonts w:asciiTheme="minorHAnsi" w:hAnsiTheme="minorHAnsi" w:cstheme="minorHAnsi"/>
        </w:rPr>
      </w:pPr>
      <w:r w:rsidRPr="00F64A85">
        <w:rPr>
          <w:rFonts w:asciiTheme="minorHAnsi" w:hAnsiTheme="minorHAnsi" w:cstheme="minorHAnsi"/>
          <w:b/>
          <w:bCs/>
        </w:rPr>
        <w:lastRenderedPageBreak/>
        <w:t>8. Architect's Quick Reference — Tax Architecture Decision Framework</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5"/>
        <w:gridCol w:w="4345"/>
      </w:tblGrid>
      <w:tr w:rsidR="002E24A9" w:rsidRPr="00F64A85" w14:paraId="47930B91" w14:textId="77777777">
        <w:trPr>
          <w:tblHeader/>
        </w:trPr>
        <w:tc>
          <w:tcPr>
            <w:tcW w:w="3300" w:type="dxa"/>
            <w:shd w:val="clear" w:color="auto" w:fill="1F3864"/>
            <w:tcMar>
              <w:top w:w="80" w:type="dxa"/>
              <w:left w:w="100" w:type="dxa"/>
              <w:bottom w:w="80" w:type="dxa"/>
              <w:right w:w="100" w:type="dxa"/>
            </w:tcMar>
            <w:vAlign w:val="center"/>
          </w:tcPr>
          <w:p w14:paraId="47930B8F"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Design Decision</w:t>
            </w:r>
          </w:p>
        </w:tc>
        <w:tc>
          <w:tcPr>
            <w:tcW w:w="6050" w:type="dxa"/>
            <w:shd w:val="clear" w:color="auto" w:fill="1F3864"/>
            <w:tcMar>
              <w:top w:w="80" w:type="dxa"/>
              <w:left w:w="100" w:type="dxa"/>
              <w:bottom w:w="80" w:type="dxa"/>
              <w:right w:w="100" w:type="dxa"/>
            </w:tcMar>
            <w:vAlign w:val="center"/>
          </w:tcPr>
          <w:p w14:paraId="47930B90" w14:textId="77777777" w:rsidR="002E24A9" w:rsidRPr="00F64A85" w:rsidRDefault="00C15295">
            <w:pPr>
              <w:rPr>
                <w:rFonts w:asciiTheme="minorHAnsi" w:hAnsiTheme="minorHAnsi" w:cstheme="minorHAnsi"/>
              </w:rPr>
            </w:pPr>
            <w:r w:rsidRPr="00F64A85">
              <w:rPr>
                <w:rFonts w:asciiTheme="minorHAnsi" w:hAnsiTheme="minorHAnsi" w:cstheme="minorHAnsi"/>
                <w:b/>
                <w:bCs/>
                <w:color w:val="FFFFFF"/>
              </w:rPr>
              <w:t>Recommended Approach</w:t>
            </w:r>
          </w:p>
        </w:tc>
      </w:tr>
      <w:tr w:rsidR="002E24A9" w:rsidRPr="00F64A85" w14:paraId="47930B94" w14:textId="77777777">
        <w:tc>
          <w:tcPr>
            <w:tcW w:w="3300" w:type="dxa"/>
            <w:shd w:val="clear" w:color="auto" w:fill="FFFFFF"/>
            <w:tcMar>
              <w:top w:w="80" w:type="dxa"/>
              <w:left w:w="100" w:type="dxa"/>
              <w:bottom w:w="80" w:type="dxa"/>
              <w:right w:w="100" w:type="dxa"/>
            </w:tcMar>
          </w:tcPr>
          <w:p w14:paraId="47930B92" w14:textId="77777777" w:rsidR="002E24A9" w:rsidRPr="00F64A85" w:rsidRDefault="00C15295">
            <w:pPr>
              <w:rPr>
                <w:rFonts w:asciiTheme="minorHAnsi" w:hAnsiTheme="minorHAnsi" w:cstheme="minorHAnsi"/>
              </w:rPr>
            </w:pPr>
            <w:r w:rsidRPr="00F64A85">
              <w:rPr>
                <w:rFonts w:asciiTheme="minorHAnsi" w:hAnsiTheme="minorHAnsi" w:cstheme="minorHAnsi"/>
              </w:rPr>
              <w:t>New NetSuite implementation</w:t>
            </w:r>
          </w:p>
        </w:tc>
        <w:tc>
          <w:tcPr>
            <w:tcW w:w="6050" w:type="dxa"/>
            <w:shd w:val="clear" w:color="auto" w:fill="FFFFFF"/>
            <w:tcMar>
              <w:top w:w="80" w:type="dxa"/>
              <w:left w:w="100" w:type="dxa"/>
              <w:bottom w:w="80" w:type="dxa"/>
              <w:right w:w="100" w:type="dxa"/>
            </w:tcMar>
          </w:tcPr>
          <w:p w14:paraId="47930B93" w14:textId="77777777" w:rsidR="002E24A9" w:rsidRPr="00F64A85" w:rsidRDefault="00C15295">
            <w:pPr>
              <w:rPr>
                <w:rFonts w:asciiTheme="minorHAnsi" w:hAnsiTheme="minorHAnsi" w:cstheme="minorHAnsi"/>
              </w:rPr>
            </w:pPr>
            <w:r w:rsidRPr="00F64A85">
              <w:rPr>
                <w:rFonts w:asciiTheme="minorHAnsi" w:hAnsiTheme="minorHAnsi" w:cstheme="minorHAnsi"/>
              </w:rPr>
              <w:t>Set up on SuiteTax from the start — legacy tax is not offered for new accounts and lacks multi-registration and tax-engine flexibility</w:t>
            </w:r>
          </w:p>
        </w:tc>
      </w:tr>
      <w:tr w:rsidR="002E24A9" w:rsidRPr="00F64A85" w14:paraId="47930B97" w14:textId="77777777">
        <w:tc>
          <w:tcPr>
            <w:tcW w:w="3300" w:type="dxa"/>
            <w:shd w:val="clear" w:color="auto" w:fill="F2F2F2"/>
            <w:tcMar>
              <w:top w:w="80" w:type="dxa"/>
              <w:left w:w="100" w:type="dxa"/>
              <w:bottom w:w="80" w:type="dxa"/>
              <w:right w:w="100" w:type="dxa"/>
            </w:tcMar>
          </w:tcPr>
          <w:p w14:paraId="47930B95" w14:textId="77777777" w:rsidR="002E24A9" w:rsidRPr="00F64A85" w:rsidRDefault="00C15295">
            <w:pPr>
              <w:rPr>
                <w:rFonts w:asciiTheme="minorHAnsi" w:hAnsiTheme="minorHAnsi" w:cstheme="minorHAnsi"/>
              </w:rPr>
            </w:pPr>
            <w:r w:rsidRPr="00F64A85">
              <w:rPr>
                <w:rFonts w:asciiTheme="minorHAnsi" w:hAnsiTheme="minorHAnsi" w:cstheme="minorHAnsi"/>
              </w:rPr>
              <w:t>Existing legacy-tax account, no urgent driver</w:t>
            </w:r>
          </w:p>
        </w:tc>
        <w:tc>
          <w:tcPr>
            <w:tcW w:w="6050" w:type="dxa"/>
            <w:shd w:val="clear" w:color="auto" w:fill="F2F2F2"/>
            <w:tcMar>
              <w:top w:w="80" w:type="dxa"/>
              <w:left w:w="100" w:type="dxa"/>
              <w:bottom w:w="80" w:type="dxa"/>
              <w:right w:w="100" w:type="dxa"/>
            </w:tcMar>
          </w:tcPr>
          <w:p w14:paraId="47930B96" w14:textId="77777777" w:rsidR="002E24A9" w:rsidRPr="00F64A85" w:rsidRDefault="00C15295">
            <w:pPr>
              <w:rPr>
                <w:rFonts w:asciiTheme="minorHAnsi" w:hAnsiTheme="minorHAnsi" w:cstheme="minorHAnsi"/>
              </w:rPr>
            </w:pPr>
            <w:r w:rsidRPr="00F64A85">
              <w:rPr>
                <w:rFonts w:asciiTheme="minorHAnsi" w:hAnsiTheme="minorHAnsi" w:cstheme="minorHAnsi"/>
              </w:rPr>
              <w:t>Plan a SuiteTax migration proactively; test thoroughly in sandbox first since the switch is account-wide and non-reversible</w:t>
            </w:r>
          </w:p>
        </w:tc>
      </w:tr>
      <w:tr w:rsidR="002E24A9" w:rsidRPr="00F64A85" w14:paraId="47930B9A" w14:textId="77777777">
        <w:tc>
          <w:tcPr>
            <w:tcW w:w="3300" w:type="dxa"/>
            <w:shd w:val="clear" w:color="auto" w:fill="FFFFFF"/>
            <w:tcMar>
              <w:top w:w="80" w:type="dxa"/>
              <w:left w:w="100" w:type="dxa"/>
              <w:bottom w:w="80" w:type="dxa"/>
              <w:right w:w="100" w:type="dxa"/>
            </w:tcMar>
          </w:tcPr>
          <w:p w14:paraId="47930B98" w14:textId="77777777" w:rsidR="002E24A9" w:rsidRPr="00F64A85" w:rsidRDefault="00C15295">
            <w:pPr>
              <w:rPr>
                <w:rFonts w:asciiTheme="minorHAnsi" w:hAnsiTheme="minorHAnsi" w:cstheme="minorHAnsi"/>
              </w:rPr>
            </w:pPr>
            <w:r w:rsidRPr="00F64A85">
              <w:rPr>
                <w:rFonts w:asciiTheme="minorHAnsi" w:hAnsiTheme="minorHAnsi" w:cstheme="minorHAnsi"/>
              </w:rPr>
              <w:t>Multi-jurisdiction or multi-registration needs</w:t>
            </w:r>
          </w:p>
        </w:tc>
        <w:tc>
          <w:tcPr>
            <w:tcW w:w="6050" w:type="dxa"/>
            <w:shd w:val="clear" w:color="auto" w:fill="FFFFFF"/>
            <w:tcMar>
              <w:top w:w="80" w:type="dxa"/>
              <w:left w:w="100" w:type="dxa"/>
              <w:bottom w:w="80" w:type="dxa"/>
              <w:right w:w="100" w:type="dxa"/>
            </w:tcMar>
          </w:tcPr>
          <w:p w14:paraId="47930B99" w14:textId="77777777" w:rsidR="002E24A9" w:rsidRPr="00F64A85" w:rsidRDefault="00C15295">
            <w:pPr>
              <w:rPr>
                <w:rFonts w:asciiTheme="minorHAnsi" w:hAnsiTheme="minorHAnsi" w:cstheme="minorHAnsi"/>
              </w:rPr>
            </w:pPr>
            <w:r w:rsidRPr="00F64A85">
              <w:rPr>
                <w:rFonts w:asciiTheme="minorHAnsi" w:hAnsiTheme="minorHAnsi" w:cstheme="minorHAnsi"/>
              </w:rPr>
              <w:t>SuiteTax is required — legacy tax supports only a single registration per subsidiary and per customer/vendor</w:t>
            </w:r>
          </w:p>
        </w:tc>
      </w:tr>
      <w:tr w:rsidR="002E24A9" w:rsidRPr="00F64A85" w14:paraId="47930B9D" w14:textId="77777777">
        <w:tc>
          <w:tcPr>
            <w:tcW w:w="3300" w:type="dxa"/>
            <w:shd w:val="clear" w:color="auto" w:fill="F2F2F2"/>
            <w:tcMar>
              <w:top w:w="80" w:type="dxa"/>
              <w:left w:w="100" w:type="dxa"/>
              <w:bottom w:w="80" w:type="dxa"/>
              <w:right w:w="100" w:type="dxa"/>
            </w:tcMar>
          </w:tcPr>
          <w:p w14:paraId="47930B9B" w14:textId="77777777" w:rsidR="002E24A9" w:rsidRPr="00F64A85" w:rsidRDefault="00C15295">
            <w:pPr>
              <w:rPr>
                <w:rFonts w:asciiTheme="minorHAnsi" w:hAnsiTheme="minorHAnsi" w:cstheme="minorHAnsi"/>
              </w:rPr>
            </w:pPr>
            <w:r w:rsidRPr="00F64A85">
              <w:rPr>
                <w:rFonts w:asciiTheme="minorHAnsi" w:hAnsiTheme="minorHAnsi" w:cstheme="minorHAnsi"/>
              </w:rPr>
              <w:t>Complex tax logic (VAT recovery, reverse charge, withholding)</w:t>
            </w:r>
          </w:p>
        </w:tc>
        <w:tc>
          <w:tcPr>
            <w:tcW w:w="6050" w:type="dxa"/>
            <w:shd w:val="clear" w:color="auto" w:fill="F2F2F2"/>
            <w:tcMar>
              <w:top w:w="80" w:type="dxa"/>
              <w:left w:w="100" w:type="dxa"/>
              <w:bottom w:w="80" w:type="dxa"/>
              <w:right w:w="100" w:type="dxa"/>
            </w:tcMar>
          </w:tcPr>
          <w:p w14:paraId="47930B9C" w14:textId="77777777" w:rsidR="002E24A9" w:rsidRPr="00F64A85" w:rsidRDefault="00C15295">
            <w:pPr>
              <w:rPr>
                <w:rFonts w:asciiTheme="minorHAnsi" w:hAnsiTheme="minorHAnsi" w:cstheme="minorHAnsi"/>
              </w:rPr>
            </w:pPr>
            <w:r w:rsidRPr="00F64A85">
              <w:rPr>
                <w:rFonts w:asciiTheme="minorHAnsi" w:hAnsiTheme="minorHAnsi" w:cstheme="minorHAnsi"/>
              </w:rPr>
              <w:t>Use SuiteTax tax types with the appropriate special properties (Reverse Charge, Non-claimable, Does Not Add to Transaction) rather than approximating with legacy tax codes</w:t>
            </w:r>
          </w:p>
        </w:tc>
      </w:tr>
      <w:tr w:rsidR="002E24A9" w:rsidRPr="00F64A85" w14:paraId="47930BA0" w14:textId="77777777">
        <w:tc>
          <w:tcPr>
            <w:tcW w:w="3300" w:type="dxa"/>
            <w:shd w:val="clear" w:color="auto" w:fill="FFFFFF"/>
            <w:tcMar>
              <w:top w:w="80" w:type="dxa"/>
              <w:left w:w="100" w:type="dxa"/>
              <w:bottom w:w="80" w:type="dxa"/>
              <w:right w:w="100" w:type="dxa"/>
            </w:tcMar>
          </w:tcPr>
          <w:p w14:paraId="47930B9E" w14:textId="77777777" w:rsidR="002E24A9" w:rsidRPr="00F64A85" w:rsidRDefault="00C15295">
            <w:pPr>
              <w:rPr>
                <w:rFonts w:asciiTheme="minorHAnsi" w:hAnsiTheme="minorHAnsi" w:cstheme="minorHAnsi"/>
              </w:rPr>
            </w:pPr>
            <w:r w:rsidRPr="00F64A85">
              <w:rPr>
                <w:rFonts w:asciiTheme="minorHAnsi" w:hAnsiTheme="minorHAnsi" w:cstheme="minorHAnsi"/>
              </w:rPr>
              <w:t>Nexus with no reporting obligation</w:t>
            </w:r>
          </w:p>
        </w:tc>
        <w:tc>
          <w:tcPr>
            <w:tcW w:w="6050" w:type="dxa"/>
            <w:shd w:val="clear" w:color="auto" w:fill="FFFFFF"/>
            <w:tcMar>
              <w:top w:w="80" w:type="dxa"/>
              <w:left w:w="100" w:type="dxa"/>
              <w:bottom w:w="80" w:type="dxa"/>
              <w:right w:w="100" w:type="dxa"/>
            </w:tcMar>
          </w:tcPr>
          <w:p w14:paraId="47930B9F" w14:textId="77777777" w:rsidR="002E24A9" w:rsidRPr="00F64A85" w:rsidRDefault="00C15295">
            <w:pPr>
              <w:rPr>
                <w:rFonts w:asciiTheme="minorHAnsi" w:hAnsiTheme="minorHAnsi" w:cstheme="minorHAnsi"/>
              </w:rPr>
            </w:pPr>
            <w:r w:rsidRPr="00F64A85">
              <w:rPr>
                <w:rFonts w:asciiTheme="minorHAnsi" w:hAnsiTheme="minorHAnsi" w:cstheme="minorHAnsi"/>
              </w:rPr>
              <w:t>Mark the nexus tax-exempt on the subsidiary tax registration rather than configuring a full tax engine for it</w:t>
            </w:r>
          </w:p>
        </w:tc>
      </w:tr>
      <w:tr w:rsidR="002E24A9" w:rsidRPr="00F64A85" w14:paraId="47930BA3" w14:textId="77777777">
        <w:tc>
          <w:tcPr>
            <w:tcW w:w="3300" w:type="dxa"/>
            <w:shd w:val="clear" w:color="auto" w:fill="F2F2F2"/>
            <w:tcMar>
              <w:top w:w="80" w:type="dxa"/>
              <w:left w:w="100" w:type="dxa"/>
              <w:bottom w:w="80" w:type="dxa"/>
              <w:right w:w="100" w:type="dxa"/>
            </w:tcMar>
          </w:tcPr>
          <w:p w14:paraId="47930BA1" w14:textId="77777777" w:rsidR="002E24A9" w:rsidRPr="00F64A85" w:rsidRDefault="00C15295">
            <w:pPr>
              <w:rPr>
                <w:rFonts w:asciiTheme="minorHAnsi" w:hAnsiTheme="minorHAnsi" w:cstheme="minorHAnsi"/>
              </w:rPr>
            </w:pPr>
            <w:r w:rsidRPr="00F64A85">
              <w:rPr>
                <w:rFonts w:asciiTheme="minorHAnsi" w:hAnsiTheme="minorHAnsi" w:cstheme="minorHAnsi"/>
              </w:rPr>
              <w:t>Custom scripts reading tax fields</w:t>
            </w:r>
          </w:p>
        </w:tc>
        <w:tc>
          <w:tcPr>
            <w:tcW w:w="6050" w:type="dxa"/>
            <w:shd w:val="clear" w:color="auto" w:fill="F2F2F2"/>
            <w:tcMar>
              <w:top w:w="80" w:type="dxa"/>
              <w:left w:w="100" w:type="dxa"/>
              <w:bottom w:w="80" w:type="dxa"/>
              <w:right w:w="100" w:type="dxa"/>
            </w:tcMar>
          </w:tcPr>
          <w:p w14:paraId="47930BA2" w14:textId="77777777" w:rsidR="002E24A9" w:rsidRPr="00F64A85" w:rsidRDefault="00C15295">
            <w:pPr>
              <w:rPr>
                <w:rFonts w:asciiTheme="minorHAnsi" w:hAnsiTheme="minorHAnsi" w:cstheme="minorHAnsi"/>
              </w:rPr>
            </w:pPr>
            <w:r w:rsidRPr="00F64A85">
              <w:rPr>
                <w:rFonts w:asciiTheme="minorHAnsi" w:hAnsiTheme="minorHAnsi" w:cstheme="minorHAnsi"/>
              </w:rPr>
              <w:t xml:space="preserve">Branch logic on SuiteTax availability (for example, by checking whether the </w:t>
            </w:r>
            <w:proofErr w:type="spellStart"/>
            <w:r w:rsidRPr="00F64A85">
              <w:rPr>
                <w:rFonts w:asciiTheme="minorHAnsi" w:hAnsiTheme="minorHAnsi" w:cstheme="minorHAnsi"/>
              </w:rPr>
              <w:t>taxdetails</w:t>
            </w:r>
            <w:proofErr w:type="spellEnd"/>
            <w:r w:rsidRPr="00F64A85">
              <w:rPr>
                <w:rFonts w:asciiTheme="minorHAnsi" w:hAnsiTheme="minorHAnsi" w:cstheme="minorHAnsi"/>
              </w:rPr>
              <w:t xml:space="preserve"> sublist exists) since several legacy fields are unavailable once SuiteTax is enabled</w:t>
            </w:r>
          </w:p>
        </w:tc>
      </w:tr>
      <w:tr w:rsidR="002E24A9" w:rsidRPr="00F64A85" w14:paraId="47930BA6" w14:textId="77777777">
        <w:tc>
          <w:tcPr>
            <w:tcW w:w="3300" w:type="dxa"/>
            <w:shd w:val="clear" w:color="auto" w:fill="FFFFFF"/>
            <w:tcMar>
              <w:top w:w="80" w:type="dxa"/>
              <w:left w:w="100" w:type="dxa"/>
              <w:bottom w:w="80" w:type="dxa"/>
              <w:right w:w="100" w:type="dxa"/>
            </w:tcMar>
          </w:tcPr>
          <w:p w14:paraId="47930BA4" w14:textId="77777777" w:rsidR="002E24A9" w:rsidRPr="00F64A85" w:rsidRDefault="00C15295">
            <w:pPr>
              <w:rPr>
                <w:rFonts w:asciiTheme="minorHAnsi" w:hAnsiTheme="minorHAnsi" w:cstheme="minorHAnsi"/>
              </w:rPr>
            </w:pPr>
            <w:r w:rsidRPr="00F64A85">
              <w:rPr>
                <w:rFonts w:asciiTheme="minorHAnsi" w:hAnsiTheme="minorHAnsi" w:cstheme="minorHAnsi"/>
              </w:rPr>
              <w:t>Forcing a tax recalculation from script</w:t>
            </w:r>
          </w:p>
        </w:tc>
        <w:tc>
          <w:tcPr>
            <w:tcW w:w="6050" w:type="dxa"/>
            <w:shd w:val="clear" w:color="auto" w:fill="FFFFFF"/>
            <w:tcMar>
              <w:top w:w="80" w:type="dxa"/>
              <w:left w:w="100" w:type="dxa"/>
              <w:bottom w:w="80" w:type="dxa"/>
              <w:right w:w="100" w:type="dxa"/>
            </w:tcMar>
          </w:tcPr>
          <w:p w14:paraId="47930BA5" w14:textId="77777777" w:rsidR="002E24A9" w:rsidRPr="00F64A85" w:rsidRDefault="00C15295">
            <w:pPr>
              <w:rPr>
                <w:rFonts w:asciiTheme="minorHAnsi" w:hAnsiTheme="minorHAnsi" w:cstheme="minorHAnsi"/>
              </w:rPr>
            </w:pPr>
            <w:r w:rsidRPr="00F64A85">
              <w:rPr>
                <w:rFonts w:asciiTheme="minorHAnsi" w:hAnsiTheme="minorHAnsi" w:cstheme="minorHAnsi"/>
              </w:rPr>
              <w:t xml:space="preserve">Use the documented </w:t>
            </w:r>
            <w:proofErr w:type="spellStart"/>
            <w:r w:rsidRPr="00F64A85">
              <w:rPr>
                <w:rFonts w:asciiTheme="minorHAnsi" w:hAnsiTheme="minorHAnsi" w:cstheme="minorHAnsi"/>
              </w:rPr>
              <w:t>calculateTax</w:t>
            </w:r>
            <w:proofErr w:type="spellEnd"/>
            <w:r w:rsidRPr="00F64A85">
              <w:rPr>
                <w:rFonts w:asciiTheme="minorHAnsi" w:hAnsiTheme="minorHAnsi" w:cstheme="minorHAnsi"/>
              </w:rPr>
              <w:t xml:space="preserve"> macro via </w:t>
            </w:r>
            <w:proofErr w:type="spellStart"/>
            <w:proofErr w:type="gramStart"/>
            <w:r w:rsidRPr="00F64A85">
              <w:rPr>
                <w:rFonts w:asciiTheme="minorHAnsi" w:hAnsiTheme="minorHAnsi" w:cstheme="minorHAnsi"/>
              </w:rPr>
              <w:t>record.executeMacro</w:t>
            </w:r>
            <w:proofErr w:type="spellEnd"/>
            <w:proofErr w:type="gramEnd"/>
            <w:r w:rsidRPr="00F64A85">
              <w:rPr>
                <w:rFonts w:asciiTheme="minorHAnsi" w:hAnsiTheme="minorHAnsi" w:cstheme="minorHAnsi"/>
              </w:rPr>
              <w:t>() rather than re-implementing calculation logic</w:t>
            </w:r>
          </w:p>
        </w:tc>
      </w:tr>
      <w:tr w:rsidR="002E24A9" w:rsidRPr="00F64A85" w14:paraId="47930BA9" w14:textId="77777777">
        <w:tc>
          <w:tcPr>
            <w:tcW w:w="3300" w:type="dxa"/>
            <w:shd w:val="clear" w:color="auto" w:fill="F2F2F2"/>
            <w:tcMar>
              <w:top w:w="80" w:type="dxa"/>
              <w:left w:w="100" w:type="dxa"/>
              <w:bottom w:w="80" w:type="dxa"/>
              <w:right w:w="100" w:type="dxa"/>
            </w:tcMar>
          </w:tcPr>
          <w:p w14:paraId="47930BA7" w14:textId="77777777" w:rsidR="002E24A9" w:rsidRPr="00F64A85" w:rsidRDefault="00C15295">
            <w:pPr>
              <w:rPr>
                <w:rFonts w:asciiTheme="minorHAnsi" w:hAnsiTheme="minorHAnsi" w:cstheme="minorHAnsi"/>
              </w:rPr>
            </w:pPr>
            <w:r w:rsidRPr="00F64A85">
              <w:rPr>
                <w:rFonts w:asciiTheme="minorHAnsi" w:hAnsiTheme="minorHAnsi" w:cstheme="minorHAnsi"/>
              </w:rPr>
              <w:t>Reading calculated tax for reporting</w:t>
            </w:r>
          </w:p>
        </w:tc>
        <w:tc>
          <w:tcPr>
            <w:tcW w:w="6050" w:type="dxa"/>
            <w:shd w:val="clear" w:color="auto" w:fill="F2F2F2"/>
            <w:tcMar>
              <w:top w:w="80" w:type="dxa"/>
              <w:left w:w="100" w:type="dxa"/>
              <w:bottom w:w="80" w:type="dxa"/>
              <w:right w:w="100" w:type="dxa"/>
            </w:tcMar>
          </w:tcPr>
          <w:p w14:paraId="47930BA8" w14:textId="77777777" w:rsidR="002E24A9" w:rsidRPr="00F64A85" w:rsidRDefault="00C15295">
            <w:pPr>
              <w:rPr>
                <w:rFonts w:asciiTheme="minorHAnsi" w:hAnsiTheme="minorHAnsi" w:cstheme="minorHAnsi"/>
              </w:rPr>
            </w:pPr>
            <w:r w:rsidRPr="00F64A85">
              <w:rPr>
                <w:rFonts w:asciiTheme="minorHAnsi" w:hAnsiTheme="minorHAnsi" w:cstheme="minorHAnsi"/>
              </w:rPr>
              <w:t xml:space="preserve">Read the transaction's </w:t>
            </w:r>
            <w:proofErr w:type="spellStart"/>
            <w:r w:rsidRPr="00F64A85">
              <w:rPr>
                <w:rFonts w:asciiTheme="minorHAnsi" w:hAnsiTheme="minorHAnsi" w:cstheme="minorHAnsi"/>
              </w:rPr>
              <w:t>taxdetails</w:t>
            </w:r>
            <w:proofErr w:type="spellEnd"/>
            <w:r w:rsidRPr="00F64A85">
              <w:rPr>
                <w:rFonts w:asciiTheme="minorHAnsi" w:hAnsiTheme="minorHAnsi" w:cstheme="minorHAnsi"/>
              </w:rPr>
              <w:t xml:space="preserve"> sublist rather than the legacy tax code fields, which SuiteTax accounts no longer populate the same way</w:t>
            </w:r>
          </w:p>
        </w:tc>
      </w:tr>
      <w:tr w:rsidR="002E24A9" w:rsidRPr="00F64A85" w14:paraId="47930BAC" w14:textId="77777777">
        <w:tc>
          <w:tcPr>
            <w:tcW w:w="3300" w:type="dxa"/>
            <w:shd w:val="clear" w:color="auto" w:fill="FFFFFF"/>
            <w:tcMar>
              <w:top w:w="80" w:type="dxa"/>
              <w:left w:w="100" w:type="dxa"/>
              <w:bottom w:w="80" w:type="dxa"/>
              <w:right w:w="100" w:type="dxa"/>
            </w:tcMar>
          </w:tcPr>
          <w:p w14:paraId="47930BAA" w14:textId="77777777" w:rsidR="002E24A9" w:rsidRPr="00F64A85" w:rsidRDefault="00C15295">
            <w:pPr>
              <w:rPr>
                <w:rFonts w:asciiTheme="minorHAnsi" w:hAnsiTheme="minorHAnsi" w:cstheme="minorHAnsi"/>
              </w:rPr>
            </w:pPr>
            <w:r w:rsidRPr="00F64A85">
              <w:rPr>
                <w:rFonts w:asciiTheme="minorHAnsi" w:hAnsiTheme="minorHAnsi" w:cstheme="minorHAnsi"/>
              </w:rPr>
              <w:t>Third-party tax provider requirements</w:t>
            </w:r>
          </w:p>
        </w:tc>
        <w:tc>
          <w:tcPr>
            <w:tcW w:w="6050" w:type="dxa"/>
            <w:shd w:val="clear" w:color="auto" w:fill="FFFFFF"/>
            <w:tcMar>
              <w:top w:w="80" w:type="dxa"/>
              <w:left w:w="100" w:type="dxa"/>
              <w:bottom w:w="80" w:type="dxa"/>
              <w:right w:w="100" w:type="dxa"/>
            </w:tcMar>
          </w:tcPr>
          <w:p w14:paraId="47930BAB" w14:textId="77777777" w:rsidR="002E24A9" w:rsidRPr="00F64A85" w:rsidRDefault="00C15295">
            <w:pPr>
              <w:rPr>
                <w:rFonts w:asciiTheme="minorHAnsi" w:hAnsiTheme="minorHAnsi" w:cstheme="minorHAnsi"/>
              </w:rPr>
            </w:pPr>
            <w:r w:rsidRPr="00F64A85">
              <w:rPr>
                <w:rFonts w:asciiTheme="minorHAnsi" w:hAnsiTheme="minorHAnsi" w:cstheme="minorHAnsi"/>
              </w:rPr>
              <w:t>Confirm SuiteApp/bundle SuiteTax compatibility with the vendor before migration — some legacy bundles have separate SuiteTax equivalents that must be installed in their place</w:t>
            </w:r>
          </w:p>
        </w:tc>
      </w:tr>
      <w:tr w:rsidR="002E24A9" w:rsidRPr="00F64A85" w14:paraId="47930BAF" w14:textId="77777777">
        <w:tc>
          <w:tcPr>
            <w:tcW w:w="3300" w:type="dxa"/>
            <w:shd w:val="clear" w:color="auto" w:fill="F2F2F2"/>
            <w:tcMar>
              <w:top w:w="80" w:type="dxa"/>
              <w:left w:w="100" w:type="dxa"/>
              <w:bottom w:w="80" w:type="dxa"/>
              <w:right w:w="100" w:type="dxa"/>
            </w:tcMar>
          </w:tcPr>
          <w:p w14:paraId="47930BAD" w14:textId="77777777" w:rsidR="002E24A9" w:rsidRPr="00F64A85" w:rsidRDefault="00C15295">
            <w:pPr>
              <w:rPr>
                <w:rFonts w:asciiTheme="minorHAnsi" w:hAnsiTheme="minorHAnsi" w:cstheme="minorHAnsi"/>
              </w:rPr>
            </w:pPr>
            <w:r w:rsidRPr="00F64A85">
              <w:rPr>
                <w:rFonts w:asciiTheme="minorHAnsi" w:hAnsiTheme="minorHAnsi" w:cstheme="minorHAnsi"/>
              </w:rPr>
              <w:t>Governance before enabling SuiteTax</w:t>
            </w:r>
          </w:p>
        </w:tc>
        <w:tc>
          <w:tcPr>
            <w:tcW w:w="6050" w:type="dxa"/>
            <w:shd w:val="clear" w:color="auto" w:fill="F2F2F2"/>
            <w:tcMar>
              <w:top w:w="80" w:type="dxa"/>
              <w:left w:w="100" w:type="dxa"/>
              <w:bottom w:w="80" w:type="dxa"/>
              <w:right w:w="100" w:type="dxa"/>
            </w:tcMar>
          </w:tcPr>
          <w:p w14:paraId="47930BAE" w14:textId="77777777" w:rsidR="002E24A9" w:rsidRPr="00F64A85" w:rsidRDefault="00C15295">
            <w:pPr>
              <w:rPr>
                <w:rFonts w:asciiTheme="minorHAnsi" w:hAnsiTheme="minorHAnsi" w:cstheme="minorHAnsi"/>
              </w:rPr>
            </w:pPr>
            <w:r w:rsidRPr="00F64A85">
              <w:rPr>
                <w:rFonts w:asciiTheme="minorHAnsi" w:hAnsiTheme="minorHAnsi" w:cstheme="minorHAnsi"/>
              </w:rPr>
              <w:t>Complete the SuiteTax Implementation Checklist and test in sandbox, since incompatible features, preferences, and bundles must be manually resolved before the feature can be enabled</w:t>
            </w:r>
          </w:p>
        </w:tc>
      </w:tr>
      <w:tr w:rsidR="002E24A9" w:rsidRPr="00F64A85" w14:paraId="47930BB7" w14:textId="77777777">
        <w:trPr>
          <w:gridAfter w:val="1"/>
          <w:wAfter w:w="9250" w:type="dxa"/>
        </w:trPr>
        <w:tc>
          <w:tcPr>
            <w:tcW w:w="9350" w:type="dxa"/>
            <w:shd w:val="clear" w:color="auto" w:fill="DCE6F1"/>
            <w:tcMar>
              <w:top w:w="150" w:type="dxa"/>
              <w:left w:w="200" w:type="dxa"/>
              <w:bottom w:w="150" w:type="dxa"/>
              <w:right w:w="200" w:type="dxa"/>
            </w:tcMar>
          </w:tcPr>
          <w:p w14:paraId="47930BB0" w14:textId="77777777" w:rsidR="002E24A9" w:rsidRPr="00F64A85" w:rsidRDefault="00C15295">
            <w:pPr>
              <w:spacing w:after="100"/>
              <w:rPr>
                <w:rFonts w:asciiTheme="minorHAnsi" w:hAnsiTheme="minorHAnsi" w:cstheme="minorHAnsi"/>
              </w:rPr>
            </w:pPr>
            <w:r w:rsidRPr="00F64A85">
              <w:rPr>
                <w:rFonts w:ascii="Segoe UI Emoji" w:hAnsi="Segoe UI Emoji" w:cs="Segoe UI Emoji"/>
                <w:b/>
                <w:bCs/>
              </w:rPr>
              <w:t>📌</w:t>
            </w:r>
            <w:r w:rsidRPr="00F64A85">
              <w:rPr>
                <w:rFonts w:asciiTheme="minorHAnsi" w:hAnsiTheme="minorHAnsi" w:cstheme="minorHAnsi"/>
                <w:b/>
                <w:bCs/>
              </w:rPr>
              <w:t xml:space="preserve"> Week 21 Learning Summary — Tax Architecture (Legacy + SuiteTax)</w:t>
            </w:r>
          </w:p>
          <w:p w14:paraId="47930BB1"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Legacy tax is NetSuite's original framework — a single tax registration per subsidiary/entity, ship-to-only nexus determination, and no tax rate history — and it is now closed to new implementations</w:t>
            </w:r>
          </w:p>
          <w:p w14:paraId="47930BB2"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lastRenderedPageBreak/>
              <w:t>SuiteTax is an account-level, non-reversible framework built around a pluggable Tax Engine layer (native or partner), multiple effective-dated tax registrations, and richer nexus determination based on ship-to, location, billing, or subsidiary address</w:t>
            </w:r>
          </w:p>
          <w:p w14:paraId="47930BB3"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Tax Type and Tax Code are re-purposed in SuiteTax: the tax type controls GL posting and how tax affects the transaction total, while the tax code becomes a placeholder for the tax engine's response rather than carrying its own rate logic</w:t>
            </w:r>
          </w:p>
          <w:p w14:paraId="47930BB4"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Enabling SuiteTax locks taxable transactions until each subsidiary's nexus has a tax engine assigned (or is marked tax-exempt), and migrates the last three years of transactions asynchronously, with older ones migrated on demand</w:t>
            </w:r>
          </w:p>
          <w:p w14:paraId="47930BB5"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 xml:space="preserve">SuiteScript 2.1 exposes a documented </w:t>
            </w:r>
            <w:proofErr w:type="spellStart"/>
            <w:r w:rsidRPr="00F64A85">
              <w:rPr>
                <w:rFonts w:asciiTheme="minorHAnsi" w:hAnsiTheme="minorHAnsi" w:cstheme="minorHAnsi"/>
              </w:rPr>
              <w:t>calculateTax</w:t>
            </w:r>
            <w:proofErr w:type="spellEnd"/>
            <w:r w:rsidRPr="00F64A85">
              <w:rPr>
                <w:rFonts w:asciiTheme="minorHAnsi" w:hAnsiTheme="minorHAnsi" w:cstheme="minorHAnsi"/>
              </w:rPr>
              <w:t xml:space="preserve"> macro via </w:t>
            </w:r>
            <w:proofErr w:type="spellStart"/>
            <w:proofErr w:type="gramStart"/>
            <w:r w:rsidRPr="00F64A85">
              <w:rPr>
                <w:rFonts w:asciiTheme="minorHAnsi" w:hAnsiTheme="minorHAnsi" w:cstheme="minorHAnsi"/>
              </w:rPr>
              <w:t>record.executeMacro</w:t>
            </w:r>
            <w:proofErr w:type="spellEnd"/>
            <w:proofErr w:type="gramEnd"/>
            <w:r w:rsidRPr="00F64A85">
              <w:rPr>
                <w:rFonts w:asciiTheme="minorHAnsi" w:hAnsiTheme="minorHAnsi" w:cstheme="minorHAnsi"/>
              </w:rPr>
              <w:t xml:space="preserve">() for forcing recalculation, and a </w:t>
            </w:r>
            <w:proofErr w:type="spellStart"/>
            <w:r w:rsidRPr="00F64A85">
              <w:rPr>
                <w:rFonts w:asciiTheme="minorHAnsi" w:hAnsiTheme="minorHAnsi" w:cstheme="minorHAnsi"/>
              </w:rPr>
              <w:t>taxdetails</w:t>
            </w:r>
            <w:proofErr w:type="spellEnd"/>
            <w:r w:rsidRPr="00F64A85">
              <w:rPr>
                <w:rFonts w:asciiTheme="minorHAnsi" w:hAnsiTheme="minorHAnsi" w:cstheme="minorHAnsi"/>
              </w:rPr>
              <w:t xml:space="preserve"> sublist for reading calculated tax lines, both specific to SuiteTax-enabled accounts</w:t>
            </w:r>
          </w:p>
          <w:p w14:paraId="47930BB6" w14:textId="77777777" w:rsidR="002E24A9" w:rsidRPr="00F64A85" w:rsidRDefault="00C15295">
            <w:pPr>
              <w:pStyle w:val="ListParagraph"/>
              <w:numPr>
                <w:ilvl w:val="0"/>
                <w:numId w:val="1"/>
              </w:numPr>
              <w:spacing w:after="60"/>
              <w:rPr>
                <w:rFonts w:asciiTheme="minorHAnsi" w:hAnsiTheme="minorHAnsi" w:cstheme="minorHAnsi"/>
              </w:rPr>
            </w:pPr>
            <w:r w:rsidRPr="00F64A85">
              <w:rPr>
                <w:rFonts w:asciiTheme="minorHAnsi" w:hAnsiTheme="minorHAnsi" w:cstheme="minorHAnsi"/>
              </w:rPr>
              <w:t>This document intentionally keeps to the publicly documented Oracle NetSuite tax architecture and does not reference any organization-specific tax configuration</w:t>
            </w:r>
          </w:p>
        </w:tc>
      </w:tr>
    </w:tbl>
    <w:p w14:paraId="47930BB8" w14:textId="77777777" w:rsidR="003D0802" w:rsidRPr="00F64A85" w:rsidRDefault="003D0802">
      <w:pPr>
        <w:rPr>
          <w:rFonts w:asciiTheme="minorHAnsi" w:hAnsiTheme="minorHAnsi" w:cstheme="minorHAnsi"/>
        </w:rPr>
      </w:pPr>
    </w:p>
    <w:sectPr w:rsidR="003D0802" w:rsidRPr="00F64A85" w:rsidSect="00697A35">
      <w:headerReference w:type="even" r:id="rId8"/>
      <w:headerReference w:type="default" r:id="rId9"/>
      <w:footerReference w:type="default" r:id="rId10"/>
      <w:headerReference w:type="first" r:id="rId11"/>
      <w:pgSz w:w="12240" w:h="15840"/>
      <w:pgMar w:top="1000" w:right="1080" w:bottom="100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F4CBF" w14:textId="77777777" w:rsidR="0076297C" w:rsidRDefault="0076297C" w:rsidP="0076297C">
      <w:r>
        <w:separator/>
      </w:r>
    </w:p>
  </w:endnote>
  <w:endnote w:type="continuationSeparator" w:id="0">
    <w:p w14:paraId="021D103F" w14:textId="77777777" w:rsidR="0076297C" w:rsidRDefault="0076297C" w:rsidP="00762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11232" w14:textId="77777777" w:rsidR="00480BB2" w:rsidRDefault="00480BB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6057152" w14:textId="77777777" w:rsidR="00DA6697" w:rsidRDefault="00DA6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A2045C" w14:textId="77777777" w:rsidR="0076297C" w:rsidRDefault="0076297C" w:rsidP="0076297C">
      <w:r>
        <w:separator/>
      </w:r>
    </w:p>
  </w:footnote>
  <w:footnote w:type="continuationSeparator" w:id="0">
    <w:p w14:paraId="5930EDF4" w14:textId="77777777" w:rsidR="0076297C" w:rsidRDefault="0076297C" w:rsidP="00762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79F88" w14:textId="69AAFF7A" w:rsidR="00DA6697" w:rsidRDefault="00BC3CB8">
    <w:pPr>
      <w:pStyle w:val="Header"/>
    </w:pPr>
    <w:r>
      <w:rPr>
        <w:noProof/>
      </w:rPr>
      <w:pict w14:anchorId="31E999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376016" o:spid="_x0000_s2050" type="#_x0000_t136" style="position:absolute;margin-left:0;margin-top:0;width:596pt;height:159.5pt;rotation:315;z-index:-251655168;mso-position-horizontal:center;mso-position-horizontal-relative:margin;mso-position-vertical:center;mso-position-vertical-relative:margin" o:allowincell="f" fillcolor="silver" stroked="f">
          <v:fill opacity=".5"/>
          <v:textpath style="font-family:&quot;Times New Roman&quot;;font-size:2in" string="WEEK 2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6ACFF" w14:textId="3B630D23" w:rsidR="0076297C" w:rsidRDefault="00BC3CB8">
    <w:pPr>
      <w:pStyle w:val="Header"/>
    </w:pPr>
    <w:r>
      <w:rPr>
        <w:noProof/>
      </w:rPr>
      <w:pict w14:anchorId="1834C4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376017" o:spid="_x0000_s2051" type="#_x0000_t136" style="position:absolute;margin-left:0;margin-top:0;width:596pt;height:159.5pt;rotation:315;z-index:-251653120;mso-position-horizontal:center;mso-position-horizontal-relative:margin;mso-position-vertical:center;mso-position-vertical-relative:margin" o:allowincell="f" fillcolor="silver" stroked="f">
          <v:fill opacity=".5"/>
          <v:textpath style="font-family:&quot;Times New Roman&quot;;font-size:2in" string="WEEK 21"/>
          <w10:wrap anchorx="margin" anchory="margin"/>
        </v:shape>
      </w:pict>
    </w:r>
    <w:r w:rsidR="0076297C" w:rsidRPr="00CA4A55">
      <w:rPr>
        <w:noProof/>
      </w:rPr>
      <w:drawing>
        <wp:inline distT="0" distB="0" distL="0" distR="0" wp14:anchorId="7CFB74DB" wp14:editId="55BEEE44">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sidR="0076297C">
      <w:rPr>
        <w:noProof/>
      </w:rPr>
      <w:t xml:space="preserve">                                                                                                      </w:t>
    </w:r>
    <w:r w:rsidR="0076297C" w:rsidRPr="00887CBE">
      <w:rPr>
        <w:noProof/>
      </w:rPr>
      <w:drawing>
        <wp:inline distT="0" distB="0" distL="0" distR="0" wp14:anchorId="79C1ABBF" wp14:editId="15E6B740">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D6EC9" w14:textId="4FBEB526" w:rsidR="00DA6697" w:rsidRDefault="00BC3CB8">
    <w:pPr>
      <w:pStyle w:val="Header"/>
    </w:pPr>
    <w:r>
      <w:rPr>
        <w:noProof/>
      </w:rPr>
      <w:pict w14:anchorId="3412C9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376015" o:spid="_x0000_s2049" type="#_x0000_t136" style="position:absolute;margin-left:0;margin-top:0;width:596pt;height:159.5pt;rotation:315;z-index:-251657216;mso-position-horizontal:center;mso-position-horizontal-relative:margin;mso-position-vertical:center;mso-position-vertical-relative:margin" o:allowincell="f" fillcolor="silver" stroked="f">
          <v:fill opacity=".5"/>
          <v:textpath style="font-family:&quot;Times New Roman&quot;;font-size:2in" string="WEEK 2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F757CE"/>
    <w:multiLevelType w:val="hybridMultilevel"/>
    <w:tmpl w:val="643E1B38"/>
    <w:lvl w:ilvl="0" w:tplc="8A1CE334">
      <w:start w:val="1"/>
      <w:numFmt w:val="bullet"/>
      <w:lvlText w:val="●"/>
      <w:lvlJc w:val="left"/>
      <w:pPr>
        <w:ind w:left="720" w:hanging="360"/>
      </w:pPr>
    </w:lvl>
    <w:lvl w:ilvl="1" w:tplc="FC62F854">
      <w:start w:val="1"/>
      <w:numFmt w:val="bullet"/>
      <w:lvlText w:val="○"/>
      <w:lvlJc w:val="left"/>
      <w:pPr>
        <w:ind w:left="1440" w:hanging="360"/>
      </w:pPr>
    </w:lvl>
    <w:lvl w:ilvl="2" w:tplc="3A624ABE">
      <w:start w:val="1"/>
      <w:numFmt w:val="bullet"/>
      <w:lvlText w:val="■"/>
      <w:lvlJc w:val="left"/>
      <w:pPr>
        <w:ind w:left="2160" w:hanging="360"/>
      </w:pPr>
    </w:lvl>
    <w:lvl w:ilvl="3" w:tplc="DF4269DE">
      <w:start w:val="1"/>
      <w:numFmt w:val="bullet"/>
      <w:lvlText w:val="●"/>
      <w:lvlJc w:val="left"/>
      <w:pPr>
        <w:ind w:left="2880" w:hanging="360"/>
      </w:pPr>
    </w:lvl>
    <w:lvl w:ilvl="4" w:tplc="CC56993C">
      <w:start w:val="1"/>
      <w:numFmt w:val="bullet"/>
      <w:lvlText w:val="○"/>
      <w:lvlJc w:val="left"/>
      <w:pPr>
        <w:ind w:left="3600" w:hanging="360"/>
      </w:pPr>
    </w:lvl>
    <w:lvl w:ilvl="5" w:tplc="1E16A146">
      <w:start w:val="1"/>
      <w:numFmt w:val="bullet"/>
      <w:lvlText w:val="■"/>
      <w:lvlJc w:val="left"/>
      <w:pPr>
        <w:ind w:left="4320" w:hanging="360"/>
      </w:pPr>
    </w:lvl>
    <w:lvl w:ilvl="6" w:tplc="6FB61C76">
      <w:start w:val="1"/>
      <w:numFmt w:val="bullet"/>
      <w:lvlText w:val="●"/>
      <w:lvlJc w:val="left"/>
      <w:pPr>
        <w:ind w:left="5040" w:hanging="360"/>
      </w:pPr>
    </w:lvl>
    <w:lvl w:ilvl="7" w:tplc="243C65B8">
      <w:start w:val="1"/>
      <w:numFmt w:val="bullet"/>
      <w:lvlText w:val="●"/>
      <w:lvlJc w:val="left"/>
      <w:pPr>
        <w:ind w:left="5760" w:hanging="360"/>
      </w:pPr>
    </w:lvl>
    <w:lvl w:ilvl="8" w:tplc="BE08AE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4A9"/>
    <w:rsid w:val="000F5A2C"/>
    <w:rsid w:val="00197ECF"/>
    <w:rsid w:val="001B7ECF"/>
    <w:rsid w:val="0028182D"/>
    <w:rsid w:val="002E24A9"/>
    <w:rsid w:val="00312FF0"/>
    <w:rsid w:val="003D0802"/>
    <w:rsid w:val="0041192E"/>
    <w:rsid w:val="00480BB2"/>
    <w:rsid w:val="004A2803"/>
    <w:rsid w:val="00697A35"/>
    <w:rsid w:val="0076297C"/>
    <w:rsid w:val="00BC3CB8"/>
    <w:rsid w:val="00C15295"/>
    <w:rsid w:val="00DA6697"/>
    <w:rsid w:val="00F64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930A23"/>
  <w15:docId w15:val="{9487B13F-3378-4AF4-A939-EFA84138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297C"/>
    <w:pPr>
      <w:tabs>
        <w:tab w:val="center" w:pos="4513"/>
        <w:tab w:val="right" w:pos="9026"/>
      </w:tabs>
    </w:pPr>
  </w:style>
  <w:style w:type="character" w:customStyle="1" w:styleId="HeaderChar">
    <w:name w:val="Header Char"/>
    <w:basedOn w:val="DefaultParagraphFont"/>
    <w:link w:val="Header"/>
    <w:uiPriority w:val="99"/>
    <w:rsid w:val="0076297C"/>
  </w:style>
  <w:style w:type="paragraph" w:styleId="Footer">
    <w:name w:val="footer"/>
    <w:basedOn w:val="Normal"/>
    <w:link w:val="FooterChar"/>
    <w:uiPriority w:val="99"/>
    <w:unhideWhenUsed/>
    <w:rsid w:val="0076297C"/>
    <w:pPr>
      <w:tabs>
        <w:tab w:val="center" w:pos="4513"/>
        <w:tab w:val="right" w:pos="9026"/>
      </w:tabs>
    </w:pPr>
  </w:style>
  <w:style w:type="character" w:customStyle="1" w:styleId="FooterChar">
    <w:name w:val="Footer Char"/>
    <w:basedOn w:val="DefaultParagraphFont"/>
    <w:link w:val="Footer"/>
    <w:uiPriority w:val="99"/>
    <w:rsid w:val="00762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3440</Words>
  <Characters>19609</Characters>
  <Application>Microsoft Office Word</Application>
  <DocSecurity>0</DocSecurity>
  <Lines>163</Lines>
  <Paragraphs>46</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20</cp:revision>
  <dcterms:created xsi:type="dcterms:W3CDTF">2026-07-12T10:53:00Z</dcterms:created>
  <dcterms:modified xsi:type="dcterms:W3CDTF">2026-07-12T11:12:00Z</dcterms:modified>
</cp:coreProperties>
</file>