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64"/>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8686B" w14:paraId="67DECD24" w14:textId="77777777" w:rsidTr="00AB58A1">
        <w:tc>
          <w:tcPr>
            <w:tcW w:w="0" w:type="auto"/>
            <w:tcBorders>
              <w:top w:val="none" w:sz="0" w:space="0" w:color="FFFFFF"/>
              <w:left w:val="none" w:sz="0" w:space="0" w:color="FFFFFF"/>
              <w:bottom w:val="none" w:sz="0" w:space="0" w:color="FFFFFF"/>
              <w:right w:val="none" w:sz="0" w:space="0" w:color="FFFFFF"/>
            </w:tcBorders>
            <w:shd w:val="clear" w:color="auto" w:fill="1F3864"/>
            <w:tcMar>
              <w:top w:w="320" w:type="dxa"/>
              <w:left w:w="360" w:type="dxa"/>
              <w:bottom w:w="320" w:type="dxa"/>
              <w:right w:w="360" w:type="dxa"/>
            </w:tcMar>
          </w:tcPr>
          <w:p w14:paraId="67DECD21" w14:textId="77777777" w:rsidR="00D8686B" w:rsidRDefault="003E2944" w:rsidP="00685AC5">
            <w:pPr>
              <w:spacing w:after="120"/>
              <w:jc w:val="center"/>
            </w:pPr>
            <w:r>
              <w:rPr>
                <w:b/>
                <w:bCs/>
                <w:color w:val="FFFFFF"/>
                <w:sz w:val="40"/>
                <w:szCs w:val="40"/>
              </w:rPr>
              <w:t>Multi-Currency &amp; Revaluation in NetSuite</w:t>
            </w:r>
          </w:p>
          <w:p w14:paraId="67DECD22" w14:textId="77777777" w:rsidR="00D8686B" w:rsidRPr="006F2068" w:rsidRDefault="003E2944" w:rsidP="00685AC5">
            <w:pPr>
              <w:spacing w:after="40"/>
              <w:jc w:val="center"/>
              <w:rPr>
                <w:sz w:val="28"/>
                <w:szCs w:val="28"/>
              </w:rPr>
            </w:pPr>
            <w:r w:rsidRPr="006F2068">
              <w:rPr>
                <w:color w:val="D9E2F3"/>
                <w:sz w:val="28"/>
                <w:szCs w:val="28"/>
              </w:rPr>
              <w:t>Base Currency, Currency Exchange Rates, Foreign Currency Revaluation, Consolidated Exchange Rates, and SuiteScript Currency Automation</w:t>
            </w:r>
          </w:p>
          <w:p w14:paraId="67DECD23" w14:textId="77777777" w:rsidR="00D8686B" w:rsidRDefault="003E2944" w:rsidP="00685AC5">
            <w:pPr>
              <w:spacing w:before="200"/>
              <w:jc w:val="center"/>
            </w:pPr>
            <w:r w:rsidRPr="006F2068">
              <w:rPr>
                <w:b/>
                <w:bCs/>
                <w:color w:val="F5C542"/>
                <w:sz w:val="32"/>
                <w:szCs w:val="32"/>
              </w:rPr>
              <w:t>Weekly Learning Series — Week 23</w:t>
            </w:r>
          </w:p>
        </w:tc>
      </w:tr>
    </w:tbl>
    <w:p w14:paraId="67DECD25" w14:textId="0A5E184B" w:rsidR="00D8686B" w:rsidRDefault="00D8686B">
      <w:pPr>
        <w:spacing w:before="200" w:after="200"/>
        <w:jc w:val="center"/>
      </w:pPr>
    </w:p>
    <w:p w14:paraId="656FAE21" w14:textId="77777777" w:rsidR="00F05152" w:rsidRDefault="00F05152" w:rsidP="00F05152"/>
    <w:p w14:paraId="4F1D82E2" w14:textId="77777777" w:rsidR="0076717B" w:rsidRDefault="0076717B" w:rsidP="00F05152">
      <w:pPr>
        <w:rPr>
          <w:b/>
          <w:bCs/>
          <w:color w:val="1F3864"/>
        </w:rPr>
      </w:pPr>
    </w:p>
    <w:p w14:paraId="3520DE75" w14:textId="510BDCAC" w:rsidR="00F05152" w:rsidRDefault="0076717B" w:rsidP="00F05152">
      <w:pPr>
        <w:rPr>
          <w:b/>
          <w:bCs/>
          <w:color w:val="1F3864"/>
        </w:rPr>
      </w:pPr>
      <w:r w:rsidRPr="0076717B">
        <w:rPr>
          <w:b/>
          <w:bCs/>
          <w:color w:val="1F3864"/>
        </w:rPr>
        <w:drawing>
          <wp:inline distT="0" distB="0" distL="0" distR="0" wp14:anchorId="44595115" wp14:editId="0F4A2024">
            <wp:extent cx="6400800" cy="4991100"/>
            <wp:effectExtent l="0" t="0" r="0" b="0"/>
            <wp:docPr id="78659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6132" name=""/>
                    <pic:cNvPicPr/>
                  </pic:nvPicPr>
                  <pic:blipFill>
                    <a:blip r:embed="rId7"/>
                    <a:stretch>
                      <a:fillRect/>
                    </a:stretch>
                  </pic:blipFill>
                  <pic:spPr>
                    <a:xfrm>
                      <a:off x="0" y="0"/>
                      <a:ext cx="6400800" cy="4991100"/>
                    </a:xfrm>
                    <a:prstGeom prst="rect">
                      <a:avLst/>
                    </a:prstGeom>
                  </pic:spPr>
                </pic:pic>
              </a:graphicData>
            </a:graphic>
          </wp:inline>
        </w:drawing>
      </w:r>
    </w:p>
    <w:p w14:paraId="1297FE56" w14:textId="77777777" w:rsidR="00F05152" w:rsidRDefault="00F05152" w:rsidP="00F05152">
      <w:pPr>
        <w:rPr>
          <w:b/>
          <w:bCs/>
          <w:color w:val="1F3864"/>
        </w:rPr>
      </w:pPr>
    </w:p>
    <w:p w14:paraId="129704E1" w14:textId="77777777" w:rsidR="00F05152" w:rsidRDefault="00F05152" w:rsidP="00F05152">
      <w:pPr>
        <w:rPr>
          <w:b/>
          <w:bCs/>
          <w:color w:val="1F3864"/>
        </w:rPr>
      </w:pPr>
    </w:p>
    <w:p w14:paraId="73317D71" w14:textId="77777777" w:rsidR="00F05152" w:rsidRDefault="00F05152" w:rsidP="00F05152">
      <w:pPr>
        <w:rPr>
          <w:b/>
          <w:bCs/>
          <w:color w:val="1F3864"/>
        </w:rPr>
      </w:pPr>
    </w:p>
    <w:p w14:paraId="20F6F101" w14:textId="77777777" w:rsidR="00F05152" w:rsidRDefault="00F05152" w:rsidP="00F05152">
      <w:pPr>
        <w:rPr>
          <w:b/>
          <w:bCs/>
          <w:color w:val="1F3864"/>
        </w:rPr>
      </w:pPr>
    </w:p>
    <w:p w14:paraId="5C3C4578" w14:textId="77777777" w:rsidR="00F05152" w:rsidRDefault="00F05152" w:rsidP="00F05152">
      <w:pPr>
        <w:rPr>
          <w:b/>
          <w:bCs/>
          <w:color w:val="1F3864"/>
        </w:rPr>
      </w:pPr>
    </w:p>
    <w:p w14:paraId="6F5A14AC" w14:textId="77777777" w:rsidR="00F05152" w:rsidRDefault="00F05152" w:rsidP="00F05152">
      <w:pPr>
        <w:rPr>
          <w:b/>
          <w:bCs/>
          <w:color w:val="1F3864"/>
        </w:rPr>
      </w:pPr>
    </w:p>
    <w:p w14:paraId="13AEB8A8" w14:textId="77777777" w:rsidR="00F05152" w:rsidRDefault="00F05152" w:rsidP="00F05152">
      <w:pPr>
        <w:rPr>
          <w:b/>
          <w:bCs/>
          <w:color w:val="1F3864"/>
        </w:rPr>
      </w:pPr>
    </w:p>
    <w:p w14:paraId="52319900" w14:textId="77777777" w:rsidR="00F05152" w:rsidRDefault="00F05152" w:rsidP="00F05152">
      <w:pPr>
        <w:rPr>
          <w:b/>
          <w:bCs/>
          <w:color w:val="1F3864"/>
        </w:rPr>
      </w:pPr>
    </w:p>
    <w:p w14:paraId="67DECD27" w14:textId="47E18BE1" w:rsidR="00D8686B" w:rsidRPr="00FB31D9" w:rsidRDefault="003E2944" w:rsidP="00F05152">
      <w:pPr>
        <w:rPr>
          <w:sz w:val="32"/>
          <w:szCs w:val="32"/>
        </w:rPr>
      </w:pPr>
      <w:r w:rsidRPr="00FB31D9">
        <w:rPr>
          <w:b/>
          <w:bCs/>
          <w:color w:val="1F3864"/>
          <w:sz w:val="32"/>
          <w:szCs w:val="32"/>
        </w:rPr>
        <w:t>1. Introduction</w:t>
      </w:r>
    </w:p>
    <w:p w14:paraId="67DECD28" w14:textId="77777777" w:rsidR="00D8686B" w:rsidRDefault="003E2944">
      <w:pPr>
        <w:spacing w:after="160" w:line="276" w:lineRule="auto"/>
      </w:pPr>
      <w:r>
        <w:t xml:space="preserve">Week 22 went one level deeper into NetSuite’s </w:t>
      </w:r>
      <w:proofErr w:type="spellStart"/>
      <w:r>
        <w:t>SuiteTax</w:t>
      </w:r>
      <w:proofErr w:type="spellEnd"/>
      <w:r>
        <w:t xml:space="preserve"> architecture, focusing on how the India Localization </w:t>
      </w:r>
      <w:proofErr w:type="spellStart"/>
      <w:r>
        <w:t>SuiteTax</w:t>
      </w:r>
      <w:proofErr w:type="spellEnd"/>
      <w:r>
        <w:t xml:space="preserve"> Engine uses HSN/SAC classification and GST Tax Rate Rules to calculate tax on a single subsidiary’s transactions. This week moves to a different, cross-cutting layer of NetSuite Accounting — one that applies to any subsidiary transacting with a customer or vendor in a currency other than its own: Multiple Currencies, and the close-process discipline that keeps it accurate, Foreign Currency Revaluation.</w:t>
      </w:r>
    </w:p>
    <w:p w14:paraId="67DECD29" w14:textId="77777777" w:rsidR="00D8686B" w:rsidRDefault="003E2944">
      <w:pPr>
        <w:spacing w:after="160" w:line="276" w:lineRule="auto"/>
      </w:pPr>
      <w:r>
        <w:t>When the Multiple Currencies feature is enabled, NetSuite lets transactions be entered in a customer’s or vendor’s own currency — the foreign currency or transaction currency — while every transaction still posts to the general ledger in the company’s (or, in OneWorld, the subsidiary’s) base currency. Because exchange rates move between the date a transaction is recorded and the date it is settled or reported on, that translation is never a one-time event. NetSuite tracks the resulting gains and losses through two distinct mechanisms — automatic realized gain/loss on payment application, and a run-it-yourself unrealized gain/loss revaluation at month end — and, for OneWorld accounts with multiple base currencies, rolls subsidiary results up to a parent through a separate Consolidated Exchange Rates table. This document covers how those pieces fit together, and how SuiteScript 2.1 can read and work with currency data around them.</w:t>
      </w:r>
    </w:p>
    <w:tbl>
      <w:tblPr>
        <w:tblW w:w="5000" w:type="pct"/>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CellMar>
          <w:left w:w="10" w:type="dxa"/>
          <w:right w:w="10" w:type="dxa"/>
        </w:tblCellMar>
        <w:tblLook w:val="04A0" w:firstRow="1" w:lastRow="0" w:firstColumn="1" w:lastColumn="0" w:noHBand="0" w:noVBand="1"/>
      </w:tblPr>
      <w:tblGrid>
        <w:gridCol w:w="10060"/>
      </w:tblGrid>
      <w:tr w:rsidR="00D8686B" w14:paraId="67DECD2F" w14:textId="77777777">
        <w:tc>
          <w:tcPr>
            <w:tcW w:w="0" w:type="auto"/>
            <w:shd w:val="clear" w:color="auto" w:fill="EAF1FB"/>
            <w:tcMar>
              <w:top w:w="160" w:type="dxa"/>
              <w:left w:w="200" w:type="dxa"/>
              <w:bottom w:w="160" w:type="dxa"/>
              <w:right w:w="200" w:type="dxa"/>
            </w:tcMar>
          </w:tcPr>
          <w:p w14:paraId="67DECD2A" w14:textId="77777777" w:rsidR="00D8686B" w:rsidRDefault="003E2944">
            <w:pPr>
              <w:spacing w:after="120"/>
            </w:pPr>
            <w:r>
              <w:rPr>
                <w:b/>
                <w:bCs/>
                <w:color w:val="1F3864"/>
              </w:rPr>
              <w:t>📌 Why Multi-Currency Isn’t Just a Transaction-Entry Feature</w:t>
            </w:r>
          </w:p>
          <w:p w14:paraId="67DECD2B" w14:textId="77777777" w:rsidR="00D8686B" w:rsidRDefault="003E2944">
            <w:pPr>
              <w:pStyle w:val="ListParagraph"/>
              <w:numPr>
                <w:ilvl w:val="0"/>
                <w:numId w:val="1"/>
              </w:numPr>
              <w:spacing w:after="80" w:line="264" w:lineRule="auto"/>
            </w:pPr>
            <w:r>
              <w:rPr>
                <w:sz w:val="21"/>
                <w:szCs w:val="21"/>
              </w:rPr>
              <w:t>Transactions default to the currency of the customer or vendor involved, but they always post to the general ledger in base currency — reports and registers show base currency amounts regardless of the currency a transaction was entered in.</w:t>
            </w:r>
          </w:p>
          <w:p w14:paraId="67DECD2C" w14:textId="77777777" w:rsidR="00D8686B" w:rsidRDefault="003E2944">
            <w:pPr>
              <w:pStyle w:val="ListParagraph"/>
              <w:numPr>
                <w:ilvl w:val="0"/>
                <w:numId w:val="1"/>
              </w:numPr>
              <w:spacing w:after="80" w:line="264" w:lineRule="auto"/>
            </w:pPr>
            <w:r>
              <w:rPr>
                <w:sz w:val="21"/>
                <w:szCs w:val="21"/>
              </w:rPr>
              <w:t>Exchange rate movement between a transaction’s entry date and its payment or period-end date is not optional to account for — NetSuite either posts it automatically (realized gain/loss) or requires a run of the revaluation process (unrealized gain/loss).</w:t>
            </w:r>
          </w:p>
          <w:p w14:paraId="67DECD2D" w14:textId="77777777" w:rsidR="00D8686B" w:rsidRDefault="003E2944">
            <w:pPr>
              <w:pStyle w:val="ListParagraph"/>
              <w:numPr>
                <w:ilvl w:val="0"/>
                <w:numId w:val="1"/>
              </w:numPr>
              <w:spacing w:after="80" w:line="264" w:lineRule="auto"/>
            </w:pPr>
            <w:r>
              <w:rPr>
                <w:sz w:val="21"/>
                <w:szCs w:val="21"/>
              </w:rPr>
              <w:t>In OneWorld, each subsidiary can have its own base currency — rolling those results up into a parent’s consolidated financials depends on a separate table of Consolidated Exchange Rates, not the transaction-level Currency Exchange Rates.</w:t>
            </w:r>
          </w:p>
          <w:p w14:paraId="67DECD2E" w14:textId="77777777" w:rsidR="00D8686B" w:rsidRDefault="003E2944">
            <w:pPr>
              <w:pStyle w:val="ListParagraph"/>
              <w:numPr>
                <w:ilvl w:val="0"/>
                <w:numId w:val="1"/>
              </w:numPr>
              <w:spacing w:after="80" w:line="264" w:lineRule="auto"/>
            </w:pPr>
            <w:r>
              <w:rPr>
                <w:sz w:val="21"/>
                <w:szCs w:val="21"/>
              </w:rPr>
              <w:t>Currency revaluation is a required month-end close task, not a cleanup step — skipping it leaves monthly financial statements missing the currency revaluation transactions that keep balances accurate.</w:t>
            </w:r>
          </w:p>
        </w:tc>
      </w:tr>
    </w:tbl>
    <w:p w14:paraId="15331BFC" w14:textId="77777777" w:rsidR="009C69BA" w:rsidRDefault="009C69BA">
      <w:pPr>
        <w:pStyle w:val="Heading1"/>
        <w:spacing w:before="360" w:after="160"/>
        <w:rPr>
          <w:b/>
          <w:bCs/>
          <w:color w:val="1F3864"/>
        </w:rPr>
      </w:pPr>
    </w:p>
    <w:p w14:paraId="02C81B91" w14:textId="77777777" w:rsidR="009C69BA" w:rsidRDefault="009C69BA">
      <w:pPr>
        <w:pStyle w:val="Heading1"/>
        <w:spacing w:before="360" w:after="160"/>
        <w:rPr>
          <w:b/>
          <w:bCs/>
          <w:color w:val="1F3864"/>
        </w:rPr>
      </w:pPr>
    </w:p>
    <w:p w14:paraId="2228BC07" w14:textId="77777777" w:rsidR="009C69BA" w:rsidRDefault="009C69BA">
      <w:pPr>
        <w:pStyle w:val="Heading1"/>
        <w:spacing w:before="360" w:after="160"/>
        <w:rPr>
          <w:b/>
          <w:bCs/>
          <w:color w:val="1F3864"/>
        </w:rPr>
      </w:pPr>
    </w:p>
    <w:p w14:paraId="23901F44" w14:textId="77777777" w:rsidR="009C69BA" w:rsidRDefault="009C69BA">
      <w:pPr>
        <w:pStyle w:val="Heading1"/>
        <w:spacing w:before="360" w:after="160"/>
        <w:rPr>
          <w:b/>
          <w:bCs/>
          <w:color w:val="1F3864"/>
        </w:rPr>
      </w:pPr>
    </w:p>
    <w:p w14:paraId="67DECD30" w14:textId="0FC21444" w:rsidR="00D8686B" w:rsidRDefault="003E2944">
      <w:pPr>
        <w:pStyle w:val="Heading1"/>
        <w:spacing w:before="360" w:after="160"/>
      </w:pPr>
      <w:r>
        <w:rPr>
          <w:b/>
          <w:bCs/>
          <w:color w:val="1F3864"/>
        </w:rPr>
        <w:lastRenderedPageBreak/>
        <w:t>2. Multi-Currency Fundamentals — Base Currency, Foreign Currency, and Setup</w:t>
      </w:r>
    </w:p>
    <w:p w14:paraId="67DECD31" w14:textId="77777777" w:rsidR="00D8686B" w:rsidRDefault="003E2944">
      <w:pPr>
        <w:spacing w:after="160" w:line="276" w:lineRule="auto"/>
      </w:pPr>
      <w:r>
        <w:t>Your company’s primary, functional currency is called the base currency in NetSuite. The currencies used in transactions with customers and vendors, other than the base currency, are called foreign currencies or transaction currencies. In a NetSuite OneWorld account, each subsidiary can have a different base currency from its parent and from other subsidiaries — for example, a Canadian subsidiary using CAD alongside a U.S. subsidiary using USD, each managing its own financials in its own base currency while still rolling up into consolidated group reporting.</w:t>
      </w:r>
    </w:p>
    <w:p w14:paraId="67DECD32" w14:textId="77777777" w:rsidR="00D8686B" w:rsidRDefault="003E2944">
      <w:pPr>
        <w:spacing w:after="160" w:line="276" w:lineRule="auto"/>
      </w:pPr>
      <w:r>
        <w:t>Setting up multiple currencies has a defined order: enable the Multiple Currencies feature, create currency records for every currency you intend to transact in, select the base currency for the company (or for each subsidiary in OneWorld, and for each subsidiary/accounting book combination if Multi-Book Accounting is also used), and then assign currencies to the customer, vendor, and other entity records that will transact in them.</w:t>
      </w:r>
    </w:p>
    <w:p w14:paraId="67DECD33" w14:textId="77777777" w:rsidR="00D8686B" w:rsidRDefault="003E2944">
      <w:pPr>
        <w:pStyle w:val="Heading2"/>
        <w:spacing w:before="280" w:after="140"/>
      </w:pPr>
      <w:r>
        <w:rPr>
          <w:b/>
          <w:bCs/>
          <w:color w:val="1F3864"/>
        </w:rPr>
        <w:t>2.1 Enabling Multiple Currencies and Setting a Base Currency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85"/>
        <w:gridCol w:w="3877"/>
        <w:gridCol w:w="3608"/>
      </w:tblGrid>
      <w:tr w:rsidR="00D8686B" w14:paraId="67DECD37" w14:textId="77777777">
        <w:trPr>
          <w:tblHeader/>
        </w:trPr>
        <w:tc>
          <w:tcPr>
            <w:tcW w:w="2400" w:type="dxa"/>
            <w:shd w:val="clear" w:color="auto" w:fill="F2F2F2"/>
            <w:tcMar>
              <w:top w:w="100" w:type="dxa"/>
              <w:left w:w="120" w:type="dxa"/>
              <w:bottom w:w="100" w:type="dxa"/>
              <w:right w:w="120" w:type="dxa"/>
            </w:tcMar>
            <w:vAlign w:val="center"/>
          </w:tcPr>
          <w:p w14:paraId="67DECD34" w14:textId="77777777" w:rsidR="00D8686B" w:rsidRDefault="003E2944">
            <w:r>
              <w:rPr>
                <w:b/>
                <w:bCs/>
                <w:color w:val="1F3864"/>
                <w:sz w:val="20"/>
                <w:szCs w:val="20"/>
              </w:rPr>
              <w:t>Step</w:t>
            </w:r>
          </w:p>
        </w:tc>
        <w:tc>
          <w:tcPr>
            <w:tcW w:w="3600" w:type="dxa"/>
            <w:shd w:val="clear" w:color="auto" w:fill="F2F2F2"/>
            <w:tcMar>
              <w:top w:w="100" w:type="dxa"/>
              <w:left w:w="120" w:type="dxa"/>
              <w:bottom w:w="100" w:type="dxa"/>
              <w:right w:w="120" w:type="dxa"/>
            </w:tcMar>
            <w:vAlign w:val="center"/>
          </w:tcPr>
          <w:p w14:paraId="67DECD35" w14:textId="77777777" w:rsidR="00D8686B" w:rsidRDefault="003E2944">
            <w:r>
              <w:rPr>
                <w:b/>
                <w:bCs/>
                <w:color w:val="1F3864"/>
                <w:sz w:val="20"/>
                <w:szCs w:val="20"/>
              </w:rPr>
              <w:t>Where</w:t>
            </w:r>
          </w:p>
        </w:tc>
        <w:tc>
          <w:tcPr>
            <w:tcW w:w="3350" w:type="dxa"/>
            <w:shd w:val="clear" w:color="auto" w:fill="F2F2F2"/>
            <w:tcMar>
              <w:top w:w="100" w:type="dxa"/>
              <w:left w:w="120" w:type="dxa"/>
              <w:bottom w:w="100" w:type="dxa"/>
              <w:right w:w="120" w:type="dxa"/>
            </w:tcMar>
            <w:vAlign w:val="center"/>
          </w:tcPr>
          <w:p w14:paraId="67DECD36" w14:textId="77777777" w:rsidR="00D8686B" w:rsidRDefault="003E2944">
            <w:r>
              <w:rPr>
                <w:b/>
                <w:bCs/>
                <w:color w:val="1F3864"/>
                <w:sz w:val="20"/>
                <w:szCs w:val="20"/>
              </w:rPr>
              <w:t>Notes</w:t>
            </w:r>
          </w:p>
        </w:tc>
      </w:tr>
      <w:tr w:rsidR="00D8686B" w14:paraId="67DECD3B" w14:textId="77777777">
        <w:tc>
          <w:tcPr>
            <w:tcW w:w="2400" w:type="dxa"/>
            <w:tcMar>
              <w:top w:w="90" w:type="dxa"/>
              <w:left w:w="120" w:type="dxa"/>
              <w:bottom w:w="90" w:type="dxa"/>
              <w:right w:w="120" w:type="dxa"/>
            </w:tcMar>
            <w:vAlign w:val="center"/>
          </w:tcPr>
          <w:p w14:paraId="67DECD38" w14:textId="77777777" w:rsidR="00D8686B" w:rsidRDefault="003E2944">
            <w:pPr>
              <w:spacing w:after="40" w:line="250" w:lineRule="auto"/>
            </w:pPr>
            <w:r>
              <w:rPr>
                <w:sz w:val="20"/>
                <w:szCs w:val="20"/>
              </w:rPr>
              <w:t>Enable Multiple Currencies</w:t>
            </w:r>
          </w:p>
        </w:tc>
        <w:tc>
          <w:tcPr>
            <w:tcW w:w="3600" w:type="dxa"/>
            <w:tcMar>
              <w:top w:w="90" w:type="dxa"/>
              <w:left w:w="120" w:type="dxa"/>
              <w:bottom w:w="90" w:type="dxa"/>
              <w:right w:w="120" w:type="dxa"/>
            </w:tcMar>
            <w:vAlign w:val="center"/>
          </w:tcPr>
          <w:p w14:paraId="67DECD39" w14:textId="77777777" w:rsidR="00D8686B" w:rsidRDefault="003E2944">
            <w:pPr>
              <w:spacing w:after="40" w:line="250" w:lineRule="auto"/>
            </w:pPr>
            <w:r>
              <w:rPr>
                <w:sz w:val="20"/>
                <w:szCs w:val="20"/>
              </w:rPr>
              <w:t>Setup &gt; Company &gt; Enable Features, Financial subtab</w:t>
            </w:r>
          </w:p>
        </w:tc>
        <w:tc>
          <w:tcPr>
            <w:tcW w:w="3350" w:type="dxa"/>
            <w:tcMar>
              <w:top w:w="90" w:type="dxa"/>
              <w:left w:w="120" w:type="dxa"/>
              <w:bottom w:w="90" w:type="dxa"/>
              <w:right w:w="120" w:type="dxa"/>
            </w:tcMar>
            <w:vAlign w:val="center"/>
          </w:tcPr>
          <w:p w14:paraId="67DECD3A" w14:textId="77777777" w:rsidR="00D8686B" w:rsidRDefault="003E2944">
            <w:pPr>
              <w:spacing w:after="40" w:line="250" w:lineRule="auto"/>
            </w:pPr>
            <w:r>
              <w:rPr>
                <w:sz w:val="20"/>
                <w:szCs w:val="20"/>
              </w:rPr>
              <w:t>Activates multi-currency capability system-wide; the feature can’t be disabled once currency-dependent records and transactions exist.</w:t>
            </w:r>
          </w:p>
        </w:tc>
      </w:tr>
      <w:tr w:rsidR="00D8686B" w14:paraId="67DECD3F" w14:textId="77777777">
        <w:tc>
          <w:tcPr>
            <w:tcW w:w="2400" w:type="dxa"/>
            <w:tcMar>
              <w:top w:w="90" w:type="dxa"/>
              <w:left w:w="120" w:type="dxa"/>
              <w:bottom w:w="90" w:type="dxa"/>
              <w:right w:w="120" w:type="dxa"/>
            </w:tcMar>
            <w:vAlign w:val="center"/>
          </w:tcPr>
          <w:p w14:paraId="67DECD3C" w14:textId="77777777" w:rsidR="00D8686B" w:rsidRDefault="003E2944">
            <w:pPr>
              <w:spacing w:after="40" w:line="250" w:lineRule="auto"/>
            </w:pPr>
            <w:r>
              <w:rPr>
                <w:sz w:val="20"/>
                <w:szCs w:val="20"/>
              </w:rPr>
              <w:t>Create currency records</w:t>
            </w:r>
          </w:p>
        </w:tc>
        <w:tc>
          <w:tcPr>
            <w:tcW w:w="3600" w:type="dxa"/>
            <w:tcMar>
              <w:top w:w="90" w:type="dxa"/>
              <w:left w:w="120" w:type="dxa"/>
              <w:bottom w:w="90" w:type="dxa"/>
              <w:right w:w="120" w:type="dxa"/>
            </w:tcMar>
            <w:vAlign w:val="center"/>
          </w:tcPr>
          <w:p w14:paraId="67DECD3D" w14:textId="77777777" w:rsidR="00D8686B" w:rsidRDefault="003E2944">
            <w:pPr>
              <w:spacing w:after="40" w:line="250" w:lineRule="auto"/>
            </w:pPr>
            <w:r>
              <w:rPr>
                <w:sz w:val="20"/>
                <w:szCs w:val="20"/>
              </w:rPr>
              <w:t>Lists &gt; Accounting &gt; Currencies &gt; New</w:t>
            </w:r>
          </w:p>
        </w:tc>
        <w:tc>
          <w:tcPr>
            <w:tcW w:w="3350" w:type="dxa"/>
            <w:tcMar>
              <w:top w:w="90" w:type="dxa"/>
              <w:left w:w="120" w:type="dxa"/>
              <w:bottom w:w="90" w:type="dxa"/>
              <w:right w:w="120" w:type="dxa"/>
            </w:tcMar>
            <w:vAlign w:val="center"/>
          </w:tcPr>
          <w:p w14:paraId="67DECD3E" w14:textId="77777777" w:rsidR="00D8686B" w:rsidRDefault="003E2944">
            <w:pPr>
              <w:spacing w:after="40" w:line="250" w:lineRule="auto"/>
            </w:pPr>
            <w:r>
              <w:rPr>
                <w:sz w:val="20"/>
                <w:szCs w:val="20"/>
              </w:rPr>
              <w:t>One record per currency the company or its subsidiaries will transact in.</w:t>
            </w:r>
          </w:p>
        </w:tc>
      </w:tr>
      <w:tr w:rsidR="00D8686B" w14:paraId="67DECD43" w14:textId="77777777">
        <w:tc>
          <w:tcPr>
            <w:tcW w:w="2400" w:type="dxa"/>
            <w:tcMar>
              <w:top w:w="90" w:type="dxa"/>
              <w:left w:w="120" w:type="dxa"/>
              <w:bottom w:w="90" w:type="dxa"/>
              <w:right w:w="120" w:type="dxa"/>
            </w:tcMar>
            <w:vAlign w:val="center"/>
          </w:tcPr>
          <w:p w14:paraId="67DECD40" w14:textId="77777777" w:rsidR="00D8686B" w:rsidRDefault="003E2944">
            <w:pPr>
              <w:spacing w:after="40" w:line="250" w:lineRule="auto"/>
            </w:pPr>
            <w:r>
              <w:rPr>
                <w:sz w:val="20"/>
                <w:szCs w:val="20"/>
              </w:rPr>
              <w:t>Set the base currency</w:t>
            </w:r>
          </w:p>
        </w:tc>
        <w:tc>
          <w:tcPr>
            <w:tcW w:w="3600" w:type="dxa"/>
            <w:tcMar>
              <w:top w:w="90" w:type="dxa"/>
              <w:left w:w="120" w:type="dxa"/>
              <w:bottom w:w="90" w:type="dxa"/>
              <w:right w:w="120" w:type="dxa"/>
            </w:tcMar>
            <w:vAlign w:val="center"/>
          </w:tcPr>
          <w:p w14:paraId="67DECD41" w14:textId="77777777" w:rsidR="00D8686B" w:rsidRDefault="003E2944">
            <w:pPr>
              <w:spacing w:after="40" w:line="250" w:lineRule="auto"/>
            </w:pPr>
            <w:r>
              <w:rPr>
                <w:sz w:val="20"/>
                <w:szCs w:val="20"/>
              </w:rPr>
              <w:t>Setup &gt; Company &gt; Company Information (or Setup &gt; Company &gt; Subsidiaries &gt; Edit, per subsidiary in OneWorld)</w:t>
            </w:r>
          </w:p>
        </w:tc>
        <w:tc>
          <w:tcPr>
            <w:tcW w:w="3350" w:type="dxa"/>
            <w:tcMar>
              <w:top w:w="90" w:type="dxa"/>
              <w:left w:w="120" w:type="dxa"/>
              <w:bottom w:w="90" w:type="dxa"/>
              <w:right w:w="120" w:type="dxa"/>
            </w:tcMar>
            <w:vAlign w:val="center"/>
          </w:tcPr>
          <w:p w14:paraId="67DECD42" w14:textId="77777777" w:rsidR="00D8686B" w:rsidRDefault="003E2944">
            <w:pPr>
              <w:spacing w:after="40" w:line="250" w:lineRule="auto"/>
            </w:pPr>
            <w:r>
              <w:rPr>
                <w:sz w:val="20"/>
                <w:szCs w:val="20"/>
              </w:rPr>
              <w:t>Must be set before any record with a currency amount is saved — see the warning below.</w:t>
            </w:r>
          </w:p>
        </w:tc>
      </w:tr>
      <w:tr w:rsidR="00D8686B" w14:paraId="67DECD47" w14:textId="77777777">
        <w:tc>
          <w:tcPr>
            <w:tcW w:w="2400" w:type="dxa"/>
            <w:tcMar>
              <w:top w:w="90" w:type="dxa"/>
              <w:left w:w="120" w:type="dxa"/>
              <w:bottom w:w="90" w:type="dxa"/>
              <w:right w:w="120" w:type="dxa"/>
            </w:tcMar>
            <w:vAlign w:val="center"/>
          </w:tcPr>
          <w:p w14:paraId="67DECD44" w14:textId="77777777" w:rsidR="00D8686B" w:rsidRDefault="003E2944">
            <w:pPr>
              <w:spacing w:after="40" w:line="250" w:lineRule="auto"/>
            </w:pPr>
            <w:r>
              <w:rPr>
                <w:sz w:val="20"/>
                <w:szCs w:val="20"/>
              </w:rPr>
              <w:t>Assign currencies to entities</w:t>
            </w:r>
          </w:p>
        </w:tc>
        <w:tc>
          <w:tcPr>
            <w:tcW w:w="3600" w:type="dxa"/>
            <w:tcMar>
              <w:top w:w="90" w:type="dxa"/>
              <w:left w:w="120" w:type="dxa"/>
              <w:bottom w:w="90" w:type="dxa"/>
              <w:right w:w="120" w:type="dxa"/>
            </w:tcMar>
            <w:vAlign w:val="center"/>
          </w:tcPr>
          <w:p w14:paraId="67DECD45" w14:textId="77777777" w:rsidR="00D8686B" w:rsidRDefault="003E2944">
            <w:pPr>
              <w:spacing w:after="40" w:line="250" w:lineRule="auto"/>
            </w:pPr>
            <w:r>
              <w:rPr>
                <w:sz w:val="20"/>
                <w:szCs w:val="20"/>
              </w:rPr>
              <w:t>Customer, vendor, and other entity records</w:t>
            </w:r>
          </w:p>
        </w:tc>
        <w:tc>
          <w:tcPr>
            <w:tcW w:w="3350" w:type="dxa"/>
            <w:tcMar>
              <w:top w:w="90" w:type="dxa"/>
              <w:left w:w="120" w:type="dxa"/>
              <w:bottom w:w="90" w:type="dxa"/>
              <w:right w:w="120" w:type="dxa"/>
            </w:tcMar>
            <w:vAlign w:val="center"/>
          </w:tcPr>
          <w:p w14:paraId="67DECD46" w14:textId="77777777" w:rsidR="00D8686B" w:rsidRDefault="003E2944">
            <w:pPr>
              <w:spacing w:after="40" w:line="250" w:lineRule="auto"/>
            </w:pPr>
            <w:r>
              <w:rPr>
                <w:sz w:val="20"/>
                <w:szCs w:val="20"/>
              </w:rPr>
              <w:t>In OneWorld, currency is assigned along with the subsidiary; a customer needing invoices in more than one currency needs each of those currencies added to the record.</w:t>
            </w:r>
          </w:p>
        </w:tc>
      </w:tr>
    </w:tbl>
    <w:p w14:paraId="67DECD48" w14:textId="77777777" w:rsidR="00D8686B" w:rsidRDefault="00D8686B">
      <w:pPr>
        <w:spacing w:after="160"/>
      </w:pPr>
    </w:p>
    <w:tbl>
      <w:tblPr>
        <w:tblW w:w="5000" w:type="pct"/>
        <w:tblBorders>
          <w:top w:val="single" w:sz="8" w:space="0" w:color="C9971C"/>
          <w:left w:val="single" w:sz="8" w:space="0" w:color="C9971C"/>
          <w:bottom w:val="single" w:sz="8" w:space="0" w:color="C9971C"/>
          <w:right w:val="single" w:sz="8" w:space="0" w:color="C9971C"/>
          <w:insideH w:val="single" w:sz="8" w:space="0" w:color="C9971C"/>
          <w:insideV w:val="single" w:sz="8" w:space="0" w:color="C9971C"/>
        </w:tblBorders>
        <w:tblCellMar>
          <w:left w:w="10" w:type="dxa"/>
          <w:right w:w="10" w:type="dxa"/>
        </w:tblCellMar>
        <w:tblLook w:val="04A0" w:firstRow="1" w:lastRow="0" w:firstColumn="1" w:lastColumn="0" w:noHBand="0" w:noVBand="1"/>
      </w:tblPr>
      <w:tblGrid>
        <w:gridCol w:w="10060"/>
      </w:tblGrid>
      <w:tr w:rsidR="00D8686B" w14:paraId="67DECD4D" w14:textId="77777777">
        <w:tc>
          <w:tcPr>
            <w:tcW w:w="0" w:type="auto"/>
            <w:shd w:val="clear" w:color="auto" w:fill="FDF2D0"/>
            <w:tcMar>
              <w:top w:w="160" w:type="dxa"/>
              <w:left w:w="200" w:type="dxa"/>
              <w:bottom w:w="160" w:type="dxa"/>
              <w:right w:w="200" w:type="dxa"/>
            </w:tcMar>
          </w:tcPr>
          <w:p w14:paraId="67DECD49" w14:textId="77777777" w:rsidR="00D8686B" w:rsidRDefault="003E2944">
            <w:pPr>
              <w:spacing w:after="120"/>
            </w:pPr>
            <w:r>
              <w:rPr>
                <w:b/>
                <w:bCs/>
                <w:color w:val="1F3864"/>
              </w:rPr>
              <w:t>⚠️ Base Currency Can’t Be Changed Once Records Exist</w:t>
            </w:r>
          </w:p>
          <w:p w14:paraId="67DECD4A" w14:textId="77777777" w:rsidR="00D8686B" w:rsidRDefault="003E2944">
            <w:pPr>
              <w:pStyle w:val="ListParagraph"/>
              <w:numPr>
                <w:ilvl w:val="0"/>
                <w:numId w:val="1"/>
              </w:numPr>
              <w:spacing w:after="80" w:line="264" w:lineRule="auto"/>
            </w:pPr>
            <w:r>
              <w:rPr>
                <w:sz w:val="21"/>
                <w:szCs w:val="21"/>
              </w:rPr>
              <w:t>Make any changes to base currency before doing anything else in NetSuite — if any user has saved a record that includes a currency amount or links to a currency record, the base currency can’t be changed.</w:t>
            </w:r>
          </w:p>
          <w:p w14:paraId="67DECD4B" w14:textId="77777777" w:rsidR="00D8686B" w:rsidRDefault="003E2944">
            <w:pPr>
              <w:pStyle w:val="ListParagraph"/>
              <w:numPr>
                <w:ilvl w:val="0"/>
                <w:numId w:val="1"/>
              </w:numPr>
              <w:spacing w:after="80" w:line="264" w:lineRule="auto"/>
            </w:pPr>
            <w:r>
              <w:rPr>
                <w:sz w:val="21"/>
                <w:szCs w:val="21"/>
              </w:rPr>
              <w:t>It may be possible to change it afterward only by first deleting every such record — in practice, treat the initial base currency choice per subsidiary as permanent.</w:t>
            </w:r>
          </w:p>
          <w:p w14:paraId="67DECD4C" w14:textId="77777777" w:rsidR="00D8686B" w:rsidRDefault="003E2944">
            <w:pPr>
              <w:pStyle w:val="ListParagraph"/>
              <w:numPr>
                <w:ilvl w:val="0"/>
                <w:numId w:val="1"/>
              </w:numPr>
              <w:spacing w:after="80" w:line="264" w:lineRule="auto"/>
            </w:pPr>
            <w:r>
              <w:rPr>
                <w:sz w:val="21"/>
                <w:szCs w:val="21"/>
              </w:rPr>
              <w:t>The currency record’s Is Base Currency field reflects this assignment and can’t be edited directly on the currency record itself.</w:t>
            </w:r>
          </w:p>
        </w:tc>
      </w:tr>
    </w:tbl>
    <w:p w14:paraId="67DECD4E" w14:textId="77777777" w:rsidR="00D8686B" w:rsidRDefault="003E2944">
      <w:pPr>
        <w:pStyle w:val="Heading2"/>
        <w:spacing w:before="280" w:after="140"/>
      </w:pPr>
      <w:r>
        <w:rPr>
          <w:b/>
          <w:bCs/>
          <w:color w:val="1F3864"/>
        </w:rPr>
        <w:lastRenderedPageBreak/>
        <w:t>2.2 Currency Exchange Rates vs. Consolidated Exchange Rates</w:t>
      </w:r>
    </w:p>
    <w:p w14:paraId="67DECD4F" w14:textId="77777777" w:rsidR="00D8686B" w:rsidRDefault="003E2944">
      <w:pPr>
        <w:spacing w:after="160" w:line="276" w:lineRule="auto"/>
      </w:pPr>
      <w:r>
        <w:t xml:space="preserve">NetSuite maintains two separate rate tables that are easy to conflate but serve different purposes. The Currency Exchange Rates list holds the rate between each base currency and its foreign currencies, and is what individual transactions use for translation — these rates can be set manually or kept current automatically through the Currency Exchange Rate Integration feature. The Consolidated Exchange Rates list, which only appears when </w:t>
      </w:r>
      <w:proofErr w:type="gramStart"/>
      <w:r>
        <w:t>a</w:t>
      </w:r>
      <w:proofErr w:type="gramEnd"/>
      <w:r>
        <w:t xml:space="preserve"> OneWorld account has subsidiaries with different base currencies, instead translates between a subsidiary’s base currency and its parent or grandparent subsidiary’s base currency, for a specific accounting period, and is used purely for consolidated reporting.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73"/>
        <w:gridCol w:w="3413"/>
        <w:gridCol w:w="2667"/>
        <w:gridCol w:w="1217"/>
      </w:tblGrid>
      <w:tr w:rsidR="00D8686B" w14:paraId="67DECD54" w14:textId="77777777">
        <w:trPr>
          <w:tblHeader/>
        </w:trPr>
        <w:tc>
          <w:tcPr>
            <w:tcW w:w="2600" w:type="dxa"/>
            <w:shd w:val="clear" w:color="auto" w:fill="F2F2F2"/>
            <w:tcMar>
              <w:top w:w="100" w:type="dxa"/>
              <w:left w:w="120" w:type="dxa"/>
              <w:bottom w:w="100" w:type="dxa"/>
              <w:right w:w="120" w:type="dxa"/>
            </w:tcMar>
            <w:vAlign w:val="center"/>
          </w:tcPr>
          <w:p w14:paraId="67DECD50" w14:textId="77777777" w:rsidR="00D8686B" w:rsidRDefault="003E2944">
            <w:r>
              <w:rPr>
                <w:b/>
                <w:bCs/>
                <w:color w:val="1F3864"/>
                <w:sz w:val="20"/>
                <w:szCs w:val="20"/>
              </w:rPr>
              <w:t>Table</w:t>
            </w:r>
          </w:p>
        </w:tc>
        <w:tc>
          <w:tcPr>
            <w:tcW w:w="3200" w:type="dxa"/>
            <w:shd w:val="clear" w:color="auto" w:fill="F2F2F2"/>
            <w:tcMar>
              <w:top w:w="100" w:type="dxa"/>
              <w:left w:w="120" w:type="dxa"/>
              <w:bottom w:w="100" w:type="dxa"/>
              <w:right w:w="120" w:type="dxa"/>
            </w:tcMar>
            <w:vAlign w:val="center"/>
          </w:tcPr>
          <w:p w14:paraId="67DECD51" w14:textId="77777777" w:rsidR="00D8686B" w:rsidRDefault="003E2944">
            <w:r>
              <w:rPr>
                <w:b/>
                <w:bCs/>
                <w:color w:val="1F3864"/>
                <w:sz w:val="20"/>
                <w:szCs w:val="20"/>
              </w:rPr>
              <w:t>Translates Between</w:t>
            </w:r>
          </w:p>
        </w:tc>
        <w:tc>
          <w:tcPr>
            <w:tcW w:w="2500" w:type="dxa"/>
            <w:shd w:val="clear" w:color="auto" w:fill="F2F2F2"/>
            <w:tcMar>
              <w:top w:w="100" w:type="dxa"/>
              <w:left w:w="120" w:type="dxa"/>
              <w:bottom w:w="100" w:type="dxa"/>
              <w:right w:w="120" w:type="dxa"/>
            </w:tcMar>
            <w:vAlign w:val="center"/>
          </w:tcPr>
          <w:p w14:paraId="67DECD52" w14:textId="77777777" w:rsidR="00D8686B" w:rsidRDefault="003E2944">
            <w:r>
              <w:rPr>
                <w:b/>
                <w:bCs/>
                <w:color w:val="1F3864"/>
                <w:sz w:val="20"/>
                <w:szCs w:val="20"/>
              </w:rPr>
              <w:t>Used For</w:t>
            </w:r>
          </w:p>
        </w:tc>
        <w:tc>
          <w:tcPr>
            <w:tcW w:w="1050" w:type="dxa"/>
            <w:shd w:val="clear" w:color="auto" w:fill="F2F2F2"/>
            <w:tcMar>
              <w:top w:w="100" w:type="dxa"/>
              <w:left w:w="120" w:type="dxa"/>
              <w:bottom w:w="100" w:type="dxa"/>
              <w:right w:w="120" w:type="dxa"/>
            </w:tcMar>
            <w:vAlign w:val="center"/>
          </w:tcPr>
          <w:p w14:paraId="67DECD53" w14:textId="77777777" w:rsidR="00D8686B" w:rsidRDefault="003E2944">
            <w:r>
              <w:rPr>
                <w:b/>
                <w:bCs/>
                <w:color w:val="1F3864"/>
                <w:sz w:val="20"/>
                <w:szCs w:val="20"/>
              </w:rPr>
              <w:t>Update Cadence</w:t>
            </w:r>
          </w:p>
        </w:tc>
      </w:tr>
      <w:tr w:rsidR="00D8686B" w14:paraId="67DECD59" w14:textId="77777777">
        <w:tc>
          <w:tcPr>
            <w:tcW w:w="2600" w:type="dxa"/>
            <w:tcMar>
              <w:top w:w="90" w:type="dxa"/>
              <w:left w:w="120" w:type="dxa"/>
              <w:bottom w:w="90" w:type="dxa"/>
              <w:right w:w="120" w:type="dxa"/>
            </w:tcMar>
            <w:vAlign w:val="center"/>
          </w:tcPr>
          <w:p w14:paraId="67DECD55" w14:textId="77777777" w:rsidR="00D8686B" w:rsidRDefault="003E2944">
            <w:pPr>
              <w:spacing w:after="40" w:line="250" w:lineRule="auto"/>
            </w:pPr>
            <w:r>
              <w:rPr>
                <w:sz w:val="20"/>
                <w:szCs w:val="20"/>
              </w:rPr>
              <w:t>Currency Exchange Rates</w:t>
            </w:r>
          </w:p>
        </w:tc>
        <w:tc>
          <w:tcPr>
            <w:tcW w:w="3200" w:type="dxa"/>
            <w:tcMar>
              <w:top w:w="90" w:type="dxa"/>
              <w:left w:w="120" w:type="dxa"/>
              <w:bottom w:w="90" w:type="dxa"/>
              <w:right w:w="120" w:type="dxa"/>
            </w:tcMar>
            <w:vAlign w:val="center"/>
          </w:tcPr>
          <w:p w14:paraId="67DECD56" w14:textId="77777777" w:rsidR="00D8686B" w:rsidRDefault="003E2944">
            <w:pPr>
              <w:spacing w:after="40" w:line="250" w:lineRule="auto"/>
            </w:pPr>
            <w:r>
              <w:rPr>
                <w:sz w:val="20"/>
                <w:szCs w:val="20"/>
              </w:rPr>
              <w:t>Base currency ↔ foreign (transaction) currency</w:t>
            </w:r>
          </w:p>
        </w:tc>
        <w:tc>
          <w:tcPr>
            <w:tcW w:w="2500" w:type="dxa"/>
            <w:tcMar>
              <w:top w:w="90" w:type="dxa"/>
              <w:left w:w="120" w:type="dxa"/>
              <w:bottom w:w="90" w:type="dxa"/>
              <w:right w:w="120" w:type="dxa"/>
            </w:tcMar>
            <w:vAlign w:val="center"/>
          </w:tcPr>
          <w:p w14:paraId="67DECD57" w14:textId="77777777" w:rsidR="00D8686B" w:rsidRDefault="003E2944">
            <w:pPr>
              <w:spacing w:after="40" w:line="250" w:lineRule="auto"/>
            </w:pPr>
            <w:r>
              <w:rPr>
                <w:sz w:val="20"/>
                <w:szCs w:val="20"/>
              </w:rPr>
              <w:t>Individual customer/vendor transactions</w:t>
            </w:r>
          </w:p>
        </w:tc>
        <w:tc>
          <w:tcPr>
            <w:tcW w:w="1050" w:type="dxa"/>
            <w:tcMar>
              <w:top w:w="90" w:type="dxa"/>
              <w:left w:w="120" w:type="dxa"/>
              <w:bottom w:w="90" w:type="dxa"/>
              <w:right w:w="120" w:type="dxa"/>
            </w:tcMar>
            <w:vAlign w:val="center"/>
          </w:tcPr>
          <w:p w14:paraId="67DECD58" w14:textId="77777777" w:rsidR="00D8686B" w:rsidRDefault="003E2944">
            <w:pPr>
              <w:spacing w:after="40" w:line="250" w:lineRule="auto"/>
            </w:pPr>
            <w:r>
              <w:rPr>
                <w:sz w:val="20"/>
                <w:szCs w:val="20"/>
              </w:rPr>
              <w:t>As often as rates move; can be automated</w:t>
            </w:r>
          </w:p>
        </w:tc>
      </w:tr>
      <w:tr w:rsidR="00D8686B" w14:paraId="67DECD5E" w14:textId="77777777">
        <w:tc>
          <w:tcPr>
            <w:tcW w:w="2600" w:type="dxa"/>
            <w:tcMar>
              <w:top w:w="90" w:type="dxa"/>
              <w:left w:w="120" w:type="dxa"/>
              <w:bottom w:w="90" w:type="dxa"/>
              <w:right w:w="120" w:type="dxa"/>
            </w:tcMar>
            <w:vAlign w:val="center"/>
          </w:tcPr>
          <w:p w14:paraId="67DECD5A" w14:textId="77777777" w:rsidR="00D8686B" w:rsidRDefault="003E2944">
            <w:pPr>
              <w:spacing w:after="40" w:line="250" w:lineRule="auto"/>
            </w:pPr>
            <w:r>
              <w:rPr>
                <w:sz w:val="20"/>
                <w:szCs w:val="20"/>
              </w:rPr>
              <w:t>Consolidated Exchange Rates</w:t>
            </w:r>
          </w:p>
        </w:tc>
        <w:tc>
          <w:tcPr>
            <w:tcW w:w="3200" w:type="dxa"/>
            <w:tcMar>
              <w:top w:w="90" w:type="dxa"/>
              <w:left w:w="120" w:type="dxa"/>
              <w:bottom w:w="90" w:type="dxa"/>
              <w:right w:w="120" w:type="dxa"/>
            </w:tcMar>
            <w:vAlign w:val="center"/>
          </w:tcPr>
          <w:p w14:paraId="67DECD5B" w14:textId="77777777" w:rsidR="00D8686B" w:rsidRDefault="003E2944">
            <w:pPr>
              <w:spacing w:after="40" w:line="250" w:lineRule="auto"/>
            </w:pPr>
            <w:r>
              <w:rPr>
                <w:sz w:val="20"/>
                <w:szCs w:val="20"/>
              </w:rPr>
              <w:t>Subsidiary base currency ↔ parent/grandparent base currency</w:t>
            </w:r>
          </w:p>
        </w:tc>
        <w:tc>
          <w:tcPr>
            <w:tcW w:w="2500" w:type="dxa"/>
            <w:tcMar>
              <w:top w:w="90" w:type="dxa"/>
              <w:left w:w="120" w:type="dxa"/>
              <w:bottom w:w="90" w:type="dxa"/>
              <w:right w:w="120" w:type="dxa"/>
            </w:tcMar>
            <w:vAlign w:val="center"/>
          </w:tcPr>
          <w:p w14:paraId="67DECD5C" w14:textId="77777777" w:rsidR="00D8686B" w:rsidRDefault="003E2944">
            <w:pPr>
              <w:spacing w:after="40" w:line="250" w:lineRule="auto"/>
            </w:pPr>
            <w:r>
              <w:rPr>
                <w:sz w:val="20"/>
                <w:szCs w:val="20"/>
              </w:rPr>
              <w:t>Consolidated financial reporting across subsidiaries</w:t>
            </w:r>
          </w:p>
        </w:tc>
        <w:tc>
          <w:tcPr>
            <w:tcW w:w="1050" w:type="dxa"/>
            <w:tcMar>
              <w:top w:w="90" w:type="dxa"/>
              <w:left w:w="120" w:type="dxa"/>
              <w:bottom w:w="90" w:type="dxa"/>
              <w:right w:w="120" w:type="dxa"/>
            </w:tcMar>
            <w:vAlign w:val="center"/>
          </w:tcPr>
          <w:p w14:paraId="67DECD5D" w14:textId="77777777" w:rsidR="00D8686B" w:rsidRDefault="003E2944">
            <w:pPr>
              <w:spacing w:after="40" w:line="250" w:lineRule="auto"/>
            </w:pPr>
            <w:r>
              <w:rPr>
                <w:sz w:val="20"/>
                <w:szCs w:val="20"/>
              </w:rPr>
              <w:t>Before closing each accounting period</w:t>
            </w:r>
          </w:p>
        </w:tc>
      </w:tr>
    </w:tbl>
    <w:p w14:paraId="67DECD5F" w14:textId="77777777" w:rsidR="00D8686B" w:rsidRDefault="00D8686B">
      <w:pPr>
        <w:spacing w:after="160"/>
      </w:pPr>
    </w:p>
    <w:p w14:paraId="67DECD60" w14:textId="77777777" w:rsidR="00D8686B" w:rsidRDefault="003E2944">
      <w:pPr>
        <w:spacing w:after="160" w:line="276" w:lineRule="auto"/>
      </w:pPr>
      <w:r>
        <w:t>NetSuite creates initial consolidated exchange rates automatically when subsidiaries and accounting periods are created, seeded from the currency exchange rates in effect at that time — but these still need to be reviewed and updated as part of period-close tasks. A separate Budget Exchange Rates table, initially populated from Consolidated Exchange Rates, lets organizations that budget in subsidiary-specific currencies maintain distinct rates for the budgeting process without disturbing the actuals-facing consolidated rates.</w:t>
      </w:r>
    </w:p>
    <w:p w14:paraId="67DECD61" w14:textId="77777777" w:rsidR="00D8686B" w:rsidRDefault="003E2944">
      <w:r>
        <w:br w:type="page"/>
      </w:r>
    </w:p>
    <w:p w14:paraId="67DECD62" w14:textId="77777777" w:rsidR="00D8686B" w:rsidRDefault="003E2944">
      <w:pPr>
        <w:pStyle w:val="Heading1"/>
        <w:spacing w:before="360" w:after="160"/>
      </w:pPr>
      <w:r>
        <w:rPr>
          <w:b/>
          <w:bCs/>
          <w:color w:val="1F3864"/>
        </w:rPr>
        <w:lastRenderedPageBreak/>
        <w:t>3. Foreign Currency Revaluation — Two Distinct Mechanisms</w:t>
      </w:r>
    </w:p>
    <w:p w14:paraId="67DECD63" w14:textId="77777777" w:rsidR="00D8686B" w:rsidRDefault="003E2944">
      <w:pPr>
        <w:spacing w:after="160" w:line="276" w:lineRule="auto"/>
      </w:pPr>
      <w:r>
        <w:t>As exchange rates move between a base currency and the foreign currencies used in transactions, the base-currency value of those transactions changes too — this is foreign currency revaluation, and it affects the general ledger in two separate ways depending on whether a transaction is closed or still open.</w:t>
      </w:r>
    </w:p>
    <w:p w14:paraId="67DECD64" w14:textId="77777777" w:rsidR="00D8686B" w:rsidRDefault="003E2944">
      <w:pPr>
        <w:pStyle w:val="Heading2"/>
        <w:spacing w:before="280" w:after="140"/>
      </w:pPr>
      <w:r>
        <w:rPr>
          <w:b/>
          <w:bCs/>
          <w:color w:val="1F3864"/>
        </w:rPr>
        <w:t>3.1 Realized Gain/Loss — Closed Transactions</w:t>
      </w:r>
    </w:p>
    <w:p w14:paraId="67DECD65" w14:textId="77777777" w:rsidR="00D8686B" w:rsidRDefault="003E2944">
      <w:pPr>
        <w:spacing w:after="160" w:line="276" w:lineRule="auto"/>
      </w:pPr>
      <w:r>
        <w:t>When a payment, credit memo, vendor credit, or similar transaction is applied to a source transaction (an invoice, bill, or journal entry) in a foreign currency, NetSuite automatically calculates and posts the exchange rate gain or loss if the rate moved between the source transaction’s date and the date the payment was applied. This posts by default to the Realized Gain/Loss account — or to a different account if the Foreign Currency Variance Mapping feature is configured to redirect it. Since 2021.1, this appears as its own Realized Gain/Loss currency revaluation transaction rather than on the GL Impact subtab of the payment itself, which is how it showed for transactions applied or paid before that release.</w:t>
      </w:r>
    </w:p>
    <w:p w14:paraId="67DECD66" w14:textId="77777777" w:rsidR="00D8686B" w:rsidRDefault="003E2944">
      <w:pPr>
        <w:pStyle w:val="Heading2"/>
        <w:spacing w:before="280" w:after="140"/>
      </w:pPr>
      <w:r>
        <w:rPr>
          <w:b/>
          <w:bCs/>
          <w:color w:val="1F3864"/>
        </w:rPr>
        <w:t>3.2 Unrealized Gain/Loss — Open Balance Revaluation</w:t>
      </w:r>
    </w:p>
    <w:p w14:paraId="67DECD67" w14:textId="77777777" w:rsidR="00D8686B" w:rsidRDefault="003E2944">
      <w:pPr>
        <w:spacing w:after="160" w:line="276" w:lineRule="auto"/>
      </w:pPr>
      <w:r>
        <w:t>Transactions that remain open at period end — and balances in foreign-currency-denominated accounts — are handled by a separate, manually triggered process: Revalue Open Currency Balances. This requires a role with the Currency Revaluation permission at Create level or higher, and it depends on the Accounting Periods feature being enabled, since accounting periods are what allow open-balance revaluations to post correctly at each period’s end. Currency revaluation should be a standing part of the month-end close — skipping it leaves monthly financials missing the unrealized gain or loss that reflects the true, current-rate value of open balances.</w:t>
      </w:r>
    </w:p>
    <w:p w14:paraId="67DECD68" w14:textId="77777777" w:rsidR="00D8686B" w:rsidRDefault="003E2944">
      <w:pPr>
        <w:spacing w:after="160" w:line="276" w:lineRule="auto"/>
      </w:pPr>
      <w:r>
        <w:rPr>
          <w:b/>
          <w:bCs/>
        </w:rPr>
        <w:t xml:space="preserve">Worked example: </w:t>
      </w:r>
      <w:r>
        <w:t>an invoice recorded in January and paid in July has its open balance revalued each period from January through June, with the variance posted as unrealized gain or loss each time. When the payment finally lands in July, the realized gain or loss for that period is posted separately — the two mechanisms hand off to each other rather than overlapping.</w:t>
      </w:r>
    </w:p>
    <w:p w14:paraId="67DECD69" w14:textId="77777777" w:rsidR="00D8686B" w:rsidRDefault="003E2944">
      <w:pPr>
        <w:pStyle w:val="Heading2"/>
        <w:spacing w:before="280" w:after="140"/>
      </w:pPr>
      <w:r>
        <w:rPr>
          <w:b/>
          <w:bCs/>
          <w:color w:val="1F3864"/>
        </w:rPr>
        <w:t>3.3 GL Accounts Created for Foreign Currency Revaluation</w:t>
      </w:r>
    </w:p>
    <w:p w14:paraId="67DECD6A" w14:textId="77777777" w:rsidR="00D8686B" w:rsidRDefault="003E2944">
      <w:pPr>
        <w:spacing w:after="160" w:line="276" w:lineRule="auto"/>
      </w:pPr>
      <w:r>
        <w:t>Enabling Multiple Currencies adds a set of accounts to the chart of accounts once qualifying transactions occur, used to track the value of exchange rate fluctuations separately from the transactions themselves: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54"/>
        <w:gridCol w:w="6516"/>
      </w:tblGrid>
      <w:tr w:rsidR="00D8686B" w14:paraId="67DECD6D" w14:textId="77777777">
        <w:trPr>
          <w:tblHeader/>
        </w:trPr>
        <w:tc>
          <w:tcPr>
            <w:tcW w:w="3300" w:type="dxa"/>
            <w:shd w:val="clear" w:color="auto" w:fill="F2F2F2"/>
            <w:tcMar>
              <w:top w:w="100" w:type="dxa"/>
              <w:left w:w="120" w:type="dxa"/>
              <w:bottom w:w="100" w:type="dxa"/>
              <w:right w:w="120" w:type="dxa"/>
            </w:tcMar>
            <w:vAlign w:val="center"/>
          </w:tcPr>
          <w:p w14:paraId="67DECD6B" w14:textId="77777777" w:rsidR="00D8686B" w:rsidRDefault="003E2944">
            <w:r>
              <w:rPr>
                <w:b/>
                <w:bCs/>
                <w:color w:val="1F3864"/>
                <w:sz w:val="20"/>
                <w:szCs w:val="20"/>
              </w:rPr>
              <w:t>Account</w:t>
            </w:r>
          </w:p>
        </w:tc>
        <w:tc>
          <w:tcPr>
            <w:tcW w:w="6050" w:type="dxa"/>
            <w:shd w:val="clear" w:color="auto" w:fill="F2F2F2"/>
            <w:tcMar>
              <w:top w:w="100" w:type="dxa"/>
              <w:left w:w="120" w:type="dxa"/>
              <w:bottom w:w="100" w:type="dxa"/>
              <w:right w:w="120" w:type="dxa"/>
            </w:tcMar>
            <w:vAlign w:val="center"/>
          </w:tcPr>
          <w:p w14:paraId="67DECD6C" w14:textId="77777777" w:rsidR="00D8686B" w:rsidRDefault="003E2944">
            <w:r>
              <w:rPr>
                <w:b/>
                <w:bCs/>
                <w:color w:val="1F3864"/>
                <w:sz w:val="20"/>
                <w:szCs w:val="20"/>
              </w:rPr>
              <w:t>Source</w:t>
            </w:r>
          </w:p>
        </w:tc>
      </w:tr>
      <w:tr w:rsidR="00D8686B" w14:paraId="67DECD70" w14:textId="77777777">
        <w:tc>
          <w:tcPr>
            <w:tcW w:w="3300" w:type="dxa"/>
            <w:tcMar>
              <w:top w:w="90" w:type="dxa"/>
              <w:left w:w="120" w:type="dxa"/>
              <w:bottom w:w="90" w:type="dxa"/>
              <w:right w:w="120" w:type="dxa"/>
            </w:tcMar>
            <w:vAlign w:val="center"/>
          </w:tcPr>
          <w:p w14:paraId="67DECD6E" w14:textId="77777777" w:rsidR="00D8686B" w:rsidRDefault="003E2944">
            <w:pPr>
              <w:spacing w:after="40" w:line="250" w:lineRule="auto"/>
            </w:pPr>
            <w:r>
              <w:rPr>
                <w:sz w:val="20"/>
                <w:szCs w:val="20"/>
              </w:rPr>
              <w:t>Realized Gain/Loss</w:t>
            </w:r>
          </w:p>
        </w:tc>
        <w:tc>
          <w:tcPr>
            <w:tcW w:w="6050" w:type="dxa"/>
            <w:tcMar>
              <w:top w:w="90" w:type="dxa"/>
              <w:left w:w="120" w:type="dxa"/>
              <w:bottom w:w="90" w:type="dxa"/>
              <w:right w:w="120" w:type="dxa"/>
            </w:tcMar>
            <w:vAlign w:val="center"/>
          </w:tcPr>
          <w:p w14:paraId="67DECD6F" w14:textId="77777777" w:rsidR="00D8686B" w:rsidRDefault="003E2944">
            <w:pPr>
              <w:spacing w:after="40" w:line="250" w:lineRule="auto"/>
            </w:pPr>
            <w:r>
              <w:rPr>
                <w:sz w:val="20"/>
                <w:szCs w:val="20"/>
              </w:rPr>
              <w:t>Gains and losses from payment application (closed transactions)</w:t>
            </w:r>
          </w:p>
        </w:tc>
      </w:tr>
      <w:tr w:rsidR="00D8686B" w14:paraId="67DECD73" w14:textId="77777777">
        <w:tc>
          <w:tcPr>
            <w:tcW w:w="3300" w:type="dxa"/>
            <w:tcMar>
              <w:top w:w="90" w:type="dxa"/>
              <w:left w:w="120" w:type="dxa"/>
              <w:bottom w:w="90" w:type="dxa"/>
              <w:right w:w="120" w:type="dxa"/>
            </w:tcMar>
            <w:vAlign w:val="center"/>
          </w:tcPr>
          <w:p w14:paraId="67DECD71" w14:textId="77777777" w:rsidR="00D8686B" w:rsidRDefault="003E2944">
            <w:pPr>
              <w:spacing w:after="40" w:line="250" w:lineRule="auto"/>
            </w:pPr>
            <w:r>
              <w:rPr>
                <w:sz w:val="20"/>
                <w:szCs w:val="20"/>
              </w:rPr>
              <w:t>Unrealized Gain/Loss</w:t>
            </w:r>
          </w:p>
        </w:tc>
        <w:tc>
          <w:tcPr>
            <w:tcW w:w="6050" w:type="dxa"/>
            <w:tcMar>
              <w:top w:w="90" w:type="dxa"/>
              <w:left w:w="120" w:type="dxa"/>
              <w:bottom w:w="90" w:type="dxa"/>
              <w:right w:w="120" w:type="dxa"/>
            </w:tcMar>
            <w:vAlign w:val="center"/>
          </w:tcPr>
          <w:p w14:paraId="67DECD72" w14:textId="77777777" w:rsidR="00D8686B" w:rsidRDefault="003E2944">
            <w:pPr>
              <w:spacing w:after="40" w:line="250" w:lineRule="auto"/>
            </w:pPr>
            <w:r>
              <w:rPr>
                <w:sz w:val="20"/>
                <w:szCs w:val="20"/>
              </w:rPr>
              <w:t>Gains and losses from month-end open balance revaluation</w:t>
            </w:r>
          </w:p>
        </w:tc>
      </w:tr>
      <w:tr w:rsidR="00D8686B" w14:paraId="67DECD76" w14:textId="77777777">
        <w:tc>
          <w:tcPr>
            <w:tcW w:w="3300" w:type="dxa"/>
            <w:tcMar>
              <w:top w:w="90" w:type="dxa"/>
              <w:left w:w="120" w:type="dxa"/>
              <w:bottom w:w="90" w:type="dxa"/>
              <w:right w:w="120" w:type="dxa"/>
            </w:tcMar>
            <w:vAlign w:val="center"/>
          </w:tcPr>
          <w:p w14:paraId="67DECD74" w14:textId="77777777" w:rsidR="00D8686B" w:rsidRDefault="003E2944">
            <w:pPr>
              <w:spacing w:after="40" w:line="250" w:lineRule="auto"/>
            </w:pPr>
            <w:r>
              <w:rPr>
                <w:sz w:val="20"/>
                <w:szCs w:val="20"/>
              </w:rPr>
              <w:t>Unrealized Matching Gain/Loss</w:t>
            </w:r>
          </w:p>
        </w:tc>
        <w:tc>
          <w:tcPr>
            <w:tcW w:w="6050" w:type="dxa"/>
            <w:tcMar>
              <w:top w:w="90" w:type="dxa"/>
              <w:left w:w="120" w:type="dxa"/>
              <w:bottom w:w="90" w:type="dxa"/>
              <w:right w:w="120" w:type="dxa"/>
            </w:tcMar>
            <w:vAlign w:val="center"/>
          </w:tcPr>
          <w:p w14:paraId="67DECD75" w14:textId="77777777" w:rsidR="00D8686B" w:rsidRDefault="003E2944">
            <w:pPr>
              <w:spacing w:after="40" w:line="250" w:lineRule="auto"/>
            </w:pPr>
            <w:r>
              <w:rPr>
                <w:sz w:val="20"/>
                <w:szCs w:val="20"/>
              </w:rPr>
              <w:t>Matching unrealized gains/losses from funds deposited (e.g. the GL Impact of a bank deposit for a customer payment) and base currency adjustments</w:t>
            </w:r>
          </w:p>
        </w:tc>
      </w:tr>
      <w:tr w:rsidR="00D8686B" w14:paraId="67DECD79" w14:textId="77777777">
        <w:tc>
          <w:tcPr>
            <w:tcW w:w="3300" w:type="dxa"/>
            <w:tcMar>
              <w:top w:w="90" w:type="dxa"/>
              <w:left w:w="120" w:type="dxa"/>
              <w:bottom w:w="90" w:type="dxa"/>
              <w:right w:w="120" w:type="dxa"/>
            </w:tcMar>
            <w:vAlign w:val="center"/>
          </w:tcPr>
          <w:p w14:paraId="67DECD77" w14:textId="77777777" w:rsidR="00D8686B" w:rsidRDefault="003E2944">
            <w:pPr>
              <w:spacing w:after="40" w:line="250" w:lineRule="auto"/>
            </w:pPr>
            <w:r>
              <w:rPr>
                <w:sz w:val="20"/>
                <w:szCs w:val="20"/>
              </w:rPr>
              <w:t>Rounding Gain/Loss</w:t>
            </w:r>
          </w:p>
        </w:tc>
        <w:tc>
          <w:tcPr>
            <w:tcW w:w="6050" w:type="dxa"/>
            <w:tcMar>
              <w:top w:w="90" w:type="dxa"/>
              <w:left w:w="120" w:type="dxa"/>
              <w:bottom w:w="90" w:type="dxa"/>
              <w:right w:w="120" w:type="dxa"/>
            </w:tcMar>
            <w:vAlign w:val="center"/>
          </w:tcPr>
          <w:p w14:paraId="67DECD78" w14:textId="77777777" w:rsidR="00D8686B" w:rsidRDefault="003E2944">
            <w:pPr>
              <w:spacing w:after="40" w:line="250" w:lineRule="auto"/>
            </w:pPr>
            <w:r>
              <w:rPr>
                <w:sz w:val="20"/>
                <w:szCs w:val="20"/>
              </w:rPr>
              <w:t>Rounding differences when a payment or credit is applied to a source transaction</w:t>
            </w:r>
          </w:p>
        </w:tc>
      </w:tr>
    </w:tbl>
    <w:p w14:paraId="67DECD7A" w14:textId="77777777" w:rsidR="00D8686B" w:rsidRDefault="00D8686B">
      <w:pPr>
        <w:spacing w:after="120"/>
      </w:pPr>
    </w:p>
    <w:p w14:paraId="67DECD7B" w14:textId="77777777" w:rsidR="00D8686B" w:rsidRDefault="003E2944">
      <w:pPr>
        <w:spacing w:after="160" w:line="276" w:lineRule="auto"/>
      </w:pPr>
      <w:r>
        <w:lastRenderedPageBreak/>
        <w:t>Depending on when a NetSuite account was provisioned, an Exchange Rate Variance account may also be present. Account registers, or the Realized Exchange Rate Gains and Losses and Unrealized Exchange Rate Gains and Losses reports, are the places to see how rate fluctuations have actually affected the business over time.</w:t>
      </w:r>
    </w:p>
    <w:p w14:paraId="3C8EB9EA" w14:textId="77777777" w:rsidR="00753F32" w:rsidRDefault="00753F32">
      <w:pPr>
        <w:spacing w:after="160" w:line="276" w:lineRule="auto"/>
      </w:pPr>
    </w:p>
    <w:p w14:paraId="07F310A8" w14:textId="77777777" w:rsidR="00753F32" w:rsidRDefault="00753F32">
      <w:pPr>
        <w:spacing w:after="160" w:line="276" w:lineRule="auto"/>
      </w:pPr>
    </w:p>
    <w:p w14:paraId="39094E8B" w14:textId="77777777" w:rsidR="00753F32" w:rsidRDefault="00753F32">
      <w:pPr>
        <w:spacing w:after="160" w:line="276" w:lineRule="auto"/>
      </w:pPr>
    </w:p>
    <w:p w14:paraId="4F6D04A5" w14:textId="77777777" w:rsidR="00753F32" w:rsidRDefault="00753F32">
      <w:pPr>
        <w:spacing w:after="160" w:line="276" w:lineRule="auto"/>
      </w:pPr>
    </w:p>
    <w:p w14:paraId="62BBD7F8" w14:textId="77777777" w:rsidR="00753F32" w:rsidRDefault="00753F32">
      <w:pPr>
        <w:spacing w:after="160" w:line="276" w:lineRule="auto"/>
      </w:pPr>
    </w:p>
    <w:p w14:paraId="087CC08A" w14:textId="77777777" w:rsidR="00753F32" w:rsidRDefault="00753F32">
      <w:pPr>
        <w:spacing w:after="160" w:line="276" w:lineRule="auto"/>
      </w:pPr>
    </w:p>
    <w:p w14:paraId="6D2F5CEC" w14:textId="77777777" w:rsidR="00753F32" w:rsidRDefault="00753F32">
      <w:pPr>
        <w:spacing w:after="160" w:line="276" w:lineRule="auto"/>
      </w:pPr>
    </w:p>
    <w:p w14:paraId="7A75DE5A" w14:textId="77777777" w:rsidR="00753F32" w:rsidRDefault="00753F32">
      <w:pPr>
        <w:spacing w:after="160" w:line="276" w:lineRule="auto"/>
      </w:pPr>
    </w:p>
    <w:p w14:paraId="31373167" w14:textId="77777777" w:rsidR="00753F32" w:rsidRDefault="00753F32">
      <w:pPr>
        <w:spacing w:after="160" w:line="276" w:lineRule="auto"/>
      </w:pPr>
    </w:p>
    <w:p w14:paraId="165FFA10" w14:textId="77777777" w:rsidR="00753F32" w:rsidRDefault="00753F32">
      <w:pPr>
        <w:spacing w:after="160" w:line="276" w:lineRule="auto"/>
      </w:pPr>
    </w:p>
    <w:p w14:paraId="1F992EAB" w14:textId="77777777" w:rsidR="00753F32" w:rsidRDefault="00753F32">
      <w:pPr>
        <w:spacing w:after="160" w:line="276" w:lineRule="auto"/>
      </w:pPr>
    </w:p>
    <w:p w14:paraId="65C748C3" w14:textId="77777777" w:rsidR="00753F32" w:rsidRDefault="00753F32">
      <w:pPr>
        <w:spacing w:after="160" w:line="276" w:lineRule="auto"/>
      </w:pPr>
    </w:p>
    <w:p w14:paraId="7D0810DC" w14:textId="77777777" w:rsidR="00753F32" w:rsidRDefault="00753F32">
      <w:pPr>
        <w:spacing w:after="160" w:line="276" w:lineRule="auto"/>
      </w:pPr>
    </w:p>
    <w:p w14:paraId="594F6CB0" w14:textId="77777777" w:rsidR="00753F32" w:rsidRDefault="00753F32">
      <w:pPr>
        <w:spacing w:after="160" w:line="276" w:lineRule="auto"/>
      </w:pPr>
    </w:p>
    <w:p w14:paraId="1FF8507A" w14:textId="77777777" w:rsidR="00753F32" w:rsidRDefault="00753F32">
      <w:pPr>
        <w:spacing w:after="160" w:line="276" w:lineRule="auto"/>
      </w:pPr>
    </w:p>
    <w:p w14:paraId="2EDD1E71" w14:textId="77777777" w:rsidR="00753F32" w:rsidRDefault="00753F32">
      <w:pPr>
        <w:spacing w:after="160" w:line="276" w:lineRule="auto"/>
      </w:pPr>
    </w:p>
    <w:p w14:paraId="4C50DF90" w14:textId="77777777" w:rsidR="00753F32" w:rsidRDefault="00753F32">
      <w:pPr>
        <w:spacing w:after="160" w:line="276" w:lineRule="auto"/>
      </w:pPr>
    </w:p>
    <w:p w14:paraId="131F0173" w14:textId="77777777" w:rsidR="00753F32" w:rsidRDefault="00753F32">
      <w:pPr>
        <w:spacing w:after="160" w:line="276" w:lineRule="auto"/>
      </w:pPr>
    </w:p>
    <w:p w14:paraId="0B5A38BD" w14:textId="77777777" w:rsidR="00753F32" w:rsidRDefault="00753F32">
      <w:pPr>
        <w:spacing w:after="160" w:line="276" w:lineRule="auto"/>
      </w:pPr>
    </w:p>
    <w:p w14:paraId="5DF6EBC8" w14:textId="77777777" w:rsidR="00753F32" w:rsidRDefault="00753F32">
      <w:pPr>
        <w:spacing w:after="160" w:line="276" w:lineRule="auto"/>
      </w:pPr>
    </w:p>
    <w:p w14:paraId="3D401AE9" w14:textId="77777777" w:rsidR="00753F32" w:rsidRDefault="00753F32">
      <w:pPr>
        <w:spacing w:after="160" w:line="276" w:lineRule="auto"/>
      </w:pPr>
    </w:p>
    <w:p w14:paraId="63B33DBC" w14:textId="77777777" w:rsidR="00753F32" w:rsidRDefault="00753F32">
      <w:pPr>
        <w:spacing w:after="160" w:line="276" w:lineRule="auto"/>
      </w:pPr>
    </w:p>
    <w:p w14:paraId="2FB516F9" w14:textId="77777777" w:rsidR="00753F32" w:rsidRDefault="00753F32">
      <w:pPr>
        <w:spacing w:after="160" w:line="276" w:lineRule="auto"/>
      </w:pPr>
    </w:p>
    <w:p w14:paraId="7D22527D" w14:textId="77777777" w:rsidR="00753F32" w:rsidRDefault="00753F32">
      <w:pPr>
        <w:spacing w:after="160" w:line="276" w:lineRule="auto"/>
      </w:pPr>
    </w:p>
    <w:p w14:paraId="6DA503E7" w14:textId="77777777" w:rsidR="00753F32" w:rsidRDefault="00753F32">
      <w:pPr>
        <w:spacing w:after="160" w:line="276" w:lineRule="auto"/>
      </w:pPr>
    </w:p>
    <w:p w14:paraId="32D7A099" w14:textId="77777777" w:rsidR="00753F32" w:rsidRDefault="00753F32">
      <w:pPr>
        <w:spacing w:after="160" w:line="276" w:lineRule="auto"/>
      </w:pPr>
    </w:p>
    <w:p w14:paraId="67DECD7C" w14:textId="77777777" w:rsidR="00D8686B" w:rsidRDefault="003E2944">
      <w:pPr>
        <w:pStyle w:val="Heading1"/>
        <w:spacing w:before="360" w:after="160"/>
      </w:pPr>
      <w:r>
        <w:rPr>
          <w:b/>
          <w:bCs/>
          <w:color w:val="1F3864"/>
        </w:rPr>
        <w:lastRenderedPageBreak/>
        <w:t>4. Revaluation of Open Currency Balances</w:t>
      </w:r>
    </w:p>
    <w:p w14:paraId="67DECD7D" w14:textId="77777777" w:rsidR="00D8686B" w:rsidRDefault="003E2944">
      <w:pPr>
        <w:pStyle w:val="Heading2"/>
        <w:spacing w:before="280" w:after="140"/>
      </w:pPr>
      <w:r>
        <w:rPr>
          <w:b/>
          <w:bCs/>
          <w:color w:val="1F3864"/>
        </w:rPr>
        <w:t>4.1 Types of Accounts That Can Be Revalued</w:t>
      </w:r>
    </w:p>
    <w:p w14:paraId="67DECD7E" w14:textId="77777777" w:rsidR="00D8686B" w:rsidRDefault="003E2944">
      <w:pPr>
        <w:spacing w:after="160" w:line="276" w:lineRule="auto"/>
      </w:pPr>
      <w:r>
        <w:t xml:space="preserve">Currency revaluation applies to non-equity balance sheet accounts — including accounts that aren’t denominated by a currency at all, which NetSuite </w:t>
      </w:r>
      <w:proofErr w:type="spellStart"/>
      <w:r>
        <w:t>revalues</w:t>
      </w:r>
      <w:proofErr w:type="spellEnd"/>
      <w:r>
        <w:t xml:space="preserve"> to surface potential future realized gains and losses. Equity and income statement accounts (COGS, Expense, Income, Other Expense, Other Income) can’t be revalued. Whether a given account is offered for revaluation is controlled by its Revalue Open Balance for Foreign Currency Transactions checkbox:</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901"/>
        <w:gridCol w:w="1723"/>
        <w:gridCol w:w="1723"/>
        <w:gridCol w:w="1723"/>
      </w:tblGrid>
      <w:tr w:rsidR="00D8686B" w14:paraId="67DECD83" w14:textId="77777777">
        <w:trPr>
          <w:tblHeader/>
        </w:trPr>
        <w:tc>
          <w:tcPr>
            <w:tcW w:w="4550" w:type="dxa"/>
            <w:shd w:val="clear" w:color="auto" w:fill="F2F2F2"/>
            <w:tcMar>
              <w:top w:w="100" w:type="dxa"/>
              <w:left w:w="120" w:type="dxa"/>
              <w:bottom w:w="100" w:type="dxa"/>
              <w:right w:w="120" w:type="dxa"/>
            </w:tcMar>
            <w:vAlign w:val="center"/>
          </w:tcPr>
          <w:p w14:paraId="67DECD7F" w14:textId="77777777" w:rsidR="00D8686B" w:rsidRDefault="003E2944">
            <w:r>
              <w:rPr>
                <w:b/>
                <w:bCs/>
                <w:color w:val="1F3864"/>
                <w:sz w:val="20"/>
                <w:szCs w:val="20"/>
              </w:rPr>
              <w:t>Account Type</w:t>
            </w:r>
          </w:p>
        </w:tc>
        <w:tc>
          <w:tcPr>
            <w:tcW w:w="1600" w:type="dxa"/>
            <w:shd w:val="clear" w:color="auto" w:fill="F2F2F2"/>
            <w:tcMar>
              <w:top w:w="100" w:type="dxa"/>
              <w:left w:w="120" w:type="dxa"/>
              <w:bottom w:w="100" w:type="dxa"/>
              <w:right w:w="120" w:type="dxa"/>
            </w:tcMar>
            <w:vAlign w:val="center"/>
          </w:tcPr>
          <w:p w14:paraId="67DECD80" w14:textId="77777777" w:rsidR="00D8686B" w:rsidRDefault="003E2944">
            <w:proofErr w:type="spellStart"/>
            <w:r>
              <w:rPr>
                <w:b/>
                <w:bCs/>
                <w:color w:val="1F3864"/>
                <w:sz w:val="20"/>
                <w:szCs w:val="20"/>
              </w:rPr>
              <w:t>Revaluable</w:t>
            </w:r>
            <w:proofErr w:type="spellEnd"/>
          </w:p>
        </w:tc>
        <w:tc>
          <w:tcPr>
            <w:tcW w:w="1600" w:type="dxa"/>
            <w:shd w:val="clear" w:color="auto" w:fill="F2F2F2"/>
            <w:tcMar>
              <w:top w:w="100" w:type="dxa"/>
              <w:left w:w="120" w:type="dxa"/>
              <w:bottom w:w="100" w:type="dxa"/>
              <w:right w:w="120" w:type="dxa"/>
            </w:tcMar>
            <w:vAlign w:val="center"/>
          </w:tcPr>
          <w:p w14:paraId="67DECD81" w14:textId="77777777" w:rsidR="00D8686B" w:rsidRDefault="003E2944">
            <w:r>
              <w:rPr>
                <w:b/>
                <w:bCs/>
                <w:color w:val="1F3864"/>
                <w:sz w:val="20"/>
                <w:szCs w:val="20"/>
              </w:rPr>
              <w:t>Editable</w:t>
            </w:r>
          </w:p>
        </w:tc>
        <w:tc>
          <w:tcPr>
            <w:tcW w:w="1600" w:type="dxa"/>
            <w:shd w:val="clear" w:color="auto" w:fill="F2F2F2"/>
            <w:tcMar>
              <w:top w:w="100" w:type="dxa"/>
              <w:left w:w="120" w:type="dxa"/>
              <w:bottom w:w="100" w:type="dxa"/>
              <w:right w:w="120" w:type="dxa"/>
            </w:tcMar>
            <w:vAlign w:val="center"/>
          </w:tcPr>
          <w:p w14:paraId="67DECD82" w14:textId="77777777" w:rsidR="00D8686B" w:rsidRDefault="003E2944">
            <w:r>
              <w:rPr>
                <w:b/>
                <w:bCs/>
                <w:color w:val="1F3864"/>
                <w:sz w:val="20"/>
                <w:szCs w:val="20"/>
              </w:rPr>
              <w:t>Default</w:t>
            </w:r>
          </w:p>
        </w:tc>
      </w:tr>
      <w:tr w:rsidR="00D8686B" w14:paraId="67DECD88" w14:textId="77777777">
        <w:tc>
          <w:tcPr>
            <w:tcW w:w="4550" w:type="dxa"/>
            <w:tcMar>
              <w:top w:w="90" w:type="dxa"/>
              <w:left w:w="120" w:type="dxa"/>
              <w:bottom w:w="90" w:type="dxa"/>
              <w:right w:w="120" w:type="dxa"/>
            </w:tcMar>
            <w:vAlign w:val="center"/>
          </w:tcPr>
          <w:p w14:paraId="67DECD84" w14:textId="77777777" w:rsidR="00D8686B" w:rsidRDefault="003E2944">
            <w:pPr>
              <w:spacing w:after="40" w:line="250" w:lineRule="auto"/>
            </w:pPr>
            <w:r>
              <w:rPr>
                <w:sz w:val="20"/>
                <w:szCs w:val="20"/>
              </w:rPr>
              <w:t>Accounts Receivable, Accounts Payable, Unbilled Receivable</w:t>
            </w:r>
          </w:p>
        </w:tc>
        <w:tc>
          <w:tcPr>
            <w:tcW w:w="1600" w:type="dxa"/>
            <w:tcMar>
              <w:top w:w="90" w:type="dxa"/>
              <w:left w:w="120" w:type="dxa"/>
              <w:bottom w:w="90" w:type="dxa"/>
              <w:right w:w="120" w:type="dxa"/>
            </w:tcMar>
            <w:vAlign w:val="center"/>
          </w:tcPr>
          <w:p w14:paraId="67DECD85" w14:textId="77777777" w:rsidR="00D8686B" w:rsidRDefault="003E2944">
            <w:pPr>
              <w:spacing w:after="40" w:line="250" w:lineRule="auto"/>
            </w:pPr>
            <w:r>
              <w:rPr>
                <w:sz w:val="20"/>
                <w:szCs w:val="20"/>
              </w:rPr>
              <w:t>Yes</w:t>
            </w:r>
          </w:p>
        </w:tc>
        <w:tc>
          <w:tcPr>
            <w:tcW w:w="1600" w:type="dxa"/>
            <w:tcMar>
              <w:top w:w="90" w:type="dxa"/>
              <w:left w:w="120" w:type="dxa"/>
              <w:bottom w:w="90" w:type="dxa"/>
              <w:right w:w="120" w:type="dxa"/>
            </w:tcMar>
            <w:vAlign w:val="center"/>
          </w:tcPr>
          <w:p w14:paraId="67DECD86" w14:textId="77777777" w:rsidR="00D8686B" w:rsidRDefault="003E2944">
            <w:pPr>
              <w:spacing w:after="40" w:line="250" w:lineRule="auto"/>
            </w:pPr>
            <w:r>
              <w:rPr>
                <w:sz w:val="20"/>
                <w:szCs w:val="20"/>
              </w:rPr>
              <w:t>No</w:t>
            </w:r>
          </w:p>
        </w:tc>
        <w:tc>
          <w:tcPr>
            <w:tcW w:w="1600" w:type="dxa"/>
            <w:tcMar>
              <w:top w:w="90" w:type="dxa"/>
              <w:left w:w="120" w:type="dxa"/>
              <w:bottom w:w="90" w:type="dxa"/>
              <w:right w:w="120" w:type="dxa"/>
            </w:tcMar>
            <w:vAlign w:val="center"/>
          </w:tcPr>
          <w:p w14:paraId="67DECD87" w14:textId="77777777" w:rsidR="00D8686B" w:rsidRDefault="003E2944">
            <w:pPr>
              <w:spacing w:after="40" w:line="250" w:lineRule="auto"/>
            </w:pPr>
            <w:r>
              <w:rPr>
                <w:sz w:val="20"/>
                <w:szCs w:val="20"/>
              </w:rPr>
              <w:t>Checked</w:t>
            </w:r>
          </w:p>
        </w:tc>
      </w:tr>
      <w:tr w:rsidR="00D8686B" w14:paraId="67DECD8D" w14:textId="77777777">
        <w:tc>
          <w:tcPr>
            <w:tcW w:w="4550" w:type="dxa"/>
            <w:tcMar>
              <w:top w:w="90" w:type="dxa"/>
              <w:left w:w="120" w:type="dxa"/>
              <w:bottom w:w="90" w:type="dxa"/>
              <w:right w:w="120" w:type="dxa"/>
            </w:tcMar>
            <w:vAlign w:val="center"/>
          </w:tcPr>
          <w:p w14:paraId="67DECD89" w14:textId="77777777" w:rsidR="00D8686B" w:rsidRDefault="003E2944">
            <w:pPr>
              <w:spacing w:after="40" w:line="250" w:lineRule="auto"/>
            </w:pPr>
            <w:r>
              <w:rPr>
                <w:sz w:val="20"/>
                <w:szCs w:val="20"/>
              </w:rPr>
              <w:t>Fixed Asset, Other Current Asset, Other Asset, Deferred Revenue, Deferred Expense</w:t>
            </w:r>
          </w:p>
        </w:tc>
        <w:tc>
          <w:tcPr>
            <w:tcW w:w="1600" w:type="dxa"/>
            <w:tcMar>
              <w:top w:w="90" w:type="dxa"/>
              <w:left w:w="120" w:type="dxa"/>
              <w:bottom w:w="90" w:type="dxa"/>
              <w:right w:w="120" w:type="dxa"/>
            </w:tcMar>
            <w:vAlign w:val="center"/>
          </w:tcPr>
          <w:p w14:paraId="67DECD8A" w14:textId="77777777" w:rsidR="00D8686B" w:rsidRDefault="003E2944">
            <w:pPr>
              <w:spacing w:after="40" w:line="250" w:lineRule="auto"/>
            </w:pPr>
            <w:r>
              <w:rPr>
                <w:sz w:val="20"/>
                <w:szCs w:val="20"/>
              </w:rPr>
              <w:t>Yes</w:t>
            </w:r>
          </w:p>
        </w:tc>
        <w:tc>
          <w:tcPr>
            <w:tcW w:w="1600" w:type="dxa"/>
            <w:tcMar>
              <w:top w:w="90" w:type="dxa"/>
              <w:left w:w="120" w:type="dxa"/>
              <w:bottom w:w="90" w:type="dxa"/>
              <w:right w:w="120" w:type="dxa"/>
            </w:tcMar>
            <w:vAlign w:val="center"/>
          </w:tcPr>
          <w:p w14:paraId="67DECD8B" w14:textId="77777777" w:rsidR="00D8686B" w:rsidRDefault="003E2944">
            <w:pPr>
              <w:spacing w:after="40" w:line="250" w:lineRule="auto"/>
            </w:pPr>
            <w:r>
              <w:rPr>
                <w:sz w:val="20"/>
                <w:szCs w:val="20"/>
              </w:rPr>
              <w:t>Yes</w:t>
            </w:r>
          </w:p>
        </w:tc>
        <w:tc>
          <w:tcPr>
            <w:tcW w:w="1600" w:type="dxa"/>
            <w:tcMar>
              <w:top w:w="90" w:type="dxa"/>
              <w:left w:w="120" w:type="dxa"/>
              <w:bottom w:w="90" w:type="dxa"/>
              <w:right w:w="120" w:type="dxa"/>
            </w:tcMar>
            <w:vAlign w:val="center"/>
          </w:tcPr>
          <w:p w14:paraId="67DECD8C" w14:textId="77777777" w:rsidR="00D8686B" w:rsidRDefault="003E2944">
            <w:pPr>
              <w:spacing w:after="40" w:line="250" w:lineRule="auto"/>
            </w:pPr>
            <w:r>
              <w:rPr>
                <w:sz w:val="20"/>
                <w:szCs w:val="20"/>
              </w:rPr>
              <w:t>Clear</w:t>
            </w:r>
          </w:p>
        </w:tc>
      </w:tr>
      <w:tr w:rsidR="00D8686B" w14:paraId="67DECD92" w14:textId="77777777">
        <w:tc>
          <w:tcPr>
            <w:tcW w:w="4550" w:type="dxa"/>
            <w:tcMar>
              <w:top w:w="90" w:type="dxa"/>
              <w:left w:w="120" w:type="dxa"/>
              <w:bottom w:w="90" w:type="dxa"/>
              <w:right w:w="120" w:type="dxa"/>
            </w:tcMar>
            <w:vAlign w:val="center"/>
          </w:tcPr>
          <w:p w14:paraId="67DECD8E" w14:textId="77777777" w:rsidR="00D8686B" w:rsidRDefault="003E2944">
            <w:pPr>
              <w:spacing w:after="40" w:line="250" w:lineRule="auto"/>
            </w:pPr>
            <w:r>
              <w:rPr>
                <w:sz w:val="20"/>
                <w:szCs w:val="20"/>
              </w:rPr>
              <w:t>Bank, Credit Card, Long Term Liability, Other Current Liability</w:t>
            </w:r>
          </w:p>
        </w:tc>
        <w:tc>
          <w:tcPr>
            <w:tcW w:w="1600" w:type="dxa"/>
            <w:tcMar>
              <w:top w:w="90" w:type="dxa"/>
              <w:left w:w="120" w:type="dxa"/>
              <w:bottom w:w="90" w:type="dxa"/>
              <w:right w:w="120" w:type="dxa"/>
            </w:tcMar>
            <w:vAlign w:val="center"/>
          </w:tcPr>
          <w:p w14:paraId="67DECD8F" w14:textId="77777777" w:rsidR="00D8686B" w:rsidRDefault="003E2944">
            <w:pPr>
              <w:spacing w:after="40" w:line="250" w:lineRule="auto"/>
            </w:pPr>
            <w:r>
              <w:rPr>
                <w:sz w:val="20"/>
                <w:szCs w:val="20"/>
              </w:rPr>
              <w:t>Yes</w:t>
            </w:r>
          </w:p>
        </w:tc>
        <w:tc>
          <w:tcPr>
            <w:tcW w:w="1600" w:type="dxa"/>
            <w:tcMar>
              <w:top w:w="90" w:type="dxa"/>
              <w:left w:w="120" w:type="dxa"/>
              <w:bottom w:w="90" w:type="dxa"/>
              <w:right w:w="120" w:type="dxa"/>
            </w:tcMar>
            <w:vAlign w:val="center"/>
          </w:tcPr>
          <w:p w14:paraId="67DECD90" w14:textId="77777777" w:rsidR="00D8686B" w:rsidRDefault="003E2944">
            <w:pPr>
              <w:spacing w:after="40" w:line="250" w:lineRule="auto"/>
            </w:pPr>
            <w:r>
              <w:rPr>
                <w:sz w:val="20"/>
                <w:szCs w:val="20"/>
              </w:rPr>
              <w:t>Yes</w:t>
            </w:r>
          </w:p>
        </w:tc>
        <w:tc>
          <w:tcPr>
            <w:tcW w:w="1600" w:type="dxa"/>
            <w:tcMar>
              <w:top w:w="90" w:type="dxa"/>
              <w:left w:w="120" w:type="dxa"/>
              <w:bottom w:w="90" w:type="dxa"/>
              <w:right w:w="120" w:type="dxa"/>
            </w:tcMar>
            <w:vAlign w:val="center"/>
          </w:tcPr>
          <w:p w14:paraId="67DECD91" w14:textId="77777777" w:rsidR="00D8686B" w:rsidRDefault="003E2944">
            <w:pPr>
              <w:spacing w:after="40" w:line="250" w:lineRule="auto"/>
            </w:pPr>
            <w:r>
              <w:rPr>
                <w:sz w:val="20"/>
                <w:szCs w:val="20"/>
              </w:rPr>
              <w:t>Checked</w:t>
            </w:r>
          </w:p>
        </w:tc>
      </w:tr>
    </w:tbl>
    <w:p w14:paraId="67DECD93" w14:textId="77777777" w:rsidR="00D8686B" w:rsidRDefault="00D8686B">
      <w:pPr>
        <w:spacing w:after="120"/>
      </w:pPr>
    </w:p>
    <w:p w14:paraId="67DECD94" w14:textId="77777777" w:rsidR="00D8686B" w:rsidRDefault="003E2944">
      <w:pPr>
        <w:spacing w:after="160" w:line="276" w:lineRule="auto"/>
      </w:pPr>
      <w:r>
        <w:t>Accounts Receivable, Accounts Payable, and Unbilled Receivable are always included on the Month End Currency Revaluation page. A foreign-currency transaction posted to a Bank or Credit Card account whose currency matches the subsidiary’s base currency is treated as a base currency transaction and isn’t revalued — and journal entries that post to AR/AP accounts are considered closed transactions unless they include a vendor or customer name.</w:t>
      </w:r>
    </w:p>
    <w:p w14:paraId="67DECD95" w14:textId="77777777" w:rsidR="00D8686B" w:rsidRDefault="003E2944">
      <w:pPr>
        <w:pStyle w:val="Heading2"/>
        <w:spacing w:before="280" w:after="140"/>
      </w:pPr>
      <w:r>
        <w:rPr>
          <w:b/>
          <w:bCs/>
          <w:color w:val="1F3864"/>
        </w:rPr>
        <w:t>4.2 Generating Revaluations</w:t>
      </w:r>
    </w:p>
    <w:p w14:paraId="67DECD96" w14:textId="77777777" w:rsidR="00D8686B" w:rsidRDefault="003E2944">
      <w:pPr>
        <w:spacing w:after="160" w:line="276" w:lineRule="auto"/>
      </w:pPr>
      <w:r>
        <w:t>Revaluations are generated from Transactions &gt; Financial &gt; Revalue Open Currency Balances, or from the Revalue Open Foreign Currency Balances task on the Period Close Checklist. Generating them requires the Currency Revaluation permission at Create level; deleting previous revaluation transactions that the process needs to replace requires Full level; and completing the task for an already-locked period requires the Override Period Restrictions permission.</w:t>
      </w:r>
    </w:p>
    <w:p w14:paraId="67DECD97" w14:textId="77777777" w:rsidR="00D8686B" w:rsidRDefault="003E2944">
      <w:pPr>
        <w:pStyle w:val="ListParagraph"/>
        <w:numPr>
          <w:ilvl w:val="0"/>
          <w:numId w:val="1"/>
        </w:numPr>
        <w:spacing w:after="100" w:line="270" w:lineRule="auto"/>
      </w:pPr>
      <w:r>
        <w:t>Select a Posting Period — revaluation is based on the transaction period; if run before period end, the current date’s exchange rate is used instead of the last day of the period.</w:t>
      </w:r>
    </w:p>
    <w:p w14:paraId="67DECD98" w14:textId="77777777" w:rsidR="00D8686B" w:rsidRDefault="003E2944">
      <w:pPr>
        <w:pStyle w:val="ListParagraph"/>
        <w:numPr>
          <w:ilvl w:val="0"/>
          <w:numId w:val="1"/>
        </w:numPr>
        <w:spacing w:after="100" w:line="270" w:lineRule="auto"/>
      </w:pPr>
      <w:r>
        <w:t>For OneWorld, select a Subsidiary, and check Include Children to run revaluation for multiple subsidiaries at once (this disables the Class/Department/Location/custom segment filters).</w:t>
      </w:r>
    </w:p>
    <w:p w14:paraId="67DECD99" w14:textId="77777777" w:rsidR="00D8686B" w:rsidRDefault="003E2944">
      <w:pPr>
        <w:pStyle w:val="ListParagraph"/>
        <w:numPr>
          <w:ilvl w:val="0"/>
          <w:numId w:val="1"/>
        </w:numPr>
        <w:spacing w:after="100" w:line="270" w:lineRule="auto"/>
      </w:pPr>
      <w:r>
        <w:t>Check Match Source Classification to generate a separate revaluation per classification combination for Open Receivables and Open Payables — every source transaction must already carry the required classification values, or the process errors out.</w:t>
      </w:r>
    </w:p>
    <w:p w14:paraId="67DECD9A" w14:textId="77777777" w:rsidR="00D8686B" w:rsidRDefault="003E2944">
      <w:pPr>
        <w:pStyle w:val="ListParagraph"/>
        <w:numPr>
          <w:ilvl w:val="0"/>
          <w:numId w:val="1"/>
        </w:numPr>
        <w:spacing w:after="100" w:line="270" w:lineRule="auto"/>
      </w:pPr>
      <w:r>
        <w:t>Select an Account Type (or All), then check the accounts to include, or use Mark All / Unmark All.</w:t>
      </w:r>
    </w:p>
    <w:p w14:paraId="67DECD9B" w14:textId="77777777" w:rsidR="00D8686B" w:rsidRDefault="003E2944">
      <w:pPr>
        <w:pStyle w:val="ListParagraph"/>
        <w:numPr>
          <w:ilvl w:val="0"/>
          <w:numId w:val="1"/>
        </w:numPr>
        <w:spacing w:after="100" w:line="270" w:lineRule="auto"/>
      </w:pPr>
      <w:r>
        <w:lastRenderedPageBreak/>
        <w:t>Save to run the process for the selected period and accounts — resubmitting the same combination before the first run finishes returns an error, and a single currency revaluation transaction is capped at 2,000 lines, with Open Receivables/Payables kept in a transaction separate from Other Accounts.</w:t>
      </w:r>
    </w:p>
    <w:p w14:paraId="67DECD9C" w14:textId="77777777" w:rsidR="00D8686B" w:rsidRDefault="003E2944">
      <w:pPr>
        <w:spacing w:after="160" w:line="276" w:lineRule="auto"/>
      </w:pPr>
      <w:r>
        <w:t>The total variance for each currency revaluation transaction created posts to the Unrealized Gain/Loss account. Reopening a period, posting changes, and rerunning its revaluation after later periods have already closed means those later periods’ revaluations need to be rerun too — revaluation results are not independent across periods.</w:t>
      </w:r>
    </w:p>
    <w:p w14:paraId="67DECD9D" w14:textId="77777777" w:rsidR="00D8686B" w:rsidRDefault="003E2944">
      <w:pPr>
        <w:pStyle w:val="Heading2"/>
        <w:spacing w:before="280" w:after="140"/>
      </w:pPr>
      <w:r>
        <w:rPr>
          <w:b/>
          <w:bCs/>
          <w:color w:val="1F3864"/>
        </w:rPr>
        <w:t>4.3 Currency Revaluation Transaction Types</w:t>
      </w:r>
    </w:p>
    <w:p w14:paraId="67DECD9E" w14:textId="77777777" w:rsidR="00D8686B" w:rsidRDefault="003E2944">
      <w:pPr>
        <w:spacing w:after="160" w:line="276" w:lineRule="auto"/>
      </w:pPr>
      <w:r>
        <w:t>NetSuite generates several distinct types of currency revaluation transactions, shown in parentheses at the top of the transaction record: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16"/>
        <w:gridCol w:w="7054"/>
      </w:tblGrid>
      <w:tr w:rsidR="00D8686B" w14:paraId="67DECDA1" w14:textId="77777777">
        <w:trPr>
          <w:tblHeader/>
        </w:trPr>
        <w:tc>
          <w:tcPr>
            <w:tcW w:w="2800" w:type="dxa"/>
            <w:shd w:val="clear" w:color="auto" w:fill="F2F2F2"/>
            <w:tcMar>
              <w:top w:w="100" w:type="dxa"/>
              <w:left w:w="120" w:type="dxa"/>
              <w:bottom w:w="100" w:type="dxa"/>
              <w:right w:w="120" w:type="dxa"/>
            </w:tcMar>
            <w:vAlign w:val="center"/>
          </w:tcPr>
          <w:p w14:paraId="67DECD9F" w14:textId="77777777" w:rsidR="00D8686B" w:rsidRDefault="003E2944">
            <w:r>
              <w:rPr>
                <w:b/>
                <w:bCs/>
                <w:color w:val="1F3864"/>
                <w:sz w:val="20"/>
                <w:szCs w:val="20"/>
              </w:rPr>
              <w:t>Type</w:t>
            </w:r>
          </w:p>
        </w:tc>
        <w:tc>
          <w:tcPr>
            <w:tcW w:w="6550" w:type="dxa"/>
            <w:shd w:val="clear" w:color="auto" w:fill="F2F2F2"/>
            <w:tcMar>
              <w:top w:w="100" w:type="dxa"/>
              <w:left w:w="120" w:type="dxa"/>
              <w:bottom w:w="100" w:type="dxa"/>
              <w:right w:w="120" w:type="dxa"/>
            </w:tcMar>
            <w:vAlign w:val="center"/>
          </w:tcPr>
          <w:p w14:paraId="67DECDA0" w14:textId="77777777" w:rsidR="00D8686B" w:rsidRDefault="003E2944">
            <w:r>
              <w:rPr>
                <w:b/>
                <w:bCs/>
                <w:color w:val="1F3864"/>
                <w:sz w:val="20"/>
                <w:szCs w:val="20"/>
              </w:rPr>
              <w:t>When It’s Created</w:t>
            </w:r>
          </w:p>
        </w:tc>
      </w:tr>
      <w:tr w:rsidR="00D8686B" w14:paraId="67DECDA4" w14:textId="77777777">
        <w:tc>
          <w:tcPr>
            <w:tcW w:w="2800" w:type="dxa"/>
            <w:tcMar>
              <w:top w:w="90" w:type="dxa"/>
              <w:left w:w="120" w:type="dxa"/>
              <w:bottom w:w="90" w:type="dxa"/>
              <w:right w:w="120" w:type="dxa"/>
            </w:tcMar>
            <w:vAlign w:val="center"/>
          </w:tcPr>
          <w:p w14:paraId="67DECDA2" w14:textId="77777777" w:rsidR="00D8686B" w:rsidRDefault="003E2944">
            <w:pPr>
              <w:spacing w:after="40" w:line="250" w:lineRule="auto"/>
            </w:pPr>
            <w:r>
              <w:rPr>
                <w:sz w:val="20"/>
                <w:szCs w:val="20"/>
              </w:rPr>
              <w:t>Unrealized Gain/Loss</w:t>
            </w:r>
          </w:p>
        </w:tc>
        <w:tc>
          <w:tcPr>
            <w:tcW w:w="6550" w:type="dxa"/>
            <w:tcMar>
              <w:top w:w="90" w:type="dxa"/>
              <w:left w:w="120" w:type="dxa"/>
              <w:bottom w:w="90" w:type="dxa"/>
              <w:right w:w="120" w:type="dxa"/>
            </w:tcMar>
            <w:vAlign w:val="center"/>
          </w:tcPr>
          <w:p w14:paraId="67DECDA3" w14:textId="77777777" w:rsidR="00D8686B" w:rsidRDefault="003E2944">
            <w:pPr>
              <w:spacing w:after="40" w:line="250" w:lineRule="auto"/>
            </w:pPr>
            <w:r>
              <w:rPr>
                <w:sz w:val="20"/>
                <w:szCs w:val="20"/>
              </w:rPr>
              <w:t>Result of the Month End Currency Revaluation process; rerunning revaluation in the same period doesn’t delete these — additional transactions are created to reflect changes.</w:t>
            </w:r>
          </w:p>
        </w:tc>
      </w:tr>
      <w:tr w:rsidR="00D8686B" w14:paraId="67DECDA7" w14:textId="77777777">
        <w:tc>
          <w:tcPr>
            <w:tcW w:w="2800" w:type="dxa"/>
            <w:tcMar>
              <w:top w:w="90" w:type="dxa"/>
              <w:left w:w="120" w:type="dxa"/>
              <w:bottom w:w="90" w:type="dxa"/>
              <w:right w:w="120" w:type="dxa"/>
            </w:tcMar>
            <w:vAlign w:val="center"/>
          </w:tcPr>
          <w:p w14:paraId="67DECDA5" w14:textId="77777777" w:rsidR="00D8686B" w:rsidRDefault="003E2944">
            <w:pPr>
              <w:spacing w:after="40" w:line="250" w:lineRule="auto"/>
            </w:pPr>
            <w:r>
              <w:rPr>
                <w:sz w:val="20"/>
                <w:szCs w:val="20"/>
              </w:rPr>
              <w:t>Reversal of Unrealized Gain/Loss</w:t>
            </w:r>
          </w:p>
        </w:tc>
        <w:tc>
          <w:tcPr>
            <w:tcW w:w="6550" w:type="dxa"/>
            <w:tcMar>
              <w:top w:w="90" w:type="dxa"/>
              <w:left w:w="120" w:type="dxa"/>
              <w:bottom w:w="90" w:type="dxa"/>
              <w:right w:w="120" w:type="dxa"/>
            </w:tcMar>
            <w:vAlign w:val="center"/>
          </w:tcPr>
          <w:p w14:paraId="67DECDA6" w14:textId="77777777" w:rsidR="00D8686B" w:rsidRDefault="003E2944">
            <w:pPr>
              <w:spacing w:after="40" w:line="250" w:lineRule="auto"/>
            </w:pPr>
            <w:r>
              <w:rPr>
                <w:sz w:val="20"/>
                <w:szCs w:val="20"/>
              </w:rPr>
              <w:t>Automatically reverses the prior month’s Unrealized Gain/Loss, posting on the first day of the next period; can’t be edited or deleted directly, only via the associated month-end revaluation.</w:t>
            </w:r>
          </w:p>
        </w:tc>
      </w:tr>
      <w:tr w:rsidR="00D8686B" w14:paraId="67DECDAA" w14:textId="77777777">
        <w:tc>
          <w:tcPr>
            <w:tcW w:w="2800" w:type="dxa"/>
            <w:tcMar>
              <w:top w:w="90" w:type="dxa"/>
              <w:left w:w="120" w:type="dxa"/>
              <w:bottom w:w="90" w:type="dxa"/>
              <w:right w:w="120" w:type="dxa"/>
            </w:tcMar>
            <w:vAlign w:val="center"/>
          </w:tcPr>
          <w:p w14:paraId="67DECDA8" w14:textId="77777777" w:rsidR="00D8686B" w:rsidRDefault="003E2944">
            <w:pPr>
              <w:spacing w:after="40" w:line="250" w:lineRule="auto"/>
            </w:pPr>
            <w:r>
              <w:rPr>
                <w:sz w:val="20"/>
                <w:szCs w:val="20"/>
              </w:rPr>
              <w:t>Realized Gain/Loss</w:t>
            </w:r>
          </w:p>
        </w:tc>
        <w:tc>
          <w:tcPr>
            <w:tcW w:w="6550" w:type="dxa"/>
            <w:tcMar>
              <w:top w:w="90" w:type="dxa"/>
              <w:left w:w="120" w:type="dxa"/>
              <w:bottom w:w="90" w:type="dxa"/>
              <w:right w:w="120" w:type="dxa"/>
            </w:tcMar>
            <w:vAlign w:val="center"/>
          </w:tcPr>
          <w:p w14:paraId="67DECDA9" w14:textId="77777777" w:rsidR="00D8686B" w:rsidRDefault="003E2944">
            <w:pPr>
              <w:spacing w:after="40" w:line="250" w:lineRule="auto"/>
            </w:pPr>
            <w:r>
              <w:rPr>
                <w:sz w:val="20"/>
                <w:szCs w:val="20"/>
              </w:rPr>
              <w:t>Variance between a source transaction’s initial value and its value on payment/closure; can’t be deleted, though NetSuite may auto-delete and recreate it if the source transaction changes.</w:t>
            </w:r>
          </w:p>
        </w:tc>
      </w:tr>
      <w:tr w:rsidR="00D8686B" w14:paraId="67DECDAD" w14:textId="77777777">
        <w:tc>
          <w:tcPr>
            <w:tcW w:w="2800" w:type="dxa"/>
            <w:tcMar>
              <w:top w:w="90" w:type="dxa"/>
              <w:left w:w="120" w:type="dxa"/>
              <w:bottom w:w="90" w:type="dxa"/>
              <w:right w:w="120" w:type="dxa"/>
            </w:tcMar>
            <w:vAlign w:val="center"/>
          </w:tcPr>
          <w:p w14:paraId="67DECDAB" w14:textId="77777777" w:rsidR="00D8686B" w:rsidRDefault="003E2944">
            <w:pPr>
              <w:spacing w:after="40" w:line="250" w:lineRule="auto"/>
            </w:pPr>
            <w:r>
              <w:rPr>
                <w:sz w:val="20"/>
                <w:szCs w:val="20"/>
              </w:rPr>
              <w:t>Rounding Gain/Loss</w:t>
            </w:r>
          </w:p>
        </w:tc>
        <w:tc>
          <w:tcPr>
            <w:tcW w:w="6550" w:type="dxa"/>
            <w:tcMar>
              <w:top w:w="90" w:type="dxa"/>
              <w:left w:w="120" w:type="dxa"/>
              <w:bottom w:w="90" w:type="dxa"/>
              <w:right w:w="120" w:type="dxa"/>
            </w:tcMar>
            <w:vAlign w:val="center"/>
          </w:tcPr>
          <w:p w14:paraId="67DECDAC" w14:textId="77777777" w:rsidR="00D8686B" w:rsidRDefault="003E2944">
            <w:pPr>
              <w:spacing w:after="40" w:line="250" w:lineRule="auto"/>
            </w:pPr>
            <w:r>
              <w:rPr>
                <w:sz w:val="20"/>
                <w:szCs w:val="20"/>
              </w:rPr>
              <w:t>Rounding differences when a payment or credit is applied to a source transaction.</w:t>
            </w:r>
          </w:p>
        </w:tc>
      </w:tr>
      <w:tr w:rsidR="00D8686B" w14:paraId="67DECDB0" w14:textId="77777777">
        <w:tc>
          <w:tcPr>
            <w:tcW w:w="2800" w:type="dxa"/>
            <w:tcMar>
              <w:top w:w="90" w:type="dxa"/>
              <w:left w:w="120" w:type="dxa"/>
              <w:bottom w:w="90" w:type="dxa"/>
              <w:right w:w="120" w:type="dxa"/>
            </w:tcMar>
            <w:vAlign w:val="center"/>
          </w:tcPr>
          <w:p w14:paraId="67DECDAE" w14:textId="77777777" w:rsidR="00D8686B" w:rsidRDefault="003E2944">
            <w:pPr>
              <w:spacing w:after="40" w:line="250" w:lineRule="auto"/>
            </w:pPr>
            <w:r>
              <w:rPr>
                <w:sz w:val="20"/>
                <w:szCs w:val="20"/>
              </w:rPr>
              <w:t>Base Currency Adjustment</w:t>
            </w:r>
          </w:p>
        </w:tc>
        <w:tc>
          <w:tcPr>
            <w:tcW w:w="6550" w:type="dxa"/>
            <w:tcMar>
              <w:top w:w="90" w:type="dxa"/>
              <w:left w:w="120" w:type="dxa"/>
              <w:bottom w:w="90" w:type="dxa"/>
              <w:right w:w="120" w:type="dxa"/>
            </w:tcMar>
            <w:vAlign w:val="center"/>
          </w:tcPr>
          <w:p w14:paraId="67DECDAF" w14:textId="77777777" w:rsidR="00D8686B" w:rsidRDefault="003E2944">
            <w:pPr>
              <w:spacing w:after="40" w:line="250" w:lineRule="auto"/>
            </w:pPr>
            <w:r>
              <w:rPr>
                <w:sz w:val="20"/>
                <w:szCs w:val="20"/>
              </w:rPr>
              <w:t>Created as part of Month End Currency Revaluation to equalize foreign-currency and base-currency balances and stop continuous revaluation of residual amounts; auto-deleted and recreated on rerun if still appropriate.</w:t>
            </w:r>
          </w:p>
        </w:tc>
      </w:tr>
    </w:tbl>
    <w:p w14:paraId="67DECDB1" w14:textId="77777777" w:rsidR="00D8686B" w:rsidRDefault="00D8686B">
      <w:pPr>
        <w:spacing w:after="120"/>
      </w:pPr>
    </w:p>
    <w:p w14:paraId="67DECDB2" w14:textId="77777777" w:rsidR="00D8686B" w:rsidRDefault="003E2944">
      <w:pPr>
        <w:spacing w:after="160" w:line="276" w:lineRule="auto"/>
      </w:pPr>
      <w:r>
        <w:t>Currency revaluation transactions can only be edited while their period is open, and editing is generally limited to the Memo field and Classification group fields — Rounding and Realized Gain/Loss transactions additionally allow editing the Posting Period. The Details subtab of an Unrealized Gain/Loss transaction breaks out Prior Gain/Loss, Net Gain/Loss, Base Currency Balance, and the Exchange Rate used as of the last day of the posting period, per open item revalued.</w:t>
      </w:r>
    </w:p>
    <w:p w14:paraId="67DECDB3" w14:textId="77777777" w:rsidR="00D8686B" w:rsidRDefault="003E2944">
      <w:r>
        <w:br w:type="page"/>
      </w:r>
    </w:p>
    <w:p w14:paraId="67DECDB4" w14:textId="77777777" w:rsidR="00D8686B" w:rsidRDefault="003E2944">
      <w:pPr>
        <w:pStyle w:val="Heading1"/>
        <w:spacing w:before="360" w:after="160"/>
      </w:pPr>
      <w:r>
        <w:rPr>
          <w:b/>
          <w:bCs/>
          <w:color w:val="1F3864"/>
        </w:rPr>
        <w:lastRenderedPageBreak/>
        <w:t>5. Consolidated Exchange Rates — Rolling Up Multi-Base-Currency Subsidiaries</w:t>
      </w:r>
    </w:p>
    <w:p w14:paraId="67DECDB5" w14:textId="77777777" w:rsidR="00D8686B" w:rsidRDefault="003E2944">
      <w:pPr>
        <w:spacing w:after="160" w:line="276" w:lineRule="auto"/>
      </w:pPr>
      <w:r>
        <w:t>For OneWorld accounts where subsidiaries don’t all share the same base currency, Lists &gt; Accounting &gt; Consolidated Exchange Rates maintains the rates that let child-subsidiary figures translate correctly into a parent’s (or grandparent’s) reporting currency for consolidated financial statements. Working with this table requires the Currency permission at the Full level.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93"/>
        <w:gridCol w:w="7377"/>
      </w:tblGrid>
      <w:tr w:rsidR="00D8686B" w14:paraId="67DECDB8" w14:textId="77777777">
        <w:trPr>
          <w:tblHeader/>
        </w:trPr>
        <w:tc>
          <w:tcPr>
            <w:tcW w:w="2500" w:type="dxa"/>
            <w:shd w:val="clear" w:color="auto" w:fill="F2F2F2"/>
            <w:tcMar>
              <w:top w:w="100" w:type="dxa"/>
              <w:left w:w="120" w:type="dxa"/>
              <w:bottom w:w="100" w:type="dxa"/>
              <w:right w:w="120" w:type="dxa"/>
            </w:tcMar>
            <w:vAlign w:val="center"/>
          </w:tcPr>
          <w:p w14:paraId="67DECDB6" w14:textId="77777777" w:rsidR="00D8686B" w:rsidRDefault="003E2944">
            <w:r>
              <w:rPr>
                <w:b/>
                <w:bCs/>
                <w:color w:val="1F3864"/>
                <w:sz w:val="20"/>
                <w:szCs w:val="20"/>
              </w:rPr>
              <w:t>Rate Type</w:t>
            </w:r>
          </w:p>
        </w:tc>
        <w:tc>
          <w:tcPr>
            <w:tcW w:w="6850" w:type="dxa"/>
            <w:shd w:val="clear" w:color="auto" w:fill="F2F2F2"/>
            <w:tcMar>
              <w:top w:w="100" w:type="dxa"/>
              <w:left w:w="120" w:type="dxa"/>
              <w:bottom w:w="100" w:type="dxa"/>
              <w:right w:w="120" w:type="dxa"/>
            </w:tcMar>
            <w:vAlign w:val="center"/>
          </w:tcPr>
          <w:p w14:paraId="67DECDB7" w14:textId="77777777" w:rsidR="00D8686B" w:rsidRDefault="003E2944">
            <w:r>
              <w:rPr>
                <w:b/>
                <w:bCs/>
                <w:color w:val="1F3864"/>
                <w:sz w:val="20"/>
                <w:szCs w:val="20"/>
              </w:rPr>
              <w:t>Typical Use</w:t>
            </w:r>
          </w:p>
        </w:tc>
      </w:tr>
      <w:tr w:rsidR="00D8686B" w14:paraId="67DECDBB" w14:textId="77777777">
        <w:tc>
          <w:tcPr>
            <w:tcW w:w="2500" w:type="dxa"/>
            <w:tcMar>
              <w:top w:w="90" w:type="dxa"/>
              <w:left w:w="120" w:type="dxa"/>
              <w:bottom w:w="90" w:type="dxa"/>
              <w:right w:w="120" w:type="dxa"/>
            </w:tcMar>
            <w:vAlign w:val="center"/>
          </w:tcPr>
          <w:p w14:paraId="67DECDB9" w14:textId="77777777" w:rsidR="00D8686B" w:rsidRDefault="003E2944">
            <w:pPr>
              <w:spacing w:after="40" w:line="250" w:lineRule="auto"/>
            </w:pPr>
            <w:r>
              <w:rPr>
                <w:sz w:val="20"/>
                <w:szCs w:val="20"/>
              </w:rPr>
              <w:t>Current</w:t>
            </w:r>
          </w:p>
        </w:tc>
        <w:tc>
          <w:tcPr>
            <w:tcW w:w="6850" w:type="dxa"/>
            <w:tcMar>
              <w:top w:w="90" w:type="dxa"/>
              <w:left w:w="120" w:type="dxa"/>
              <w:bottom w:w="90" w:type="dxa"/>
              <w:right w:w="120" w:type="dxa"/>
            </w:tcMar>
            <w:vAlign w:val="center"/>
          </w:tcPr>
          <w:p w14:paraId="67DECDBA" w14:textId="77777777" w:rsidR="00D8686B" w:rsidRDefault="003E2944">
            <w:pPr>
              <w:spacing w:after="40" w:line="250" w:lineRule="auto"/>
            </w:pPr>
            <w:r>
              <w:rPr>
                <w:sz w:val="20"/>
                <w:szCs w:val="20"/>
              </w:rPr>
              <w:t>Balance sheet accounts — translated at the rate in effect at period end</w:t>
            </w:r>
          </w:p>
        </w:tc>
      </w:tr>
      <w:tr w:rsidR="00D8686B" w14:paraId="67DECDBE" w14:textId="77777777">
        <w:tc>
          <w:tcPr>
            <w:tcW w:w="2500" w:type="dxa"/>
            <w:tcMar>
              <w:top w:w="90" w:type="dxa"/>
              <w:left w:w="120" w:type="dxa"/>
              <w:bottom w:w="90" w:type="dxa"/>
              <w:right w:w="120" w:type="dxa"/>
            </w:tcMar>
            <w:vAlign w:val="center"/>
          </w:tcPr>
          <w:p w14:paraId="67DECDBC" w14:textId="77777777" w:rsidR="00D8686B" w:rsidRDefault="003E2944">
            <w:pPr>
              <w:spacing w:after="40" w:line="250" w:lineRule="auto"/>
            </w:pPr>
            <w:r>
              <w:rPr>
                <w:sz w:val="20"/>
                <w:szCs w:val="20"/>
              </w:rPr>
              <w:t>Average</w:t>
            </w:r>
          </w:p>
        </w:tc>
        <w:tc>
          <w:tcPr>
            <w:tcW w:w="6850" w:type="dxa"/>
            <w:tcMar>
              <w:top w:w="90" w:type="dxa"/>
              <w:left w:w="120" w:type="dxa"/>
              <w:bottom w:w="90" w:type="dxa"/>
              <w:right w:w="120" w:type="dxa"/>
            </w:tcMar>
            <w:vAlign w:val="center"/>
          </w:tcPr>
          <w:p w14:paraId="67DECDBD" w14:textId="77777777" w:rsidR="00D8686B" w:rsidRDefault="003E2944">
            <w:pPr>
              <w:spacing w:after="40" w:line="250" w:lineRule="auto"/>
            </w:pPr>
            <w:r>
              <w:rPr>
                <w:sz w:val="20"/>
                <w:szCs w:val="20"/>
              </w:rPr>
              <w:t>Income statement accounts — translated at the average rate over the period</w:t>
            </w:r>
          </w:p>
        </w:tc>
      </w:tr>
      <w:tr w:rsidR="00D8686B" w14:paraId="67DECDC1" w14:textId="77777777">
        <w:tc>
          <w:tcPr>
            <w:tcW w:w="2500" w:type="dxa"/>
            <w:tcMar>
              <w:top w:w="90" w:type="dxa"/>
              <w:left w:w="120" w:type="dxa"/>
              <w:bottom w:w="90" w:type="dxa"/>
              <w:right w:w="120" w:type="dxa"/>
            </w:tcMar>
            <w:vAlign w:val="center"/>
          </w:tcPr>
          <w:p w14:paraId="67DECDBF" w14:textId="77777777" w:rsidR="00D8686B" w:rsidRDefault="003E2944">
            <w:pPr>
              <w:spacing w:after="40" w:line="250" w:lineRule="auto"/>
            </w:pPr>
            <w:r>
              <w:rPr>
                <w:sz w:val="20"/>
                <w:szCs w:val="20"/>
              </w:rPr>
              <w:t>Historical</w:t>
            </w:r>
          </w:p>
        </w:tc>
        <w:tc>
          <w:tcPr>
            <w:tcW w:w="6850" w:type="dxa"/>
            <w:tcMar>
              <w:top w:w="90" w:type="dxa"/>
              <w:left w:w="120" w:type="dxa"/>
              <w:bottom w:w="90" w:type="dxa"/>
              <w:right w:w="120" w:type="dxa"/>
            </w:tcMar>
            <w:vAlign w:val="center"/>
          </w:tcPr>
          <w:p w14:paraId="67DECDC0" w14:textId="77777777" w:rsidR="00D8686B" w:rsidRDefault="003E2944">
            <w:pPr>
              <w:spacing w:after="40" w:line="250" w:lineRule="auto"/>
            </w:pPr>
            <w:r>
              <w:rPr>
                <w:sz w:val="20"/>
                <w:szCs w:val="20"/>
              </w:rPr>
              <w:t>Equity accounts — translated at the rate in effect when the balance originated</w:t>
            </w:r>
          </w:p>
        </w:tc>
      </w:tr>
    </w:tbl>
    <w:p w14:paraId="67DECDC2" w14:textId="77777777" w:rsidR="00D8686B" w:rsidRDefault="00D8686B">
      <w:pPr>
        <w:spacing w:after="120"/>
      </w:pPr>
    </w:p>
    <w:p w14:paraId="67DECDC3" w14:textId="77777777" w:rsidR="00D8686B" w:rsidRDefault="003E2944">
      <w:pPr>
        <w:spacing w:after="160" w:line="276" w:lineRule="auto"/>
      </w:pPr>
      <w:r>
        <w:t>Translation differences that arise purely from consolidation — as opposed to from an individual transaction’s own currency movement — are tracked as cumulative translation adjustments in equity, to comply with standard accounting treatment, rather than flowing through net income. This is a separate concern from the Realized/Unrealized Gain/Loss accounts covered in Section 3, which capture the transaction-level effect of exchange rate movement, not the consolidation-level effect of rolling one base currency into another.</w:t>
      </w:r>
    </w:p>
    <w:p w14:paraId="39CDA152" w14:textId="77777777" w:rsidR="004218DF" w:rsidRDefault="004218DF">
      <w:pPr>
        <w:spacing w:after="160" w:line="276" w:lineRule="auto"/>
      </w:pPr>
    </w:p>
    <w:p w14:paraId="0058CBB3" w14:textId="77777777" w:rsidR="004218DF" w:rsidRDefault="004218DF">
      <w:pPr>
        <w:spacing w:after="160" w:line="276" w:lineRule="auto"/>
      </w:pPr>
    </w:p>
    <w:p w14:paraId="1CC2D0E3" w14:textId="77777777" w:rsidR="004218DF" w:rsidRDefault="004218DF">
      <w:pPr>
        <w:spacing w:after="160" w:line="276" w:lineRule="auto"/>
      </w:pPr>
    </w:p>
    <w:p w14:paraId="053FDE8D" w14:textId="77777777" w:rsidR="004218DF" w:rsidRDefault="004218DF">
      <w:pPr>
        <w:spacing w:after="160" w:line="276" w:lineRule="auto"/>
      </w:pPr>
    </w:p>
    <w:p w14:paraId="63F4F6B3" w14:textId="77777777" w:rsidR="004218DF" w:rsidRDefault="004218DF">
      <w:pPr>
        <w:spacing w:after="160" w:line="276" w:lineRule="auto"/>
      </w:pPr>
    </w:p>
    <w:p w14:paraId="3B0738D7" w14:textId="77777777" w:rsidR="004218DF" w:rsidRDefault="004218DF">
      <w:pPr>
        <w:spacing w:after="160" w:line="276" w:lineRule="auto"/>
      </w:pPr>
    </w:p>
    <w:p w14:paraId="1CC0A121" w14:textId="77777777" w:rsidR="004218DF" w:rsidRDefault="004218DF">
      <w:pPr>
        <w:spacing w:after="160" w:line="276" w:lineRule="auto"/>
      </w:pPr>
    </w:p>
    <w:p w14:paraId="782100E6" w14:textId="77777777" w:rsidR="004218DF" w:rsidRDefault="004218DF">
      <w:pPr>
        <w:spacing w:after="160" w:line="276" w:lineRule="auto"/>
      </w:pPr>
    </w:p>
    <w:p w14:paraId="35E9E000" w14:textId="77777777" w:rsidR="004218DF" w:rsidRDefault="004218DF">
      <w:pPr>
        <w:spacing w:after="160" w:line="276" w:lineRule="auto"/>
      </w:pPr>
    </w:p>
    <w:p w14:paraId="74FDAB0F" w14:textId="77777777" w:rsidR="004218DF" w:rsidRDefault="004218DF">
      <w:pPr>
        <w:spacing w:after="160" w:line="276" w:lineRule="auto"/>
      </w:pPr>
    </w:p>
    <w:p w14:paraId="6B9091AF" w14:textId="77777777" w:rsidR="004218DF" w:rsidRDefault="004218DF">
      <w:pPr>
        <w:spacing w:after="160" w:line="276" w:lineRule="auto"/>
      </w:pPr>
    </w:p>
    <w:p w14:paraId="27CE64DE" w14:textId="77777777" w:rsidR="004218DF" w:rsidRDefault="004218DF">
      <w:pPr>
        <w:spacing w:after="160" w:line="276" w:lineRule="auto"/>
      </w:pPr>
    </w:p>
    <w:p w14:paraId="0FCA9BDF" w14:textId="77777777" w:rsidR="004218DF" w:rsidRDefault="004218DF">
      <w:pPr>
        <w:spacing w:after="160" w:line="276" w:lineRule="auto"/>
      </w:pPr>
    </w:p>
    <w:p w14:paraId="72A08889" w14:textId="77777777" w:rsidR="004218DF" w:rsidRDefault="004218DF">
      <w:pPr>
        <w:spacing w:after="160" w:line="276" w:lineRule="auto"/>
      </w:pPr>
    </w:p>
    <w:p w14:paraId="67DECDC4" w14:textId="77777777" w:rsidR="00D8686B" w:rsidRDefault="003E2944">
      <w:pPr>
        <w:pStyle w:val="Heading1"/>
        <w:spacing w:before="360" w:after="160"/>
      </w:pPr>
      <w:r>
        <w:rPr>
          <w:b/>
          <w:bCs/>
          <w:color w:val="1F3864"/>
        </w:rPr>
        <w:lastRenderedPageBreak/>
        <w:t>6. SuiteScript 2.1 — Reading and Working with Currency Data</w:t>
      </w:r>
    </w:p>
    <w:p w14:paraId="67DECDC5" w14:textId="77777777" w:rsidR="00D8686B" w:rsidRDefault="003E2944">
      <w:pPr>
        <w:spacing w:after="160" w:line="276" w:lineRule="auto"/>
      </w:pPr>
      <w:r>
        <w:t xml:space="preserve">Multi-currency and revaluation data is exposed through a mix of a dedicated module and several currency-related record types, each with different </w:t>
      </w:r>
      <w:proofErr w:type="spellStart"/>
      <w:r>
        <w:t>scriptability</w:t>
      </w:r>
      <w:proofErr w:type="spellEnd"/>
      <w:r>
        <w:t xml:space="preserve"> depending on whether the Multiple Currencies feature is enabled.</w:t>
      </w:r>
    </w:p>
    <w:p w14:paraId="67DECDC6" w14:textId="77777777" w:rsidR="00D8686B" w:rsidRDefault="003E2944">
      <w:pPr>
        <w:pStyle w:val="Heading2"/>
        <w:spacing w:before="280" w:after="140"/>
      </w:pPr>
      <w:r>
        <w:rPr>
          <w:b/>
          <w:bCs/>
          <w:color w:val="1F3864"/>
        </w:rPr>
        <w:t xml:space="preserve">6.1 N/currency Module — </w:t>
      </w:r>
      <w:proofErr w:type="spellStart"/>
      <w:proofErr w:type="gramStart"/>
      <w:r>
        <w:rPr>
          <w:b/>
          <w:bCs/>
          <w:color w:val="1F3864"/>
        </w:rPr>
        <w:t>currency.exchangeRate</w:t>
      </w:r>
      <w:proofErr w:type="spellEnd"/>
      <w:proofErr w:type="gramEnd"/>
      <w:r>
        <w:rPr>
          <w:b/>
          <w:bCs/>
          <w:color w:val="1F3864"/>
        </w:rPr>
        <w:t>()</w:t>
      </w:r>
    </w:p>
    <w:p w14:paraId="67DECDC7" w14:textId="77777777" w:rsidR="00D8686B" w:rsidRDefault="003E2944">
      <w:pPr>
        <w:spacing w:after="160" w:line="276" w:lineRule="auto"/>
      </w:pPr>
      <w:r>
        <w:t xml:space="preserve">The N/currency module’s </w:t>
      </w:r>
      <w:proofErr w:type="spellStart"/>
      <w:proofErr w:type="gramStart"/>
      <w:r>
        <w:t>exchangeRate</w:t>
      </w:r>
      <w:proofErr w:type="spellEnd"/>
      <w:r>
        <w:t>(</w:t>
      </w:r>
      <w:proofErr w:type="gramEnd"/>
      <w:r>
        <w:t>) method returns the exchange rate between two currencies as of a given date, sourced from the Currency Exchange Rate record (which is itself not directly scriptable). Only base currencies can be used as the target — passing a non-base currency as the target returns an inaccurate value. The date parameter is optional and defaults to today; where multiple rates exist for a date, the latest entry on that date is used.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70"/>
      </w:tblGrid>
      <w:tr w:rsidR="00D8686B" w14:paraId="67DECDE1" w14:textId="77777777">
        <w:tc>
          <w:tcPr>
            <w:tcW w:w="0" w:type="auto"/>
            <w:shd w:val="clear" w:color="auto" w:fill="F3F3F3"/>
            <w:tcMar>
              <w:top w:w="160" w:type="dxa"/>
              <w:left w:w="220" w:type="dxa"/>
              <w:bottom w:w="160" w:type="dxa"/>
              <w:right w:w="220" w:type="dxa"/>
            </w:tcMar>
          </w:tcPr>
          <w:p w14:paraId="67DECDC8" w14:textId="77777777" w:rsidR="00D8686B" w:rsidRDefault="003E2944">
            <w:r>
              <w:rPr>
                <w:rFonts w:ascii="Consolas" w:eastAsia="Consolas" w:hAnsi="Consolas" w:cs="Consolas"/>
                <w:i/>
                <w:iCs/>
                <w:color w:val="595959"/>
                <w:sz w:val="18"/>
                <w:szCs w:val="18"/>
              </w:rPr>
              <w:t>/** SuiteScript 2.1 — Module: Convert a Foreign Currency Amount to Base Currency</w:t>
            </w:r>
          </w:p>
          <w:p w14:paraId="67DECDC9" w14:textId="77777777" w:rsidR="00D8686B" w:rsidRDefault="003E2944">
            <w:r>
              <w:rPr>
                <w:rFonts w:ascii="Consolas" w:eastAsia="Consolas" w:hAnsi="Consolas" w:cs="Consolas"/>
                <w:i/>
                <w:iCs/>
                <w:color w:val="595959"/>
                <w:sz w:val="18"/>
                <w:szCs w:val="18"/>
              </w:rPr>
              <w:t xml:space="preserve"> * Oracle Ref: N/currency Module — </w:t>
            </w:r>
            <w:proofErr w:type="spellStart"/>
            <w:proofErr w:type="gramStart"/>
            <w:r>
              <w:rPr>
                <w:rFonts w:ascii="Consolas" w:eastAsia="Consolas" w:hAnsi="Consolas" w:cs="Consolas"/>
                <w:i/>
                <w:iCs/>
                <w:color w:val="595959"/>
                <w:sz w:val="18"/>
                <w:szCs w:val="18"/>
              </w:rPr>
              <w:t>currency.exchangeRate</w:t>
            </w:r>
            <w:proofErr w:type="spellEnd"/>
            <w:proofErr w:type="gramEnd"/>
            <w:r>
              <w:rPr>
                <w:rFonts w:ascii="Consolas" w:eastAsia="Consolas" w:hAnsi="Consolas" w:cs="Consolas"/>
                <w:i/>
                <w:iCs/>
                <w:color w:val="595959"/>
                <w:sz w:val="18"/>
                <w:szCs w:val="18"/>
              </w:rPr>
              <w:t>(options)</w:t>
            </w:r>
          </w:p>
          <w:p w14:paraId="67DECDCA" w14:textId="77777777" w:rsidR="00D8686B" w:rsidRDefault="003E2944">
            <w:r>
              <w:rPr>
                <w:rFonts w:ascii="Consolas" w:eastAsia="Consolas" w:hAnsi="Consolas" w:cs="Consolas"/>
                <w:i/>
                <w:iCs/>
                <w:color w:val="595959"/>
                <w:sz w:val="18"/>
                <w:szCs w:val="18"/>
              </w:rPr>
              <w:t xml:space="preserve"> * Note: </w:t>
            </w:r>
            <w:proofErr w:type="spellStart"/>
            <w:proofErr w:type="gramStart"/>
            <w:r>
              <w:rPr>
                <w:rFonts w:ascii="Consolas" w:eastAsia="Consolas" w:hAnsi="Consolas" w:cs="Consolas"/>
                <w:i/>
                <w:iCs/>
                <w:color w:val="595959"/>
                <w:sz w:val="18"/>
                <w:szCs w:val="18"/>
              </w:rPr>
              <w:t>options.target</w:t>
            </w:r>
            <w:proofErr w:type="spellEnd"/>
            <w:proofErr w:type="gramEnd"/>
            <w:r>
              <w:rPr>
                <w:rFonts w:ascii="Consolas" w:eastAsia="Consolas" w:hAnsi="Consolas" w:cs="Consolas"/>
                <w:i/>
                <w:iCs/>
                <w:color w:val="595959"/>
                <w:sz w:val="18"/>
                <w:szCs w:val="18"/>
              </w:rPr>
              <w:t xml:space="preserve"> must be a base currency in the account, or the</w:t>
            </w:r>
          </w:p>
          <w:p w14:paraId="67DECDCB" w14:textId="77777777" w:rsidR="00D8686B" w:rsidRDefault="003E2944">
            <w:r>
              <w:rPr>
                <w:rFonts w:ascii="Consolas" w:eastAsia="Consolas" w:hAnsi="Consolas" w:cs="Consolas"/>
                <w:i/>
                <w:iCs/>
                <w:color w:val="595959"/>
                <w:sz w:val="18"/>
                <w:szCs w:val="18"/>
              </w:rPr>
              <w:t xml:space="preserve"> * </w:t>
            </w:r>
            <w:proofErr w:type="gramStart"/>
            <w:r>
              <w:rPr>
                <w:rFonts w:ascii="Consolas" w:eastAsia="Consolas" w:hAnsi="Consolas" w:cs="Consolas"/>
                <w:i/>
                <w:iCs/>
                <w:color w:val="595959"/>
                <w:sz w:val="18"/>
                <w:szCs w:val="18"/>
              </w:rPr>
              <w:t>returned</w:t>
            </w:r>
            <w:proofErr w:type="gramEnd"/>
            <w:r>
              <w:rPr>
                <w:rFonts w:ascii="Consolas" w:eastAsia="Consolas" w:hAnsi="Consolas" w:cs="Consolas"/>
                <w:i/>
                <w:iCs/>
                <w:color w:val="595959"/>
                <w:sz w:val="18"/>
                <w:szCs w:val="18"/>
              </w:rPr>
              <w:t xml:space="preserve"> rate is inaccurate — see </w:t>
            </w:r>
            <w:proofErr w:type="spellStart"/>
            <w:proofErr w:type="gramStart"/>
            <w:r>
              <w:rPr>
                <w:rFonts w:ascii="Consolas" w:eastAsia="Consolas" w:hAnsi="Consolas" w:cs="Consolas"/>
                <w:i/>
                <w:iCs/>
                <w:color w:val="595959"/>
                <w:sz w:val="18"/>
                <w:szCs w:val="18"/>
              </w:rPr>
              <w:t>currency.exchangeRate</w:t>
            </w:r>
            <w:proofErr w:type="spellEnd"/>
            <w:proofErr w:type="gramEnd"/>
            <w:r>
              <w:rPr>
                <w:rFonts w:ascii="Consolas" w:eastAsia="Consolas" w:hAnsi="Consolas" w:cs="Consolas"/>
                <w:i/>
                <w:iCs/>
                <w:color w:val="595959"/>
                <w:sz w:val="18"/>
                <w:szCs w:val="18"/>
              </w:rPr>
              <w:t>() documentation.</w:t>
            </w:r>
          </w:p>
          <w:p w14:paraId="67DECDCC" w14:textId="77777777" w:rsidR="00D8686B" w:rsidRDefault="003E2944">
            <w:r>
              <w:rPr>
                <w:rFonts w:ascii="Consolas" w:eastAsia="Consolas" w:hAnsi="Consolas" w:cs="Consolas"/>
                <w:i/>
                <w:iCs/>
                <w:color w:val="595959"/>
                <w:sz w:val="18"/>
                <w:szCs w:val="18"/>
              </w:rPr>
              <w:t xml:space="preserve"> */</w:t>
            </w:r>
          </w:p>
          <w:p w14:paraId="67DECDCD" w14:textId="77777777" w:rsidR="00D8686B" w:rsidRDefault="003E2944">
            <w:r>
              <w:rPr>
                <w:rFonts w:ascii="Consolas" w:eastAsia="Consolas" w:hAnsi="Consolas" w:cs="Consolas"/>
                <w:color w:val="1A1A1A"/>
                <w:sz w:val="18"/>
                <w:szCs w:val="18"/>
              </w:rPr>
              <w:t>define(['N/currency'], function(currency) {</w:t>
            </w:r>
          </w:p>
          <w:p w14:paraId="67DECDCE" w14:textId="77777777" w:rsidR="00D8686B" w:rsidRDefault="00D8686B"/>
          <w:p w14:paraId="67DECDCF" w14:textId="77777777" w:rsidR="00D8686B" w:rsidRDefault="003E2944">
            <w:r>
              <w:rPr>
                <w:rFonts w:ascii="Consolas" w:eastAsia="Consolas" w:hAnsi="Consolas" w:cs="Consolas"/>
                <w:i/>
                <w:iCs/>
                <w:color w:val="595959"/>
                <w:sz w:val="18"/>
                <w:szCs w:val="18"/>
              </w:rPr>
              <w:t xml:space="preserve">  /**</w:t>
            </w:r>
          </w:p>
          <w:p w14:paraId="67DECDD0" w14:textId="77777777" w:rsidR="00D8686B" w:rsidRDefault="003E2944">
            <w:r>
              <w:rPr>
                <w:rFonts w:ascii="Consolas" w:eastAsia="Consolas" w:hAnsi="Consolas" w:cs="Consolas"/>
                <w:i/>
                <w:iCs/>
                <w:color w:val="595959"/>
                <w:sz w:val="18"/>
                <w:szCs w:val="18"/>
              </w:rPr>
              <w:t xml:space="preserve">   * @param {</w:t>
            </w:r>
            <w:proofErr w:type="spellStart"/>
            <w:r>
              <w:rPr>
                <w:rFonts w:ascii="Consolas" w:eastAsia="Consolas" w:hAnsi="Consolas" w:cs="Consolas"/>
                <w:i/>
                <w:iCs/>
                <w:color w:val="595959"/>
                <w:sz w:val="18"/>
                <w:szCs w:val="18"/>
              </w:rPr>
              <w:t>string|number</w:t>
            </w:r>
            <w:proofErr w:type="spellEnd"/>
            <w:r>
              <w:rPr>
                <w:rFonts w:ascii="Consolas" w:eastAsia="Consolas" w:hAnsi="Consolas" w:cs="Consolas"/>
                <w:i/>
                <w:iCs/>
                <w:color w:val="595959"/>
                <w:sz w:val="18"/>
                <w:szCs w:val="18"/>
              </w:rPr>
              <w:t xml:space="preserve">} </w:t>
            </w:r>
            <w:proofErr w:type="spellStart"/>
            <w:proofErr w:type="gramStart"/>
            <w:r>
              <w:rPr>
                <w:rFonts w:ascii="Consolas" w:eastAsia="Consolas" w:hAnsi="Consolas" w:cs="Consolas"/>
                <w:i/>
                <w:iCs/>
                <w:color w:val="595959"/>
                <w:sz w:val="18"/>
                <w:szCs w:val="18"/>
              </w:rPr>
              <w:t>sourceCurrency</w:t>
            </w:r>
            <w:proofErr w:type="spellEnd"/>
            <w:r>
              <w:rPr>
                <w:rFonts w:ascii="Consolas" w:eastAsia="Consolas" w:hAnsi="Consolas" w:cs="Consolas"/>
                <w:i/>
                <w:iCs/>
                <w:color w:val="595959"/>
                <w:sz w:val="18"/>
                <w:szCs w:val="18"/>
              </w:rPr>
              <w:t xml:space="preserve">  Internal</w:t>
            </w:r>
            <w:proofErr w:type="gramEnd"/>
            <w:r>
              <w:rPr>
                <w:rFonts w:ascii="Consolas" w:eastAsia="Consolas" w:hAnsi="Consolas" w:cs="Consolas"/>
                <w:i/>
                <w:iCs/>
                <w:color w:val="595959"/>
                <w:sz w:val="18"/>
                <w:szCs w:val="18"/>
              </w:rPr>
              <w:t xml:space="preserve"> ID or 3-letter ISO code</w:t>
            </w:r>
          </w:p>
          <w:p w14:paraId="67DECDD1" w14:textId="77777777" w:rsidR="00D8686B" w:rsidRDefault="003E2944">
            <w:r>
              <w:rPr>
                <w:rFonts w:ascii="Consolas" w:eastAsia="Consolas" w:hAnsi="Consolas" w:cs="Consolas"/>
                <w:i/>
                <w:iCs/>
                <w:color w:val="595959"/>
                <w:sz w:val="18"/>
                <w:szCs w:val="18"/>
              </w:rPr>
              <w:t xml:space="preserve">   * @param {</w:t>
            </w:r>
            <w:proofErr w:type="spellStart"/>
            <w:r>
              <w:rPr>
                <w:rFonts w:ascii="Consolas" w:eastAsia="Consolas" w:hAnsi="Consolas" w:cs="Consolas"/>
                <w:i/>
                <w:iCs/>
                <w:color w:val="595959"/>
                <w:sz w:val="18"/>
                <w:szCs w:val="18"/>
              </w:rPr>
              <w:t>string|number</w:t>
            </w:r>
            <w:proofErr w:type="spellEnd"/>
            <w:r>
              <w:rPr>
                <w:rFonts w:ascii="Consolas" w:eastAsia="Consolas" w:hAnsi="Consolas" w:cs="Consolas"/>
                <w:i/>
                <w:iCs/>
                <w:color w:val="595959"/>
                <w:sz w:val="18"/>
                <w:szCs w:val="18"/>
              </w:rPr>
              <w:t xml:space="preserve">} </w:t>
            </w:r>
            <w:proofErr w:type="spellStart"/>
            <w:proofErr w:type="gramStart"/>
            <w:r>
              <w:rPr>
                <w:rFonts w:ascii="Consolas" w:eastAsia="Consolas" w:hAnsi="Consolas" w:cs="Consolas"/>
                <w:i/>
                <w:iCs/>
                <w:color w:val="595959"/>
                <w:sz w:val="18"/>
                <w:szCs w:val="18"/>
              </w:rPr>
              <w:t>targetBaseCurrency</w:t>
            </w:r>
            <w:proofErr w:type="spellEnd"/>
            <w:r>
              <w:rPr>
                <w:rFonts w:ascii="Consolas" w:eastAsia="Consolas" w:hAnsi="Consolas" w:cs="Consolas"/>
                <w:i/>
                <w:iCs/>
                <w:color w:val="595959"/>
                <w:sz w:val="18"/>
                <w:szCs w:val="18"/>
              </w:rPr>
              <w:t xml:space="preserve">  Internal</w:t>
            </w:r>
            <w:proofErr w:type="gramEnd"/>
            <w:r>
              <w:rPr>
                <w:rFonts w:ascii="Consolas" w:eastAsia="Consolas" w:hAnsi="Consolas" w:cs="Consolas"/>
                <w:i/>
                <w:iCs/>
                <w:color w:val="595959"/>
                <w:sz w:val="18"/>
                <w:szCs w:val="18"/>
              </w:rPr>
              <w:t xml:space="preserve"> ID or ISO code (must be a base currency)</w:t>
            </w:r>
          </w:p>
          <w:p w14:paraId="67DECDD2" w14:textId="77777777" w:rsidR="00D8686B" w:rsidRDefault="003E2944">
            <w:r>
              <w:rPr>
                <w:rFonts w:ascii="Consolas" w:eastAsia="Consolas" w:hAnsi="Consolas" w:cs="Consolas"/>
                <w:i/>
                <w:iCs/>
                <w:color w:val="595959"/>
                <w:sz w:val="18"/>
                <w:szCs w:val="18"/>
              </w:rPr>
              <w:t xml:space="preserve">   * @param {number} </w:t>
            </w:r>
            <w:proofErr w:type="spellStart"/>
            <w:r>
              <w:rPr>
                <w:rFonts w:ascii="Consolas" w:eastAsia="Consolas" w:hAnsi="Consolas" w:cs="Consolas"/>
                <w:i/>
                <w:iCs/>
                <w:color w:val="595959"/>
                <w:sz w:val="18"/>
                <w:szCs w:val="18"/>
              </w:rPr>
              <w:t>foreignAmount</w:t>
            </w:r>
            <w:proofErr w:type="spellEnd"/>
          </w:p>
          <w:p w14:paraId="67DECDD3" w14:textId="77777777" w:rsidR="00D8686B" w:rsidRDefault="003E2944">
            <w:r>
              <w:rPr>
                <w:rFonts w:ascii="Consolas" w:eastAsia="Consolas" w:hAnsi="Consolas" w:cs="Consolas"/>
                <w:i/>
                <w:iCs/>
                <w:color w:val="595959"/>
                <w:sz w:val="18"/>
                <w:szCs w:val="18"/>
              </w:rPr>
              <w:t xml:space="preserve">   * @param {Date} [</w:t>
            </w:r>
            <w:proofErr w:type="spellStart"/>
            <w:proofErr w:type="gramStart"/>
            <w:r>
              <w:rPr>
                <w:rFonts w:ascii="Consolas" w:eastAsia="Consolas" w:hAnsi="Consolas" w:cs="Consolas"/>
                <w:i/>
                <w:iCs/>
                <w:color w:val="595959"/>
                <w:sz w:val="18"/>
                <w:szCs w:val="18"/>
              </w:rPr>
              <w:t>asOfDate</w:t>
            </w:r>
            <w:proofErr w:type="spellEnd"/>
            <w:r>
              <w:rPr>
                <w:rFonts w:ascii="Consolas" w:eastAsia="Consolas" w:hAnsi="Consolas" w:cs="Consolas"/>
                <w:i/>
                <w:iCs/>
                <w:color w:val="595959"/>
                <w:sz w:val="18"/>
                <w:szCs w:val="18"/>
              </w:rPr>
              <w:t>]  Defaults</w:t>
            </w:r>
            <w:proofErr w:type="gramEnd"/>
            <w:r>
              <w:rPr>
                <w:rFonts w:ascii="Consolas" w:eastAsia="Consolas" w:hAnsi="Consolas" w:cs="Consolas"/>
                <w:i/>
                <w:iCs/>
                <w:color w:val="595959"/>
                <w:sz w:val="18"/>
                <w:szCs w:val="18"/>
              </w:rPr>
              <w:t xml:space="preserve"> to today if omitted</w:t>
            </w:r>
          </w:p>
          <w:p w14:paraId="67DECDD4" w14:textId="77777777" w:rsidR="00D8686B" w:rsidRDefault="003E2944">
            <w:r>
              <w:rPr>
                <w:rFonts w:ascii="Consolas" w:eastAsia="Consolas" w:hAnsi="Consolas" w:cs="Consolas"/>
                <w:i/>
                <w:iCs/>
                <w:color w:val="595959"/>
                <w:sz w:val="18"/>
                <w:szCs w:val="18"/>
              </w:rPr>
              <w:t xml:space="preserve">   * @returns {number} Amount converted to </w:t>
            </w:r>
            <w:proofErr w:type="spellStart"/>
            <w:r>
              <w:rPr>
                <w:rFonts w:ascii="Consolas" w:eastAsia="Consolas" w:hAnsi="Consolas" w:cs="Consolas"/>
                <w:i/>
                <w:iCs/>
                <w:color w:val="595959"/>
                <w:sz w:val="18"/>
                <w:szCs w:val="18"/>
              </w:rPr>
              <w:t>targetBaseCurrency</w:t>
            </w:r>
            <w:proofErr w:type="spellEnd"/>
          </w:p>
          <w:p w14:paraId="67DECDD5" w14:textId="77777777" w:rsidR="00D8686B" w:rsidRDefault="003E2944">
            <w:r>
              <w:rPr>
                <w:rFonts w:ascii="Consolas" w:eastAsia="Consolas" w:hAnsi="Consolas" w:cs="Consolas"/>
                <w:i/>
                <w:iCs/>
                <w:color w:val="595959"/>
                <w:sz w:val="18"/>
                <w:szCs w:val="18"/>
              </w:rPr>
              <w:t xml:space="preserve">   */</w:t>
            </w:r>
          </w:p>
          <w:p w14:paraId="67DECDD6" w14:textId="77777777" w:rsidR="00D8686B" w:rsidRDefault="003E2944">
            <w:r>
              <w:rPr>
                <w:rFonts w:ascii="Consolas" w:eastAsia="Consolas" w:hAnsi="Consolas" w:cs="Consolas"/>
                <w:color w:val="1A1A1A"/>
                <w:sz w:val="18"/>
                <w:szCs w:val="18"/>
              </w:rPr>
              <w:t xml:space="preserve">  function </w:t>
            </w:r>
            <w:proofErr w:type="spellStart"/>
            <w:proofErr w:type="gramStart"/>
            <w:r>
              <w:rPr>
                <w:rFonts w:ascii="Consolas" w:eastAsia="Consolas" w:hAnsi="Consolas" w:cs="Consolas"/>
                <w:color w:val="1A1A1A"/>
                <w:sz w:val="18"/>
                <w:szCs w:val="18"/>
              </w:rPr>
              <w:t>toBaseCurrency</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sourceCurrency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targetBaseCurrency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foreignAmount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asOfDate</w:t>
            </w:r>
            <w:proofErr w:type="spellEnd"/>
            <w:r>
              <w:rPr>
                <w:rFonts w:ascii="Consolas" w:eastAsia="Consolas" w:hAnsi="Consolas" w:cs="Consolas"/>
                <w:color w:val="1A1A1A"/>
                <w:sz w:val="18"/>
                <w:szCs w:val="18"/>
              </w:rPr>
              <w:t>) {</w:t>
            </w:r>
          </w:p>
          <w:p w14:paraId="67DECDD7" w14:textId="77777777" w:rsidR="00D8686B" w:rsidRDefault="003E2944">
            <w:r>
              <w:rPr>
                <w:rFonts w:ascii="Consolas" w:eastAsia="Consolas" w:hAnsi="Consolas" w:cs="Consolas"/>
                <w:color w:val="1A1A1A"/>
                <w:sz w:val="18"/>
                <w:szCs w:val="18"/>
              </w:rPr>
              <w:t xml:space="preserve">    var rate = </w:t>
            </w:r>
            <w:proofErr w:type="spellStart"/>
            <w:proofErr w:type="gramStart"/>
            <w:r>
              <w:rPr>
                <w:rFonts w:ascii="Consolas" w:eastAsia="Consolas" w:hAnsi="Consolas" w:cs="Consolas"/>
                <w:color w:val="1A1A1A"/>
                <w:sz w:val="18"/>
                <w:szCs w:val="18"/>
              </w:rPr>
              <w:t>currency.exchangeRate</w:t>
            </w:r>
            <w:proofErr w:type="spellEnd"/>
            <w:proofErr w:type="gramEnd"/>
            <w:r>
              <w:rPr>
                <w:rFonts w:ascii="Consolas" w:eastAsia="Consolas" w:hAnsi="Consolas" w:cs="Consolas"/>
                <w:color w:val="1A1A1A"/>
                <w:sz w:val="18"/>
                <w:szCs w:val="18"/>
              </w:rPr>
              <w:t>({</w:t>
            </w:r>
          </w:p>
          <w:p w14:paraId="67DECDD8" w14:textId="77777777" w:rsidR="00D8686B" w:rsidRDefault="003E2944">
            <w:r>
              <w:rPr>
                <w:rFonts w:ascii="Consolas" w:eastAsia="Consolas" w:hAnsi="Consolas" w:cs="Consolas"/>
                <w:color w:val="1A1A1A"/>
                <w:sz w:val="18"/>
                <w:szCs w:val="18"/>
              </w:rPr>
              <w:t xml:space="preserve">      source: </w:t>
            </w:r>
            <w:proofErr w:type="spellStart"/>
            <w:r>
              <w:rPr>
                <w:rFonts w:ascii="Consolas" w:eastAsia="Consolas" w:hAnsi="Consolas" w:cs="Consolas"/>
                <w:color w:val="1A1A1A"/>
                <w:sz w:val="18"/>
                <w:szCs w:val="18"/>
              </w:rPr>
              <w:t>sourceCurrency</w:t>
            </w:r>
            <w:proofErr w:type="spellEnd"/>
            <w:r>
              <w:rPr>
                <w:rFonts w:ascii="Consolas" w:eastAsia="Consolas" w:hAnsi="Consolas" w:cs="Consolas"/>
                <w:color w:val="1A1A1A"/>
                <w:sz w:val="18"/>
                <w:szCs w:val="18"/>
              </w:rPr>
              <w:t>,</w:t>
            </w:r>
          </w:p>
          <w:p w14:paraId="67DECDD9" w14:textId="77777777" w:rsidR="00D8686B" w:rsidRDefault="003E2944">
            <w:r>
              <w:rPr>
                <w:rFonts w:ascii="Consolas" w:eastAsia="Consolas" w:hAnsi="Consolas" w:cs="Consolas"/>
                <w:color w:val="1A1A1A"/>
                <w:sz w:val="18"/>
                <w:szCs w:val="18"/>
              </w:rPr>
              <w:t xml:space="preserve">      target: </w:t>
            </w:r>
            <w:proofErr w:type="spellStart"/>
            <w:r>
              <w:rPr>
                <w:rFonts w:ascii="Consolas" w:eastAsia="Consolas" w:hAnsi="Consolas" w:cs="Consolas"/>
                <w:color w:val="1A1A1A"/>
                <w:sz w:val="18"/>
                <w:szCs w:val="18"/>
              </w:rPr>
              <w:t>targetBaseCurrency</w:t>
            </w:r>
            <w:proofErr w:type="spellEnd"/>
            <w:r>
              <w:rPr>
                <w:rFonts w:ascii="Consolas" w:eastAsia="Consolas" w:hAnsi="Consolas" w:cs="Consolas"/>
                <w:color w:val="1A1A1A"/>
                <w:sz w:val="18"/>
                <w:szCs w:val="18"/>
              </w:rPr>
              <w:t>,</w:t>
            </w:r>
          </w:p>
          <w:p w14:paraId="67DECDDA" w14:textId="77777777" w:rsidR="00D8686B" w:rsidRDefault="003E2944">
            <w:r>
              <w:rPr>
                <w:rFonts w:ascii="Consolas" w:eastAsia="Consolas" w:hAnsi="Consolas" w:cs="Consolas"/>
                <w:color w:val="1A1A1A"/>
                <w:sz w:val="18"/>
                <w:szCs w:val="18"/>
              </w:rPr>
              <w:t xml:space="preserve">      date: </w:t>
            </w:r>
            <w:proofErr w:type="spellStart"/>
            <w:r>
              <w:rPr>
                <w:rFonts w:ascii="Consolas" w:eastAsia="Consolas" w:hAnsi="Consolas" w:cs="Consolas"/>
                <w:color w:val="1A1A1A"/>
                <w:sz w:val="18"/>
                <w:szCs w:val="18"/>
              </w:rPr>
              <w:t>asOfDate</w:t>
            </w:r>
            <w:proofErr w:type="spellEnd"/>
            <w:r>
              <w:rPr>
                <w:rFonts w:ascii="Consolas" w:eastAsia="Consolas" w:hAnsi="Consolas" w:cs="Consolas"/>
                <w:color w:val="1A1A1A"/>
                <w:sz w:val="18"/>
                <w:szCs w:val="18"/>
              </w:rPr>
              <w:t xml:space="preserve"> || new </w:t>
            </w:r>
            <w:proofErr w:type="gramStart"/>
            <w:r>
              <w:rPr>
                <w:rFonts w:ascii="Consolas" w:eastAsia="Consolas" w:hAnsi="Consolas" w:cs="Consolas"/>
                <w:color w:val="1A1A1A"/>
                <w:sz w:val="18"/>
                <w:szCs w:val="18"/>
              </w:rPr>
              <w:t>Date(</w:t>
            </w:r>
            <w:proofErr w:type="gramEnd"/>
            <w:r>
              <w:rPr>
                <w:rFonts w:ascii="Consolas" w:eastAsia="Consolas" w:hAnsi="Consolas" w:cs="Consolas"/>
                <w:color w:val="1A1A1A"/>
                <w:sz w:val="18"/>
                <w:szCs w:val="18"/>
              </w:rPr>
              <w:t>)</w:t>
            </w:r>
          </w:p>
          <w:p w14:paraId="67DECDDB" w14:textId="77777777" w:rsidR="00D8686B" w:rsidRDefault="003E2944">
            <w:r>
              <w:rPr>
                <w:rFonts w:ascii="Consolas" w:eastAsia="Consolas" w:hAnsi="Consolas" w:cs="Consolas"/>
                <w:color w:val="1A1A1A"/>
                <w:sz w:val="18"/>
                <w:szCs w:val="18"/>
              </w:rPr>
              <w:t xml:space="preserve">    });</w:t>
            </w:r>
          </w:p>
          <w:p w14:paraId="67DECDDC" w14:textId="77777777" w:rsidR="00D8686B" w:rsidRDefault="003E2944">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foreignAmount</w:t>
            </w:r>
            <w:proofErr w:type="spellEnd"/>
            <w:r>
              <w:rPr>
                <w:rFonts w:ascii="Consolas" w:eastAsia="Consolas" w:hAnsi="Consolas" w:cs="Consolas"/>
                <w:color w:val="1A1A1A"/>
                <w:sz w:val="18"/>
                <w:szCs w:val="18"/>
              </w:rPr>
              <w:t xml:space="preserve"> * rate;</w:t>
            </w:r>
          </w:p>
          <w:p w14:paraId="67DECDDD" w14:textId="77777777" w:rsidR="00D8686B" w:rsidRDefault="003E2944">
            <w:r>
              <w:rPr>
                <w:rFonts w:ascii="Consolas" w:eastAsia="Consolas" w:hAnsi="Consolas" w:cs="Consolas"/>
                <w:color w:val="1A1A1A"/>
                <w:sz w:val="18"/>
                <w:szCs w:val="18"/>
              </w:rPr>
              <w:t xml:space="preserve">  }</w:t>
            </w:r>
          </w:p>
          <w:p w14:paraId="67DECDDE" w14:textId="77777777" w:rsidR="00D8686B" w:rsidRDefault="00D8686B"/>
          <w:p w14:paraId="67DECDDF" w14:textId="77777777" w:rsidR="00D8686B" w:rsidRDefault="003E2944">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toBaseCurrency</w:t>
            </w:r>
            <w:proofErr w:type="spellEnd"/>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toBaseCurrency</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w:t>
            </w:r>
          </w:p>
          <w:p w14:paraId="67DECDE0" w14:textId="77777777" w:rsidR="00D8686B" w:rsidRDefault="003E2944">
            <w:r>
              <w:rPr>
                <w:rFonts w:ascii="Consolas" w:eastAsia="Consolas" w:hAnsi="Consolas" w:cs="Consolas"/>
                <w:color w:val="1A1A1A"/>
                <w:sz w:val="18"/>
                <w:szCs w:val="18"/>
              </w:rPr>
              <w:t>});</w:t>
            </w:r>
          </w:p>
        </w:tc>
      </w:tr>
    </w:tbl>
    <w:p w14:paraId="7CF3E79F" w14:textId="77777777" w:rsidR="003E336B" w:rsidRDefault="003E336B">
      <w:pPr>
        <w:pStyle w:val="Heading2"/>
        <w:spacing w:before="280" w:after="140"/>
        <w:rPr>
          <w:b/>
          <w:bCs/>
          <w:color w:val="1F3864"/>
        </w:rPr>
      </w:pPr>
    </w:p>
    <w:p w14:paraId="74C4BD57" w14:textId="77777777" w:rsidR="003E336B" w:rsidRDefault="003E336B">
      <w:pPr>
        <w:pStyle w:val="Heading2"/>
        <w:spacing w:before="280" w:after="140"/>
        <w:rPr>
          <w:b/>
          <w:bCs/>
          <w:color w:val="1F3864"/>
        </w:rPr>
      </w:pPr>
    </w:p>
    <w:p w14:paraId="3FAB3B88" w14:textId="77777777" w:rsidR="003E336B" w:rsidRDefault="003E336B">
      <w:pPr>
        <w:pStyle w:val="Heading2"/>
        <w:spacing w:before="280" w:after="140"/>
        <w:rPr>
          <w:b/>
          <w:bCs/>
          <w:color w:val="1F3864"/>
        </w:rPr>
      </w:pPr>
    </w:p>
    <w:p w14:paraId="54100BDB" w14:textId="77777777" w:rsidR="003E336B" w:rsidRDefault="003E336B">
      <w:pPr>
        <w:pStyle w:val="Heading2"/>
        <w:spacing w:before="280" w:after="140"/>
        <w:rPr>
          <w:b/>
          <w:bCs/>
          <w:color w:val="1F3864"/>
        </w:rPr>
      </w:pPr>
    </w:p>
    <w:p w14:paraId="52819D8F" w14:textId="77777777" w:rsidR="003E336B" w:rsidRDefault="003E336B">
      <w:pPr>
        <w:pStyle w:val="Heading2"/>
        <w:spacing w:before="280" w:after="140"/>
        <w:rPr>
          <w:b/>
          <w:bCs/>
          <w:color w:val="1F3864"/>
        </w:rPr>
      </w:pPr>
    </w:p>
    <w:p w14:paraId="2968C076" w14:textId="77777777" w:rsidR="003E336B" w:rsidRDefault="003E336B">
      <w:pPr>
        <w:pStyle w:val="Heading2"/>
        <w:spacing w:before="280" w:after="140"/>
        <w:rPr>
          <w:b/>
          <w:bCs/>
          <w:color w:val="1F3864"/>
        </w:rPr>
      </w:pPr>
    </w:p>
    <w:p w14:paraId="67DECDE2" w14:textId="514DCBFE" w:rsidR="00D8686B" w:rsidRDefault="003E2944">
      <w:pPr>
        <w:pStyle w:val="Heading2"/>
        <w:spacing w:before="280" w:after="140"/>
      </w:pPr>
      <w:r>
        <w:rPr>
          <w:b/>
          <w:bCs/>
          <w:color w:val="1F3864"/>
        </w:rPr>
        <w:lastRenderedPageBreak/>
        <w:t xml:space="preserve">6.2 Currency-Related Record Types and Their </w:t>
      </w:r>
      <w:r w:rsidR="006E2B9A">
        <w:rPr>
          <w:b/>
          <w:bCs/>
          <w:color w:val="1F3864"/>
        </w:rPr>
        <w:t>Script ability</w:t>
      </w:r>
    </w:p>
    <w:p w14:paraId="67DECDE3" w14:textId="22D145D0" w:rsidR="00D8686B" w:rsidRDefault="003E2944">
      <w:pPr>
        <w:spacing w:after="160" w:line="276" w:lineRule="auto"/>
      </w:pPr>
      <w:r>
        <w:t xml:space="preserve">Several standard record types back the multi-currency setup covered above. Their </w:t>
      </w:r>
      <w:r w:rsidR="006E2B9A">
        <w:t>script ability</w:t>
      </w:r>
      <w:r>
        <w:t xml:space="preserve"> differs, and all of them depend on the Multiple Currencies feature being enabled — without it, most support is limited to loading a record when the ID is already known.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18"/>
        <w:gridCol w:w="2493"/>
        <w:gridCol w:w="4859"/>
      </w:tblGrid>
      <w:tr w:rsidR="00D8686B" w14:paraId="67DECDE7" w14:textId="77777777">
        <w:trPr>
          <w:tblHeader/>
        </w:trPr>
        <w:tc>
          <w:tcPr>
            <w:tcW w:w="2600" w:type="dxa"/>
            <w:shd w:val="clear" w:color="auto" w:fill="F2F2F2"/>
            <w:tcMar>
              <w:top w:w="100" w:type="dxa"/>
              <w:left w:w="120" w:type="dxa"/>
              <w:bottom w:w="100" w:type="dxa"/>
              <w:right w:w="120" w:type="dxa"/>
            </w:tcMar>
            <w:vAlign w:val="center"/>
          </w:tcPr>
          <w:p w14:paraId="67DECDE4" w14:textId="77777777" w:rsidR="00D8686B" w:rsidRDefault="003E2944">
            <w:r>
              <w:rPr>
                <w:b/>
                <w:bCs/>
                <w:color w:val="1F3864"/>
                <w:sz w:val="20"/>
                <w:szCs w:val="20"/>
              </w:rPr>
              <w:t>Record</w:t>
            </w:r>
          </w:p>
        </w:tc>
        <w:tc>
          <w:tcPr>
            <w:tcW w:w="2100" w:type="dxa"/>
            <w:shd w:val="clear" w:color="auto" w:fill="F2F2F2"/>
            <w:tcMar>
              <w:top w:w="100" w:type="dxa"/>
              <w:left w:w="120" w:type="dxa"/>
              <w:bottom w:w="100" w:type="dxa"/>
              <w:right w:w="120" w:type="dxa"/>
            </w:tcMar>
            <w:vAlign w:val="center"/>
          </w:tcPr>
          <w:p w14:paraId="67DECDE5" w14:textId="77777777" w:rsidR="00D8686B" w:rsidRDefault="003E2944">
            <w:r>
              <w:rPr>
                <w:b/>
                <w:bCs/>
                <w:color w:val="1F3864"/>
                <w:sz w:val="20"/>
                <w:szCs w:val="20"/>
              </w:rPr>
              <w:t>Internal ID</w:t>
            </w:r>
          </w:p>
        </w:tc>
        <w:tc>
          <w:tcPr>
            <w:tcW w:w="4650" w:type="dxa"/>
            <w:shd w:val="clear" w:color="auto" w:fill="F2F2F2"/>
            <w:tcMar>
              <w:top w:w="100" w:type="dxa"/>
              <w:left w:w="120" w:type="dxa"/>
              <w:bottom w:w="100" w:type="dxa"/>
              <w:right w:w="120" w:type="dxa"/>
            </w:tcMar>
            <w:vAlign w:val="center"/>
          </w:tcPr>
          <w:p w14:paraId="67DECDE6" w14:textId="77777777" w:rsidR="00D8686B" w:rsidRDefault="003E2944">
            <w:proofErr w:type="spellStart"/>
            <w:r>
              <w:rPr>
                <w:b/>
                <w:bCs/>
                <w:color w:val="1F3864"/>
                <w:sz w:val="20"/>
                <w:szCs w:val="20"/>
              </w:rPr>
              <w:t>Scriptability</w:t>
            </w:r>
            <w:proofErr w:type="spellEnd"/>
          </w:p>
        </w:tc>
      </w:tr>
      <w:tr w:rsidR="00D8686B" w14:paraId="67DECDEB" w14:textId="77777777">
        <w:tc>
          <w:tcPr>
            <w:tcW w:w="2600" w:type="dxa"/>
            <w:tcMar>
              <w:top w:w="90" w:type="dxa"/>
              <w:left w:w="120" w:type="dxa"/>
              <w:bottom w:w="90" w:type="dxa"/>
              <w:right w:w="120" w:type="dxa"/>
            </w:tcMar>
            <w:vAlign w:val="center"/>
          </w:tcPr>
          <w:p w14:paraId="67DECDE8" w14:textId="77777777" w:rsidR="00D8686B" w:rsidRDefault="003E2944">
            <w:pPr>
              <w:spacing w:after="40" w:line="250" w:lineRule="auto"/>
            </w:pPr>
            <w:r>
              <w:rPr>
                <w:sz w:val="20"/>
                <w:szCs w:val="20"/>
              </w:rPr>
              <w:t>Currency</w:t>
            </w:r>
          </w:p>
        </w:tc>
        <w:tc>
          <w:tcPr>
            <w:tcW w:w="2100" w:type="dxa"/>
            <w:tcMar>
              <w:top w:w="90" w:type="dxa"/>
              <w:left w:w="120" w:type="dxa"/>
              <w:bottom w:w="90" w:type="dxa"/>
              <w:right w:w="120" w:type="dxa"/>
            </w:tcMar>
            <w:vAlign w:val="center"/>
          </w:tcPr>
          <w:p w14:paraId="67DECDE9" w14:textId="77777777" w:rsidR="00D8686B" w:rsidRDefault="003E2944">
            <w:pPr>
              <w:spacing w:after="40" w:line="250" w:lineRule="auto"/>
            </w:pPr>
            <w:r>
              <w:rPr>
                <w:sz w:val="20"/>
                <w:szCs w:val="20"/>
              </w:rPr>
              <w:t>currency</w:t>
            </w:r>
          </w:p>
        </w:tc>
        <w:tc>
          <w:tcPr>
            <w:tcW w:w="4650" w:type="dxa"/>
            <w:tcMar>
              <w:top w:w="90" w:type="dxa"/>
              <w:left w:w="120" w:type="dxa"/>
              <w:bottom w:w="90" w:type="dxa"/>
              <w:right w:w="120" w:type="dxa"/>
            </w:tcMar>
            <w:vAlign w:val="center"/>
          </w:tcPr>
          <w:p w14:paraId="67DECDEA" w14:textId="77777777" w:rsidR="00D8686B" w:rsidRDefault="003E2944">
            <w:pPr>
              <w:spacing w:after="40" w:line="250" w:lineRule="auto"/>
            </w:pPr>
            <w:r>
              <w:rPr>
                <w:sz w:val="20"/>
                <w:szCs w:val="20"/>
              </w:rPr>
              <w:t>Server SuiteScript only. Fully scriptable when Multiple Currencies is enabled; without it, create/edit/delete/search aren’t supported — only loading a known record.</w:t>
            </w:r>
          </w:p>
        </w:tc>
      </w:tr>
      <w:tr w:rsidR="00D8686B" w14:paraId="67DECDEF" w14:textId="77777777">
        <w:tc>
          <w:tcPr>
            <w:tcW w:w="2600" w:type="dxa"/>
            <w:tcMar>
              <w:top w:w="90" w:type="dxa"/>
              <w:left w:w="120" w:type="dxa"/>
              <w:bottom w:w="90" w:type="dxa"/>
              <w:right w:w="120" w:type="dxa"/>
            </w:tcMar>
            <w:vAlign w:val="center"/>
          </w:tcPr>
          <w:p w14:paraId="67DECDEC" w14:textId="77777777" w:rsidR="00D8686B" w:rsidRDefault="003E2944">
            <w:pPr>
              <w:spacing w:after="40" w:line="250" w:lineRule="auto"/>
            </w:pPr>
            <w:r>
              <w:rPr>
                <w:sz w:val="20"/>
                <w:szCs w:val="20"/>
              </w:rPr>
              <w:t>Currency Rate (Currency Exchange Rate)</w:t>
            </w:r>
          </w:p>
        </w:tc>
        <w:tc>
          <w:tcPr>
            <w:tcW w:w="2100" w:type="dxa"/>
            <w:tcMar>
              <w:top w:w="90" w:type="dxa"/>
              <w:left w:w="120" w:type="dxa"/>
              <w:bottom w:w="90" w:type="dxa"/>
              <w:right w:w="120" w:type="dxa"/>
            </w:tcMar>
            <w:vAlign w:val="center"/>
          </w:tcPr>
          <w:p w14:paraId="67DECDED" w14:textId="77777777" w:rsidR="00D8686B" w:rsidRDefault="003E2944">
            <w:pPr>
              <w:spacing w:after="40" w:line="250" w:lineRule="auto"/>
            </w:pPr>
            <w:proofErr w:type="spellStart"/>
            <w:r>
              <w:rPr>
                <w:sz w:val="20"/>
                <w:szCs w:val="20"/>
              </w:rPr>
              <w:t>currencyrate</w:t>
            </w:r>
            <w:proofErr w:type="spellEnd"/>
          </w:p>
        </w:tc>
        <w:tc>
          <w:tcPr>
            <w:tcW w:w="4650" w:type="dxa"/>
            <w:tcMar>
              <w:top w:w="90" w:type="dxa"/>
              <w:left w:w="120" w:type="dxa"/>
              <w:bottom w:w="90" w:type="dxa"/>
              <w:right w:w="120" w:type="dxa"/>
            </w:tcMar>
            <w:vAlign w:val="center"/>
          </w:tcPr>
          <w:p w14:paraId="67DECDEE" w14:textId="77777777" w:rsidR="00D8686B" w:rsidRDefault="003E2944">
            <w:pPr>
              <w:spacing w:after="40" w:line="250" w:lineRule="auto"/>
            </w:pPr>
            <w:r>
              <w:rPr>
                <w:sz w:val="20"/>
                <w:szCs w:val="20"/>
              </w:rPr>
              <w:t>Client and server SuiteScript. Partially scriptable when the feature is enabled — can be created, read, copied, and searched.</w:t>
            </w:r>
          </w:p>
        </w:tc>
      </w:tr>
      <w:tr w:rsidR="00D8686B" w14:paraId="67DECDF3" w14:textId="77777777">
        <w:tc>
          <w:tcPr>
            <w:tcW w:w="2600" w:type="dxa"/>
            <w:tcMar>
              <w:top w:w="90" w:type="dxa"/>
              <w:left w:w="120" w:type="dxa"/>
              <w:bottom w:w="90" w:type="dxa"/>
              <w:right w:w="120" w:type="dxa"/>
            </w:tcMar>
            <w:vAlign w:val="center"/>
          </w:tcPr>
          <w:p w14:paraId="67DECDF0" w14:textId="77777777" w:rsidR="00D8686B" w:rsidRDefault="003E2944">
            <w:pPr>
              <w:spacing w:after="40" w:line="250" w:lineRule="auto"/>
            </w:pPr>
            <w:r>
              <w:rPr>
                <w:sz w:val="20"/>
                <w:szCs w:val="20"/>
              </w:rPr>
              <w:t>Consolidated Exchange Rate</w:t>
            </w:r>
          </w:p>
        </w:tc>
        <w:tc>
          <w:tcPr>
            <w:tcW w:w="2100" w:type="dxa"/>
            <w:tcMar>
              <w:top w:w="90" w:type="dxa"/>
              <w:left w:w="120" w:type="dxa"/>
              <w:bottom w:w="90" w:type="dxa"/>
              <w:right w:w="120" w:type="dxa"/>
            </w:tcMar>
            <w:vAlign w:val="center"/>
          </w:tcPr>
          <w:p w14:paraId="67DECDF1" w14:textId="77777777" w:rsidR="00D8686B" w:rsidRDefault="003E2944">
            <w:pPr>
              <w:spacing w:after="40" w:line="250" w:lineRule="auto"/>
            </w:pPr>
            <w:proofErr w:type="spellStart"/>
            <w:r>
              <w:rPr>
                <w:sz w:val="20"/>
                <w:szCs w:val="20"/>
              </w:rPr>
              <w:t>consolidatedexchangerate</w:t>
            </w:r>
            <w:proofErr w:type="spellEnd"/>
          </w:p>
        </w:tc>
        <w:tc>
          <w:tcPr>
            <w:tcW w:w="4650" w:type="dxa"/>
            <w:tcMar>
              <w:top w:w="90" w:type="dxa"/>
              <w:left w:w="120" w:type="dxa"/>
              <w:bottom w:w="90" w:type="dxa"/>
              <w:right w:w="120" w:type="dxa"/>
            </w:tcMar>
            <w:vAlign w:val="center"/>
          </w:tcPr>
          <w:p w14:paraId="67DECDF2" w14:textId="77777777" w:rsidR="00D8686B" w:rsidRDefault="003E2944">
            <w:pPr>
              <w:spacing w:after="40" w:line="250" w:lineRule="auto"/>
            </w:pPr>
            <w:r>
              <w:rPr>
                <w:sz w:val="20"/>
                <w:szCs w:val="20"/>
              </w:rPr>
              <w:t xml:space="preserve">Client and server SuiteScript. Editable elements are </w:t>
            </w:r>
            <w:proofErr w:type="spellStart"/>
            <w:r>
              <w:rPr>
                <w:sz w:val="20"/>
                <w:szCs w:val="20"/>
              </w:rPr>
              <w:t>currentrate</w:t>
            </w:r>
            <w:proofErr w:type="spellEnd"/>
            <w:r>
              <w:rPr>
                <w:sz w:val="20"/>
                <w:szCs w:val="20"/>
              </w:rPr>
              <w:t xml:space="preserve">, </w:t>
            </w:r>
            <w:proofErr w:type="spellStart"/>
            <w:r>
              <w:rPr>
                <w:sz w:val="20"/>
                <w:szCs w:val="20"/>
              </w:rPr>
              <w:t>averagerate</w:t>
            </w:r>
            <w:proofErr w:type="spellEnd"/>
            <w:r>
              <w:rPr>
                <w:sz w:val="20"/>
                <w:szCs w:val="20"/>
              </w:rPr>
              <w:t xml:space="preserve">, </w:t>
            </w:r>
            <w:proofErr w:type="spellStart"/>
            <w:r>
              <w:rPr>
                <w:sz w:val="20"/>
                <w:szCs w:val="20"/>
              </w:rPr>
              <w:t>historicalrate</w:t>
            </w:r>
            <w:proofErr w:type="spellEnd"/>
            <w:r>
              <w:rPr>
                <w:sz w:val="20"/>
                <w:szCs w:val="20"/>
              </w:rPr>
              <w:t xml:space="preserve">, and </w:t>
            </w:r>
            <w:proofErr w:type="spellStart"/>
            <w:r>
              <w:rPr>
                <w:sz w:val="20"/>
                <w:szCs w:val="20"/>
              </w:rPr>
              <w:t>externalid</w:t>
            </w:r>
            <w:proofErr w:type="spellEnd"/>
            <w:r>
              <w:rPr>
                <w:sz w:val="20"/>
                <w:szCs w:val="20"/>
              </w:rPr>
              <w:t xml:space="preserve">; the rest is read/search only. Requires the Currency permission at Full level, plus access to both the From and </w:t>
            </w:r>
            <w:proofErr w:type="gramStart"/>
            <w:r>
              <w:rPr>
                <w:sz w:val="20"/>
                <w:szCs w:val="20"/>
              </w:rPr>
              <w:t>To</w:t>
            </w:r>
            <w:proofErr w:type="gramEnd"/>
            <w:r>
              <w:rPr>
                <w:sz w:val="20"/>
                <w:szCs w:val="20"/>
              </w:rPr>
              <w:t xml:space="preserve"> subsidiary to edit a given pair.</w:t>
            </w:r>
          </w:p>
        </w:tc>
      </w:tr>
      <w:tr w:rsidR="00D8686B" w14:paraId="67DECDF7" w14:textId="77777777">
        <w:tc>
          <w:tcPr>
            <w:tcW w:w="2600" w:type="dxa"/>
            <w:tcMar>
              <w:top w:w="90" w:type="dxa"/>
              <w:left w:w="120" w:type="dxa"/>
              <w:bottom w:w="90" w:type="dxa"/>
              <w:right w:w="120" w:type="dxa"/>
            </w:tcMar>
            <w:vAlign w:val="center"/>
          </w:tcPr>
          <w:p w14:paraId="67DECDF4" w14:textId="77777777" w:rsidR="00D8686B" w:rsidRDefault="003E2944">
            <w:pPr>
              <w:spacing w:after="40" w:line="250" w:lineRule="auto"/>
            </w:pPr>
            <w:r>
              <w:rPr>
                <w:sz w:val="20"/>
                <w:szCs w:val="20"/>
              </w:rPr>
              <w:t>Budget Exchange Rate</w:t>
            </w:r>
          </w:p>
        </w:tc>
        <w:tc>
          <w:tcPr>
            <w:tcW w:w="2100" w:type="dxa"/>
            <w:tcMar>
              <w:top w:w="90" w:type="dxa"/>
              <w:left w:w="120" w:type="dxa"/>
              <w:bottom w:w="90" w:type="dxa"/>
              <w:right w:w="120" w:type="dxa"/>
            </w:tcMar>
            <w:vAlign w:val="center"/>
          </w:tcPr>
          <w:p w14:paraId="67DECDF5" w14:textId="77777777" w:rsidR="00D8686B" w:rsidRDefault="003E2944">
            <w:pPr>
              <w:spacing w:after="40" w:line="250" w:lineRule="auto"/>
            </w:pPr>
            <w:proofErr w:type="spellStart"/>
            <w:r>
              <w:rPr>
                <w:sz w:val="20"/>
                <w:szCs w:val="20"/>
              </w:rPr>
              <w:t>budgetexchangerate</w:t>
            </w:r>
            <w:proofErr w:type="spellEnd"/>
          </w:p>
        </w:tc>
        <w:tc>
          <w:tcPr>
            <w:tcW w:w="4650" w:type="dxa"/>
            <w:tcMar>
              <w:top w:w="90" w:type="dxa"/>
              <w:left w:w="120" w:type="dxa"/>
              <w:bottom w:w="90" w:type="dxa"/>
              <w:right w:w="120" w:type="dxa"/>
            </w:tcMar>
            <w:vAlign w:val="center"/>
          </w:tcPr>
          <w:p w14:paraId="67DECDF6" w14:textId="77777777" w:rsidR="00D8686B" w:rsidRDefault="003E2944">
            <w:pPr>
              <w:spacing w:after="40" w:line="250" w:lineRule="auto"/>
            </w:pPr>
            <w:r>
              <w:rPr>
                <w:sz w:val="20"/>
                <w:szCs w:val="20"/>
              </w:rPr>
              <w:t>Similar profile to Consolidated Exchange Rate; requires the Currency permission at Full level. Only direct (child-to-parent) rates are editable — indirect (grandchild-to-grandparent) rates are system-calculated.</w:t>
            </w:r>
          </w:p>
        </w:tc>
      </w:tr>
    </w:tbl>
    <w:p w14:paraId="67DECDF8" w14:textId="77777777" w:rsidR="00D8686B" w:rsidRDefault="00D8686B">
      <w:pPr>
        <w:spacing w:after="160"/>
      </w:pPr>
    </w:p>
    <w:tbl>
      <w:tblPr>
        <w:tblW w:w="5000" w:type="pct"/>
        <w:tblBorders>
          <w:top w:val="single" w:sz="8" w:space="0" w:color="C9971C"/>
          <w:left w:val="single" w:sz="8" w:space="0" w:color="C9971C"/>
          <w:bottom w:val="single" w:sz="8" w:space="0" w:color="C9971C"/>
          <w:right w:val="single" w:sz="8" w:space="0" w:color="C9971C"/>
          <w:insideH w:val="single" w:sz="8" w:space="0" w:color="C9971C"/>
          <w:insideV w:val="single" w:sz="8" w:space="0" w:color="C9971C"/>
        </w:tblBorders>
        <w:tblCellMar>
          <w:left w:w="10" w:type="dxa"/>
          <w:right w:w="10" w:type="dxa"/>
        </w:tblCellMar>
        <w:tblLook w:val="04A0" w:firstRow="1" w:lastRow="0" w:firstColumn="1" w:lastColumn="0" w:noHBand="0" w:noVBand="1"/>
      </w:tblPr>
      <w:tblGrid>
        <w:gridCol w:w="10060"/>
      </w:tblGrid>
      <w:tr w:rsidR="00D8686B" w14:paraId="67DECDFD" w14:textId="77777777">
        <w:tc>
          <w:tcPr>
            <w:tcW w:w="0" w:type="auto"/>
            <w:shd w:val="clear" w:color="auto" w:fill="FDF2D0"/>
            <w:tcMar>
              <w:top w:w="160" w:type="dxa"/>
              <w:left w:w="200" w:type="dxa"/>
              <w:bottom w:w="160" w:type="dxa"/>
              <w:right w:w="200" w:type="dxa"/>
            </w:tcMar>
          </w:tcPr>
          <w:p w14:paraId="67DECDF9" w14:textId="77777777" w:rsidR="00D8686B" w:rsidRDefault="003E2944">
            <w:pPr>
              <w:spacing w:after="120"/>
            </w:pPr>
            <w:r>
              <w:rPr>
                <w:b/>
                <w:bCs/>
                <w:color w:val="1F3864"/>
              </w:rPr>
              <w:t>⚠️ Currency Revaluation Records Don’t Take Workflows or User Event Scripts on Create</w:t>
            </w:r>
          </w:p>
          <w:p w14:paraId="67DECDFA" w14:textId="77777777" w:rsidR="00D8686B" w:rsidRDefault="003E2944">
            <w:pPr>
              <w:pStyle w:val="ListParagraph"/>
              <w:numPr>
                <w:ilvl w:val="0"/>
                <w:numId w:val="1"/>
              </w:numPr>
              <w:spacing w:after="80" w:line="264" w:lineRule="auto"/>
            </w:pPr>
            <w:r>
              <w:rPr>
                <w:sz w:val="21"/>
                <w:szCs w:val="21"/>
              </w:rPr>
              <w:t>NetSuite does not support attaching a workflow or a User Event script that runs on creation of a Currency Revaluation transaction — fields like Class, Department, and Location that come through blank (for example, when Include Children was checked) can’t be populated that way.</w:t>
            </w:r>
          </w:p>
          <w:p w14:paraId="67DECDFB" w14:textId="77777777" w:rsidR="00D8686B" w:rsidRDefault="003E2944">
            <w:pPr>
              <w:pStyle w:val="ListParagraph"/>
              <w:numPr>
                <w:ilvl w:val="0"/>
                <w:numId w:val="1"/>
              </w:numPr>
              <w:spacing w:after="80" w:line="264" w:lineRule="auto"/>
            </w:pPr>
            <w:r>
              <w:rPr>
                <w:sz w:val="21"/>
                <w:szCs w:val="21"/>
              </w:rPr>
              <w:t xml:space="preserve">The documented workaround is a saved search that finds revaluation transactions with missing classification values, paired with a Scheduled Script that uses </w:t>
            </w:r>
            <w:proofErr w:type="spellStart"/>
            <w:proofErr w:type="gramStart"/>
            <w:r>
              <w:rPr>
                <w:sz w:val="21"/>
                <w:szCs w:val="21"/>
              </w:rPr>
              <w:t>record.submitFields</w:t>
            </w:r>
            <w:proofErr w:type="spellEnd"/>
            <w:proofErr w:type="gramEnd"/>
            <w:r>
              <w:rPr>
                <w:sz w:val="21"/>
                <w:szCs w:val="21"/>
              </w:rPr>
              <w:t>() to patch those fields after the revaluation transaction already exists.</w:t>
            </w:r>
          </w:p>
          <w:p w14:paraId="67DECDFC" w14:textId="77777777" w:rsidR="00D8686B" w:rsidRDefault="003E2944">
            <w:pPr>
              <w:pStyle w:val="ListParagraph"/>
              <w:numPr>
                <w:ilvl w:val="0"/>
                <w:numId w:val="1"/>
              </w:numPr>
              <w:spacing w:after="80" w:line="264" w:lineRule="auto"/>
            </w:pPr>
            <w:r>
              <w:rPr>
                <w:sz w:val="21"/>
                <w:szCs w:val="21"/>
              </w:rPr>
              <w:t>Confirm the exact record/search type identifier for Currency Revaluation transactions in the SuiteScript Records Browser for the account before deploying — the module below uses a placeholder constant for that reason.</w:t>
            </w:r>
          </w:p>
        </w:tc>
      </w:tr>
    </w:tbl>
    <w:p w14:paraId="1D9B1493" w14:textId="77777777" w:rsidR="009B2E2B" w:rsidRDefault="009B2E2B">
      <w:pPr>
        <w:pStyle w:val="Heading2"/>
        <w:spacing w:before="280" w:after="140"/>
        <w:rPr>
          <w:b/>
          <w:bCs/>
          <w:color w:val="1F3864"/>
        </w:rPr>
      </w:pPr>
    </w:p>
    <w:p w14:paraId="4AAEE437" w14:textId="77777777" w:rsidR="009B2E2B" w:rsidRDefault="009B2E2B">
      <w:pPr>
        <w:pStyle w:val="Heading2"/>
        <w:spacing w:before="280" w:after="140"/>
        <w:rPr>
          <w:b/>
          <w:bCs/>
          <w:color w:val="1F3864"/>
        </w:rPr>
      </w:pPr>
    </w:p>
    <w:p w14:paraId="7185A1B7" w14:textId="77777777" w:rsidR="009B2E2B" w:rsidRDefault="009B2E2B">
      <w:pPr>
        <w:pStyle w:val="Heading2"/>
        <w:spacing w:before="280" w:after="140"/>
        <w:rPr>
          <w:b/>
          <w:bCs/>
          <w:color w:val="1F3864"/>
        </w:rPr>
      </w:pPr>
    </w:p>
    <w:p w14:paraId="617E7221" w14:textId="77777777" w:rsidR="009B2E2B" w:rsidRDefault="009B2E2B">
      <w:pPr>
        <w:pStyle w:val="Heading2"/>
        <w:spacing w:before="280" w:after="140"/>
        <w:rPr>
          <w:b/>
          <w:bCs/>
          <w:color w:val="1F3864"/>
        </w:rPr>
      </w:pPr>
    </w:p>
    <w:p w14:paraId="67DECDFE" w14:textId="2E99E8A3" w:rsidR="00D8686B" w:rsidRDefault="003E2944">
      <w:pPr>
        <w:pStyle w:val="Heading2"/>
        <w:spacing w:before="280" w:after="140"/>
      </w:pPr>
      <w:r>
        <w:rPr>
          <w:b/>
          <w:bCs/>
          <w:color w:val="1F3864"/>
        </w:rPr>
        <w:lastRenderedPageBreak/>
        <w:t>6.3 Scheduled Script — Backfilling Classification on Currency Revaluation Records</w:t>
      </w:r>
    </w:p>
    <w:p w14:paraId="67DECDFF" w14:textId="77777777" w:rsidR="00D8686B" w:rsidRDefault="003E2944">
      <w:pPr>
        <w:spacing w:after="160" w:line="276" w:lineRule="auto"/>
      </w:pPr>
      <w:r>
        <w:t xml:space="preserve">Because a Currency Revaluation transaction can’t carry a User Event script on create, a Scheduled Script driven by a saved search is the standard pattern for populating Class, Department, or Location after the fact — for example, after an Include </w:t>
      </w:r>
      <w:proofErr w:type="gramStart"/>
      <w:r>
        <w:t>Children</w:t>
      </w:r>
      <w:proofErr w:type="gramEnd"/>
      <w:r>
        <w:t xml:space="preserve"> revaluation run that leaves those fields blank on the resulting transactions.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70"/>
      </w:tblGrid>
      <w:tr w:rsidR="00D8686B" w14:paraId="67DECE25" w14:textId="77777777">
        <w:tc>
          <w:tcPr>
            <w:tcW w:w="0" w:type="auto"/>
            <w:shd w:val="clear" w:color="auto" w:fill="F3F3F3"/>
            <w:tcMar>
              <w:top w:w="160" w:type="dxa"/>
              <w:left w:w="220" w:type="dxa"/>
              <w:bottom w:w="160" w:type="dxa"/>
              <w:right w:w="220" w:type="dxa"/>
            </w:tcMar>
          </w:tcPr>
          <w:p w14:paraId="67DECE00" w14:textId="77777777" w:rsidR="00D8686B" w:rsidRDefault="003E2944">
            <w:r>
              <w:rPr>
                <w:rFonts w:ascii="Consolas" w:eastAsia="Consolas" w:hAnsi="Consolas" w:cs="Consolas"/>
                <w:i/>
                <w:iCs/>
                <w:color w:val="595959"/>
                <w:sz w:val="18"/>
                <w:szCs w:val="18"/>
              </w:rPr>
              <w:t>/** SuiteScript 2.1 — Scheduled Script: Backfill Classification on</w:t>
            </w:r>
          </w:p>
          <w:p w14:paraId="67DECE01" w14:textId="77777777" w:rsidR="00D8686B" w:rsidRDefault="003E2944">
            <w:r>
              <w:rPr>
                <w:rFonts w:ascii="Consolas" w:eastAsia="Consolas" w:hAnsi="Consolas" w:cs="Consolas"/>
                <w:i/>
                <w:iCs/>
                <w:color w:val="595959"/>
                <w:sz w:val="18"/>
                <w:szCs w:val="18"/>
              </w:rPr>
              <w:t xml:space="preserve"> * Currency Revaluation Transactions Missing It</w:t>
            </w:r>
          </w:p>
          <w:p w14:paraId="67DECE02" w14:textId="77777777" w:rsidR="00D8686B" w:rsidRDefault="003E2944">
            <w:r>
              <w:rPr>
                <w:rFonts w:ascii="Consolas" w:eastAsia="Consolas" w:hAnsi="Consolas" w:cs="Consolas"/>
                <w:i/>
                <w:iCs/>
                <w:color w:val="595959"/>
                <w:sz w:val="18"/>
                <w:szCs w:val="18"/>
              </w:rPr>
              <w:t xml:space="preserve"> * Confirm CURRENCY_REVALUATION_TYPE via the SuiteScript Records Browser</w:t>
            </w:r>
          </w:p>
          <w:p w14:paraId="67DECE03" w14:textId="77777777" w:rsidR="00D8686B" w:rsidRDefault="003E2944">
            <w:r>
              <w:rPr>
                <w:rFonts w:ascii="Consolas" w:eastAsia="Consolas" w:hAnsi="Consolas" w:cs="Consolas"/>
                <w:i/>
                <w:iCs/>
                <w:color w:val="595959"/>
                <w:sz w:val="18"/>
                <w:szCs w:val="18"/>
              </w:rPr>
              <w:t xml:space="preserve"> * </w:t>
            </w:r>
            <w:proofErr w:type="gramStart"/>
            <w:r>
              <w:rPr>
                <w:rFonts w:ascii="Consolas" w:eastAsia="Consolas" w:hAnsi="Consolas" w:cs="Consolas"/>
                <w:i/>
                <w:iCs/>
                <w:color w:val="595959"/>
                <w:sz w:val="18"/>
                <w:szCs w:val="18"/>
              </w:rPr>
              <w:t>for</w:t>
            </w:r>
            <w:proofErr w:type="gramEnd"/>
            <w:r>
              <w:rPr>
                <w:rFonts w:ascii="Consolas" w:eastAsia="Consolas" w:hAnsi="Consolas" w:cs="Consolas"/>
                <w:i/>
                <w:iCs/>
                <w:color w:val="595959"/>
                <w:sz w:val="18"/>
                <w:szCs w:val="18"/>
              </w:rPr>
              <w:t xml:space="preserve"> this account before deploying.</w:t>
            </w:r>
          </w:p>
          <w:p w14:paraId="67DECE04" w14:textId="77777777" w:rsidR="00D8686B" w:rsidRDefault="003E2944">
            <w:r>
              <w:rPr>
                <w:rFonts w:ascii="Consolas" w:eastAsia="Consolas" w:hAnsi="Consolas" w:cs="Consolas"/>
                <w:i/>
                <w:iCs/>
                <w:color w:val="595959"/>
                <w:sz w:val="18"/>
                <w:szCs w:val="18"/>
              </w:rPr>
              <w:t xml:space="preserve"> */</w:t>
            </w:r>
          </w:p>
          <w:p w14:paraId="67DECE05" w14:textId="77777777" w:rsidR="00D8686B" w:rsidRDefault="003E2944">
            <w:proofErr w:type="gramStart"/>
            <w:r>
              <w:rPr>
                <w:rFonts w:ascii="Consolas" w:eastAsia="Consolas" w:hAnsi="Consolas" w:cs="Consolas"/>
                <w:color w:val="1A1A1A"/>
                <w:sz w:val="18"/>
                <w:szCs w:val="18"/>
              </w:rPr>
              <w:t>define(</w:t>
            </w:r>
            <w:proofErr w:type="gramEnd"/>
            <w:r>
              <w:rPr>
                <w:rFonts w:ascii="Consolas" w:eastAsia="Consolas" w:hAnsi="Consolas" w:cs="Consolas"/>
                <w:color w:val="1A1A1A"/>
                <w:sz w:val="18"/>
                <w:szCs w:val="18"/>
              </w:rPr>
              <w:t xml:space="preserve">['N/search', 'N/record', 'N/log'], </w:t>
            </w:r>
            <w:proofErr w:type="gramStart"/>
            <w:r>
              <w:rPr>
                <w:rFonts w:ascii="Consolas" w:eastAsia="Consolas" w:hAnsi="Consolas" w:cs="Consolas"/>
                <w:color w:val="1A1A1A"/>
                <w:sz w:val="18"/>
                <w:szCs w:val="18"/>
              </w:rPr>
              <w:t>function(</w:t>
            </w:r>
            <w:proofErr w:type="gramEnd"/>
            <w:r>
              <w:rPr>
                <w:rFonts w:ascii="Consolas" w:eastAsia="Consolas" w:hAnsi="Consolas" w:cs="Consolas"/>
                <w:color w:val="1A1A1A"/>
                <w:sz w:val="18"/>
                <w:szCs w:val="18"/>
              </w:rPr>
              <w:t>search, record, log) {</w:t>
            </w:r>
          </w:p>
          <w:p w14:paraId="67DECE06" w14:textId="77777777" w:rsidR="00D8686B" w:rsidRDefault="00D8686B"/>
          <w:p w14:paraId="67DECE07" w14:textId="77777777" w:rsidR="00D8686B" w:rsidRDefault="003E2944">
            <w:r>
              <w:rPr>
                <w:rFonts w:ascii="Consolas" w:eastAsia="Consolas" w:hAnsi="Consolas" w:cs="Consolas"/>
                <w:i/>
                <w:iCs/>
                <w:color w:val="595959"/>
                <w:sz w:val="18"/>
                <w:szCs w:val="18"/>
              </w:rPr>
              <w:t xml:space="preserve">  // Confirm this identifier in the Records Browser for the account.</w:t>
            </w:r>
          </w:p>
          <w:p w14:paraId="67DECE08" w14:textId="77777777" w:rsidR="00D8686B" w:rsidRDefault="003E2944">
            <w:r>
              <w:rPr>
                <w:rFonts w:ascii="Consolas" w:eastAsia="Consolas" w:hAnsi="Consolas" w:cs="Consolas"/>
                <w:color w:val="1A1A1A"/>
                <w:sz w:val="18"/>
                <w:szCs w:val="18"/>
              </w:rPr>
              <w:t xml:space="preserve">  var CURRENCY_REVALUATION_TYPE = '</w:t>
            </w:r>
            <w:proofErr w:type="spellStart"/>
            <w:r>
              <w:rPr>
                <w:rFonts w:ascii="Consolas" w:eastAsia="Consolas" w:hAnsi="Consolas" w:cs="Consolas"/>
                <w:color w:val="1A1A1A"/>
                <w:sz w:val="18"/>
                <w:szCs w:val="18"/>
              </w:rPr>
              <w:t>currencyrevaluation</w:t>
            </w:r>
            <w:proofErr w:type="spellEnd"/>
            <w:r>
              <w:rPr>
                <w:rFonts w:ascii="Consolas" w:eastAsia="Consolas" w:hAnsi="Consolas" w:cs="Consolas"/>
                <w:color w:val="1A1A1A"/>
                <w:sz w:val="18"/>
                <w:szCs w:val="18"/>
              </w:rPr>
              <w:t>';</w:t>
            </w:r>
          </w:p>
          <w:p w14:paraId="67DECE09" w14:textId="77777777" w:rsidR="00D8686B" w:rsidRDefault="00D8686B"/>
          <w:p w14:paraId="67DECE0A" w14:textId="77777777" w:rsidR="00D8686B" w:rsidRDefault="003E2944">
            <w:r>
              <w:rPr>
                <w:rFonts w:ascii="Consolas" w:eastAsia="Consolas" w:hAnsi="Consolas" w:cs="Consolas"/>
                <w:color w:val="1A1A1A"/>
                <w:sz w:val="18"/>
                <w:szCs w:val="18"/>
              </w:rPr>
              <w:t xml:space="preserve">  function </w:t>
            </w:r>
            <w:proofErr w:type="spellStart"/>
            <w:r>
              <w:rPr>
                <w:rFonts w:ascii="Consolas" w:eastAsia="Consolas" w:hAnsi="Consolas" w:cs="Consolas"/>
                <w:color w:val="1A1A1A"/>
                <w:sz w:val="18"/>
                <w:szCs w:val="18"/>
              </w:rPr>
              <w:t>getScriptContext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scriptContext</w:t>
            </w:r>
            <w:proofErr w:type="spellEnd"/>
            <w:r>
              <w:rPr>
                <w:rFonts w:ascii="Consolas" w:eastAsia="Consolas" w:hAnsi="Consolas" w:cs="Consolas"/>
                <w:color w:val="1A1A1A"/>
                <w:sz w:val="18"/>
                <w:szCs w:val="18"/>
              </w:rPr>
              <w:t>) {</w:t>
            </w:r>
          </w:p>
          <w:p w14:paraId="67DECE0B" w14:textId="77777777" w:rsidR="00D8686B" w:rsidRDefault="003E2944">
            <w:r>
              <w:rPr>
                <w:rFonts w:ascii="Consolas" w:eastAsia="Consolas" w:hAnsi="Consolas" w:cs="Consolas"/>
                <w:color w:val="1A1A1A"/>
                <w:sz w:val="18"/>
                <w:szCs w:val="18"/>
              </w:rPr>
              <w:t xml:space="preserve">    var </w:t>
            </w:r>
            <w:proofErr w:type="spellStart"/>
            <w:r>
              <w:rPr>
                <w:rFonts w:ascii="Consolas" w:eastAsia="Consolas" w:hAnsi="Consolas" w:cs="Consolas"/>
                <w:color w:val="1A1A1A"/>
                <w:sz w:val="18"/>
                <w:szCs w:val="18"/>
              </w:rPr>
              <w:t>revalSearch</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search.create</w:t>
            </w:r>
            <w:proofErr w:type="spellEnd"/>
            <w:proofErr w:type="gramEnd"/>
            <w:r>
              <w:rPr>
                <w:rFonts w:ascii="Consolas" w:eastAsia="Consolas" w:hAnsi="Consolas" w:cs="Consolas"/>
                <w:color w:val="1A1A1A"/>
                <w:sz w:val="18"/>
                <w:szCs w:val="18"/>
              </w:rPr>
              <w:t>({</w:t>
            </w:r>
          </w:p>
          <w:p w14:paraId="67DECE0C" w14:textId="77777777" w:rsidR="00D8686B" w:rsidRDefault="003E2944">
            <w:r>
              <w:rPr>
                <w:rFonts w:ascii="Consolas" w:eastAsia="Consolas" w:hAnsi="Consolas" w:cs="Consolas"/>
                <w:color w:val="1A1A1A"/>
                <w:sz w:val="18"/>
                <w:szCs w:val="18"/>
              </w:rPr>
              <w:t xml:space="preserve">      type: CURRENCY_REVALUATION_TYPE,</w:t>
            </w:r>
          </w:p>
          <w:p w14:paraId="67DECE0D" w14:textId="77777777" w:rsidR="00D8686B" w:rsidRDefault="003E2944">
            <w:r>
              <w:rPr>
                <w:rFonts w:ascii="Consolas" w:eastAsia="Consolas" w:hAnsi="Consolas" w:cs="Consolas"/>
                <w:color w:val="1A1A1A"/>
                <w:sz w:val="18"/>
                <w:szCs w:val="18"/>
              </w:rPr>
              <w:t xml:space="preserve">      filters: [</w:t>
            </w:r>
          </w:p>
          <w:p w14:paraId="67DECE0E" w14:textId="77777777" w:rsidR="00D8686B" w:rsidRDefault="003E2944">
            <w:r>
              <w:rPr>
                <w:rFonts w:ascii="Consolas" w:eastAsia="Consolas" w:hAnsi="Consolas" w:cs="Consolas"/>
                <w:color w:val="1A1A1A"/>
                <w:sz w:val="18"/>
                <w:szCs w:val="18"/>
              </w:rPr>
              <w:t xml:space="preserve">        ['mainline', 'is', 'T'],</w:t>
            </w:r>
          </w:p>
          <w:p w14:paraId="67DECE0F" w14:textId="77777777" w:rsidR="00D8686B" w:rsidRDefault="003E2944">
            <w:r>
              <w:rPr>
                <w:rFonts w:ascii="Consolas" w:eastAsia="Consolas" w:hAnsi="Consolas" w:cs="Consolas"/>
                <w:color w:val="1A1A1A"/>
                <w:sz w:val="18"/>
                <w:szCs w:val="18"/>
              </w:rPr>
              <w:t xml:space="preserve">        'AND', ['department', '</w:t>
            </w:r>
            <w:proofErr w:type="spellStart"/>
            <w:r>
              <w:rPr>
                <w:rFonts w:ascii="Consolas" w:eastAsia="Consolas" w:hAnsi="Consolas" w:cs="Consolas"/>
                <w:color w:val="1A1A1A"/>
                <w:sz w:val="18"/>
                <w:szCs w:val="18"/>
              </w:rPr>
              <w:t>anyof</w:t>
            </w:r>
            <w:proofErr w:type="spellEnd"/>
            <w:r>
              <w:rPr>
                <w:rFonts w:ascii="Consolas" w:eastAsia="Consolas" w:hAnsi="Consolas" w:cs="Consolas"/>
                <w:color w:val="1A1A1A"/>
                <w:sz w:val="18"/>
                <w:szCs w:val="18"/>
              </w:rPr>
              <w:t>', '@NONE@']</w:t>
            </w:r>
          </w:p>
          <w:p w14:paraId="67DECE10" w14:textId="77777777" w:rsidR="00D8686B" w:rsidRDefault="003E2944">
            <w:r>
              <w:rPr>
                <w:rFonts w:ascii="Consolas" w:eastAsia="Consolas" w:hAnsi="Consolas" w:cs="Consolas"/>
                <w:color w:val="1A1A1A"/>
                <w:sz w:val="18"/>
                <w:szCs w:val="18"/>
              </w:rPr>
              <w:t xml:space="preserve">      ],</w:t>
            </w:r>
          </w:p>
          <w:p w14:paraId="67DECE11" w14:textId="77777777" w:rsidR="00D8686B" w:rsidRDefault="003E2944">
            <w:r>
              <w:rPr>
                <w:rFonts w:ascii="Consolas" w:eastAsia="Consolas" w:hAnsi="Consolas" w:cs="Consolas"/>
                <w:color w:val="1A1A1A"/>
                <w:sz w:val="18"/>
                <w:szCs w:val="18"/>
              </w:rPr>
              <w:t xml:space="preserve">      columns: ['</w:t>
            </w:r>
            <w:proofErr w:type="spellStart"/>
            <w:r>
              <w:rPr>
                <w:rFonts w:ascii="Consolas" w:eastAsia="Consolas" w:hAnsi="Consolas" w:cs="Consolas"/>
                <w:color w:val="1A1A1A"/>
                <w:sz w:val="18"/>
                <w:szCs w:val="18"/>
              </w:rPr>
              <w:t>internalid</w:t>
            </w:r>
            <w:proofErr w:type="spellEnd"/>
            <w:r>
              <w:rPr>
                <w:rFonts w:ascii="Consolas" w:eastAsia="Consolas" w:hAnsi="Consolas" w:cs="Consolas"/>
                <w:color w:val="1A1A1A"/>
                <w:sz w:val="18"/>
                <w:szCs w:val="18"/>
              </w:rPr>
              <w:t>', 'subsidiary']</w:t>
            </w:r>
          </w:p>
          <w:p w14:paraId="67DECE12" w14:textId="77777777" w:rsidR="00D8686B" w:rsidRDefault="003E2944">
            <w:r>
              <w:rPr>
                <w:rFonts w:ascii="Consolas" w:eastAsia="Consolas" w:hAnsi="Consolas" w:cs="Consolas"/>
                <w:color w:val="1A1A1A"/>
                <w:sz w:val="18"/>
                <w:szCs w:val="18"/>
              </w:rPr>
              <w:t xml:space="preserve">    });</w:t>
            </w:r>
          </w:p>
          <w:p w14:paraId="67DECE13" w14:textId="77777777" w:rsidR="00D8686B" w:rsidRDefault="00D8686B"/>
          <w:p w14:paraId="67DECE14" w14:textId="77777777" w:rsidR="00D8686B" w:rsidRDefault="003E2944">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revalSearch.run</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).each</w:t>
            </w:r>
            <w:proofErr w:type="gramEnd"/>
            <w:r>
              <w:rPr>
                <w:rFonts w:ascii="Consolas" w:eastAsia="Consolas" w:hAnsi="Consolas" w:cs="Consolas"/>
                <w:color w:val="1A1A1A"/>
                <w:sz w:val="18"/>
                <w:szCs w:val="18"/>
              </w:rPr>
              <w:t>(function(result) {</w:t>
            </w:r>
          </w:p>
          <w:p w14:paraId="67DECE15" w14:textId="77777777" w:rsidR="00D8686B" w:rsidRDefault="003E2944">
            <w:r>
              <w:rPr>
                <w:rFonts w:ascii="Consolas" w:eastAsia="Consolas" w:hAnsi="Consolas" w:cs="Consolas"/>
                <w:color w:val="1A1A1A"/>
                <w:sz w:val="18"/>
                <w:szCs w:val="18"/>
              </w:rPr>
              <w:t xml:space="preserve">      try {</w:t>
            </w:r>
          </w:p>
          <w:p w14:paraId="67DECE16" w14:textId="77777777" w:rsidR="00D8686B" w:rsidRDefault="003E2944">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record.submitFields</w:t>
            </w:r>
            <w:proofErr w:type="spellEnd"/>
            <w:proofErr w:type="gramEnd"/>
            <w:r>
              <w:rPr>
                <w:rFonts w:ascii="Consolas" w:eastAsia="Consolas" w:hAnsi="Consolas" w:cs="Consolas"/>
                <w:color w:val="1A1A1A"/>
                <w:sz w:val="18"/>
                <w:szCs w:val="18"/>
              </w:rPr>
              <w:t>({</w:t>
            </w:r>
          </w:p>
          <w:p w14:paraId="67DECE17" w14:textId="77777777" w:rsidR="00D8686B" w:rsidRDefault="003E2944">
            <w:r>
              <w:rPr>
                <w:rFonts w:ascii="Consolas" w:eastAsia="Consolas" w:hAnsi="Consolas" w:cs="Consolas"/>
                <w:color w:val="1A1A1A"/>
                <w:sz w:val="18"/>
                <w:szCs w:val="18"/>
              </w:rPr>
              <w:t xml:space="preserve">          type: CURRENCY_REVALUATION_TYPE,</w:t>
            </w:r>
          </w:p>
          <w:p w14:paraId="67DECE18" w14:textId="77777777" w:rsidR="00D8686B" w:rsidRDefault="003E2944">
            <w:r>
              <w:rPr>
                <w:rFonts w:ascii="Consolas" w:eastAsia="Consolas" w:hAnsi="Consolas" w:cs="Consolas"/>
                <w:color w:val="1A1A1A"/>
                <w:sz w:val="18"/>
                <w:szCs w:val="18"/>
              </w:rPr>
              <w:t xml:space="preserve">          id: </w:t>
            </w:r>
            <w:proofErr w:type="spellStart"/>
            <w:proofErr w:type="gramStart"/>
            <w:r>
              <w:rPr>
                <w:rFonts w:ascii="Consolas" w:eastAsia="Consolas" w:hAnsi="Consolas" w:cs="Consolas"/>
                <w:color w:val="1A1A1A"/>
                <w:sz w:val="18"/>
                <w:szCs w:val="18"/>
              </w:rPr>
              <w:t>result.getValue</w:t>
            </w:r>
            <w:proofErr w:type="spellEnd"/>
            <w:r>
              <w:rPr>
                <w:rFonts w:ascii="Consolas" w:eastAsia="Consolas" w:hAnsi="Consolas" w:cs="Consolas"/>
                <w:color w:val="1A1A1A"/>
                <w:sz w:val="18"/>
                <w:szCs w:val="18"/>
              </w:rPr>
              <w:t>({ name</w:t>
            </w:r>
            <w:proofErr w:type="gram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internalid</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67DECE19" w14:textId="77777777" w:rsidR="00D8686B" w:rsidRDefault="003E2944">
            <w:r>
              <w:rPr>
                <w:rFonts w:ascii="Consolas" w:eastAsia="Consolas" w:hAnsi="Consolas" w:cs="Consolas"/>
                <w:color w:val="1A1A1A"/>
                <w:sz w:val="18"/>
                <w:szCs w:val="18"/>
              </w:rPr>
              <w:t xml:space="preserve">          values: </w:t>
            </w:r>
            <w:proofErr w:type="gramStart"/>
            <w:r>
              <w:rPr>
                <w:rFonts w:ascii="Consolas" w:eastAsia="Consolas" w:hAnsi="Consolas" w:cs="Consolas"/>
                <w:color w:val="1A1A1A"/>
                <w:sz w:val="18"/>
                <w:szCs w:val="18"/>
              </w:rPr>
              <w:t>{ department</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1 }</w:t>
            </w:r>
            <w:proofErr w:type="gramEnd"/>
            <w:r>
              <w:rPr>
                <w:rFonts w:ascii="Consolas" w:eastAsia="Consolas" w:hAnsi="Consolas" w:cs="Consolas"/>
                <w:color w:val="1A1A1A"/>
                <w:sz w:val="18"/>
                <w:szCs w:val="18"/>
              </w:rPr>
              <w:t>, // resolved default per subsidiary</w:t>
            </w:r>
          </w:p>
          <w:p w14:paraId="67DECE1A" w14:textId="77777777" w:rsidR="00D8686B" w:rsidRDefault="003E2944">
            <w:r>
              <w:rPr>
                <w:rFonts w:ascii="Consolas" w:eastAsia="Consolas" w:hAnsi="Consolas" w:cs="Consolas"/>
                <w:color w:val="1A1A1A"/>
                <w:sz w:val="18"/>
                <w:szCs w:val="18"/>
              </w:rPr>
              <w:t xml:space="preserve">          options: </w:t>
            </w:r>
            <w:proofErr w:type="gramStart"/>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enableSourcing</w:t>
            </w:r>
            <w:proofErr w:type="spellEnd"/>
            <w:proofErr w:type="gramEnd"/>
            <w:r>
              <w:rPr>
                <w:rFonts w:ascii="Consolas" w:eastAsia="Consolas" w:hAnsi="Consolas" w:cs="Consolas"/>
                <w:color w:val="1A1A1A"/>
                <w:sz w:val="18"/>
                <w:szCs w:val="18"/>
              </w:rPr>
              <w:t xml:space="preserve">: false, </w:t>
            </w:r>
            <w:proofErr w:type="spellStart"/>
            <w:r>
              <w:rPr>
                <w:rFonts w:ascii="Consolas" w:eastAsia="Consolas" w:hAnsi="Consolas" w:cs="Consolas"/>
                <w:color w:val="1A1A1A"/>
                <w:sz w:val="18"/>
                <w:szCs w:val="18"/>
              </w:rPr>
              <w:t>ignoreMandatoryFields</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true }</w:t>
            </w:r>
            <w:proofErr w:type="gramEnd"/>
          </w:p>
          <w:p w14:paraId="67DECE1B" w14:textId="77777777" w:rsidR="00D8686B" w:rsidRDefault="003E2944">
            <w:r>
              <w:rPr>
                <w:rFonts w:ascii="Consolas" w:eastAsia="Consolas" w:hAnsi="Consolas" w:cs="Consolas"/>
                <w:color w:val="1A1A1A"/>
                <w:sz w:val="18"/>
                <w:szCs w:val="18"/>
              </w:rPr>
              <w:t xml:space="preserve">        });</w:t>
            </w:r>
          </w:p>
          <w:p w14:paraId="67DECE1C" w14:textId="77777777" w:rsidR="00D8686B" w:rsidRDefault="003E2944">
            <w:r>
              <w:rPr>
                <w:rFonts w:ascii="Consolas" w:eastAsia="Consolas" w:hAnsi="Consolas" w:cs="Consolas"/>
                <w:color w:val="1A1A1A"/>
                <w:sz w:val="18"/>
                <w:szCs w:val="18"/>
              </w:rPr>
              <w:t xml:space="preserve">      } catch (e) {</w:t>
            </w:r>
          </w:p>
          <w:p w14:paraId="67DECE1D" w14:textId="77777777" w:rsidR="00D8686B" w:rsidRDefault="003E2944">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log.error</w:t>
            </w:r>
            <w:proofErr w:type="spellEnd"/>
            <w:r>
              <w:rPr>
                <w:rFonts w:ascii="Consolas" w:eastAsia="Consolas" w:hAnsi="Consolas" w:cs="Consolas"/>
                <w:color w:val="1A1A1A"/>
                <w:sz w:val="18"/>
                <w:szCs w:val="18"/>
              </w:rPr>
              <w:t>({ title</w:t>
            </w:r>
            <w:proofErr w:type="gramEnd"/>
            <w:r>
              <w:rPr>
                <w:rFonts w:ascii="Consolas" w:eastAsia="Consolas" w:hAnsi="Consolas" w:cs="Consolas"/>
                <w:color w:val="1A1A1A"/>
                <w:sz w:val="18"/>
                <w:szCs w:val="18"/>
              </w:rPr>
              <w:t xml:space="preserve">: 'Backfill failed', details: </w:t>
            </w:r>
            <w:proofErr w:type="gramStart"/>
            <w:r>
              <w:rPr>
                <w:rFonts w:ascii="Consolas" w:eastAsia="Consolas" w:hAnsi="Consolas" w:cs="Consolas"/>
                <w:color w:val="1A1A1A"/>
                <w:sz w:val="18"/>
                <w:szCs w:val="18"/>
              </w:rPr>
              <w:t>e }</w:t>
            </w:r>
            <w:proofErr w:type="gramEnd"/>
            <w:r>
              <w:rPr>
                <w:rFonts w:ascii="Consolas" w:eastAsia="Consolas" w:hAnsi="Consolas" w:cs="Consolas"/>
                <w:color w:val="1A1A1A"/>
                <w:sz w:val="18"/>
                <w:szCs w:val="18"/>
              </w:rPr>
              <w:t>);</w:t>
            </w:r>
          </w:p>
          <w:p w14:paraId="67DECE1E" w14:textId="77777777" w:rsidR="00D8686B" w:rsidRDefault="003E2944">
            <w:r>
              <w:rPr>
                <w:rFonts w:ascii="Consolas" w:eastAsia="Consolas" w:hAnsi="Consolas" w:cs="Consolas"/>
                <w:color w:val="1A1A1A"/>
                <w:sz w:val="18"/>
                <w:szCs w:val="18"/>
              </w:rPr>
              <w:t xml:space="preserve">      }</w:t>
            </w:r>
          </w:p>
          <w:p w14:paraId="67DECE1F" w14:textId="77777777" w:rsidR="00D8686B" w:rsidRDefault="003E2944">
            <w:r>
              <w:rPr>
                <w:rFonts w:ascii="Consolas" w:eastAsia="Consolas" w:hAnsi="Consolas" w:cs="Consolas"/>
                <w:color w:val="1A1A1A"/>
                <w:sz w:val="18"/>
                <w:szCs w:val="18"/>
              </w:rPr>
              <w:t xml:space="preserve">      return true;</w:t>
            </w:r>
          </w:p>
          <w:p w14:paraId="67DECE20" w14:textId="77777777" w:rsidR="00D8686B" w:rsidRDefault="003E2944">
            <w:r>
              <w:rPr>
                <w:rFonts w:ascii="Consolas" w:eastAsia="Consolas" w:hAnsi="Consolas" w:cs="Consolas"/>
                <w:color w:val="1A1A1A"/>
                <w:sz w:val="18"/>
                <w:szCs w:val="18"/>
              </w:rPr>
              <w:t xml:space="preserve">    });</w:t>
            </w:r>
          </w:p>
          <w:p w14:paraId="67DECE21" w14:textId="77777777" w:rsidR="00D8686B" w:rsidRDefault="003E2944">
            <w:r>
              <w:rPr>
                <w:rFonts w:ascii="Consolas" w:eastAsia="Consolas" w:hAnsi="Consolas" w:cs="Consolas"/>
                <w:color w:val="1A1A1A"/>
                <w:sz w:val="18"/>
                <w:szCs w:val="18"/>
              </w:rPr>
              <w:t xml:space="preserve">  }</w:t>
            </w:r>
          </w:p>
          <w:p w14:paraId="67DECE22" w14:textId="77777777" w:rsidR="00D8686B" w:rsidRDefault="00D8686B"/>
          <w:p w14:paraId="67DECE23" w14:textId="77777777" w:rsidR="00D8686B" w:rsidRDefault="003E2944">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 execute</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getScriptContext</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w:t>
            </w:r>
          </w:p>
          <w:p w14:paraId="67DECE24" w14:textId="77777777" w:rsidR="00D8686B" w:rsidRDefault="003E2944">
            <w:r>
              <w:rPr>
                <w:rFonts w:ascii="Consolas" w:eastAsia="Consolas" w:hAnsi="Consolas" w:cs="Consolas"/>
                <w:color w:val="1A1A1A"/>
                <w:sz w:val="18"/>
                <w:szCs w:val="18"/>
              </w:rPr>
              <w:t>});</w:t>
            </w:r>
          </w:p>
        </w:tc>
      </w:tr>
    </w:tbl>
    <w:p w14:paraId="67DECE26" w14:textId="77777777" w:rsidR="00D8686B" w:rsidRDefault="003E2944">
      <w:r>
        <w:br w:type="page"/>
      </w:r>
    </w:p>
    <w:p w14:paraId="67DECE27" w14:textId="77777777" w:rsidR="00D8686B" w:rsidRDefault="003E2944">
      <w:pPr>
        <w:pStyle w:val="Heading1"/>
        <w:spacing w:before="360" w:after="160"/>
      </w:pPr>
      <w:r>
        <w:rPr>
          <w:b/>
          <w:bCs/>
          <w:color w:val="1F3864"/>
        </w:rPr>
        <w:lastRenderedPageBreak/>
        <w:t>7. Architect’s Quick Reference — Multi-Currency &amp; Revaluation Decision Framework</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54"/>
        <w:gridCol w:w="6516"/>
      </w:tblGrid>
      <w:tr w:rsidR="00D8686B" w14:paraId="67DECE2A" w14:textId="77777777">
        <w:trPr>
          <w:tblHeader/>
        </w:trPr>
        <w:tc>
          <w:tcPr>
            <w:tcW w:w="3300" w:type="dxa"/>
            <w:shd w:val="clear" w:color="auto" w:fill="F2F2F2"/>
            <w:tcMar>
              <w:top w:w="100" w:type="dxa"/>
              <w:left w:w="120" w:type="dxa"/>
              <w:bottom w:w="100" w:type="dxa"/>
              <w:right w:w="120" w:type="dxa"/>
            </w:tcMar>
            <w:vAlign w:val="center"/>
          </w:tcPr>
          <w:p w14:paraId="67DECE28" w14:textId="77777777" w:rsidR="00D8686B" w:rsidRDefault="003E2944">
            <w:r>
              <w:rPr>
                <w:b/>
                <w:bCs/>
                <w:color w:val="1F3864"/>
                <w:sz w:val="20"/>
                <w:szCs w:val="20"/>
              </w:rPr>
              <w:t>Design Decision</w:t>
            </w:r>
          </w:p>
        </w:tc>
        <w:tc>
          <w:tcPr>
            <w:tcW w:w="6050" w:type="dxa"/>
            <w:shd w:val="clear" w:color="auto" w:fill="F2F2F2"/>
            <w:tcMar>
              <w:top w:w="100" w:type="dxa"/>
              <w:left w:w="120" w:type="dxa"/>
              <w:bottom w:w="100" w:type="dxa"/>
              <w:right w:w="120" w:type="dxa"/>
            </w:tcMar>
            <w:vAlign w:val="center"/>
          </w:tcPr>
          <w:p w14:paraId="67DECE29" w14:textId="77777777" w:rsidR="00D8686B" w:rsidRDefault="003E2944">
            <w:r>
              <w:rPr>
                <w:b/>
                <w:bCs/>
                <w:color w:val="1F3864"/>
                <w:sz w:val="20"/>
                <w:szCs w:val="20"/>
              </w:rPr>
              <w:t>Recommended Approach</w:t>
            </w:r>
          </w:p>
        </w:tc>
      </w:tr>
      <w:tr w:rsidR="00D8686B" w14:paraId="67DECE2D" w14:textId="77777777">
        <w:tc>
          <w:tcPr>
            <w:tcW w:w="3300" w:type="dxa"/>
            <w:tcMar>
              <w:top w:w="90" w:type="dxa"/>
              <w:left w:w="120" w:type="dxa"/>
              <w:bottom w:w="90" w:type="dxa"/>
              <w:right w:w="120" w:type="dxa"/>
            </w:tcMar>
            <w:vAlign w:val="center"/>
          </w:tcPr>
          <w:p w14:paraId="67DECE2B" w14:textId="77777777" w:rsidR="00D8686B" w:rsidRDefault="003E2944">
            <w:pPr>
              <w:spacing w:after="40" w:line="250" w:lineRule="auto"/>
            </w:pPr>
            <w:r>
              <w:rPr>
                <w:sz w:val="20"/>
                <w:szCs w:val="20"/>
              </w:rPr>
              <w:t>New subsidiary transacting in a different functional currency</w:t>
            </w:r>
          </w:p>
        </w:tc>
        <w:tc>
          <w:tcPr>
            <w:tcW w:w="6050" w:type="dxa"/>
            <w:tcMar>
              <w:top w:w="90" w:type="dxa"/>
              <w:left w:w="120" w:type="dxa"/>
              <w:bottom w:w="90" w:type="dxa"/>
              <w:right w:w="120" w:type="dxa"/>
            </w:tcMar>
            <w:vAlign w:val="center"/>
          </w:tcPr>
          <w:p w14:paraId="67DECE2C" w14:textId="77777777" w:rsidR="00D8686B" w:rsidRDefault="003E2944">
            <w:pPr>
              <w:spacing w:after="40" w:line="250" w:lineRule="auto"/>
            </w:pPr>
            <w:r>
              <w:rPr>
                <w:sz w:val="20"/>
                <w:szCs w:val="20"/>
              </w:rPr>
              <w:t>Confirm and set the base currency before any record with a currency amount is ever saved — it can’t be changed afterward without deleting those records.</w:t>
            </w:r>
          </w:p>
        </w:tc>
      </w:tr>
      <w:tr w:rsidR="00D8686B" w14:paraId="67DECE30" w14:textId="77777777">
        <w:tc>
          <w:tcPr>
            <w:tcW w:w="3300" w:type="dxa"/>
            <w:tcMar>
              <w:top w:w="90" w:type="dxa"/>
              <w:left w:w="120" w:type="dxa"/>
              <w:bottom w:w="90" w:type="dxa"/>
              <w:right w:w="120" w:type="dxa"/>
            </w:tcMar>
            <w:vAlign w:val="center"/>
          </w:tcPr>
          <w:p w14:paraId="67DECE2E" w14:textId="77777777" w:rsidR="00D8686B" w:rsidRDefault="003E2944">
            <w:pPr>
              <w:spacing w:after="40" w:line="250" w:lineRule="auto"/>
            </w:pPr>
            <w:r>
              <w:rPr>
                <w:sz w:val="20"/>
                <w:szCs w:val="20"/>
              </w:rPr>
              <w:t>OneWorld consolidated reporting across base currencies</w:t>
            </w:r>
          </w:p>
        </w:tc>
        <w:tc>
          <w:tcPr>
            <w:tcW w:w="6050" w:type="dxa"/>
            <w:tcMar>
              <w:top w:w="90" w:type="dxa"/>
              <w:left w:w="120" w:type="dxa"/>
              <w:bottom w:w="90" w:type="dxa"/>
              <w:right w:w="120" w:type="dxa"/>
            </w:tcMar>
            <w:vAlign w:val="center"/>
          </w:tcPr>
          <w:p w14:paraId="67DECE2F" w14:textId="77777777" w:rsidR="00D8686B" w:rsidRDefault="003E2944">
            <w:pPr>
              <w:spacing w:after="40" w:line="250" w:lineRule="auto"/>
            </w:pPr>
            <w:r>
              <w:rPr>
                <w:sz w:val="20"/>
                <w:szCs w:val="20"/>
              </w:rPr>
              <w:t>Keep the Consolidated Exchange Rates table (Current, Average, Historical) updated every period close — it is separate from, and not a substitute for, transaction-level Currency Exchange Rates.</w:t>
            </w:r>
          </w:p>
        </w:tc>
      </w:tr>
      <w:tr w:rsidR="00D8686B" w14:paraId="67DECE33" w14:textId="77777777">
        <w:tc>
          <w:tcPr>
            <w:tcW w:w="3300" w:type="dxa"/>
            <w:tcMar>
              <w:top w:w="90" w:type="dxa"/>
              <w:left w:w="120" w:type="dxa"/>
              <w:bottom w:w="90" w:type="dxa"/>
              <w:right w:w="120" w:type="dxa"/>
            </w:tcMar>
            <w:vAlign w:val="center"/>
          </w:tcPr>
          <w:p w14:paraId="67DECE31" w14:textId="77777777" w:rsidR="00D8686B" w:rsidRDefault="003E2944">
            <w:pPr>
              <w:spacing w:after="40" w:line="250" w:lineRule="auto"/>
            </w:pPr>
            <w:r>
              <w:rPr>
                <w:sz w:val="20"/>
                <w:szCs w:val="20"/>
              </w:rPr>
              <w:t>Month-end close checklist</w:t>
            </w:r>
          </w:p>
        </w:tc>
        <w:tc>
          <w:tcPr>
            <w:tcW w:w="6050" w:type="dxa"/>
            <w:tcMar>
              <w:top w:w="90" w:type="dxa"/>
              <w:left w:w="120" w:type="dxa"/>
              <w:bottom w:w="90" w:type="dxa"/>
              <w:right w:w="120" w:type="dxa"/>
            </w:tcMar>
            <w:vAlign w:val="center"/>
          </w:tcPr>
          <w:p w14:paraId="67DECE32" w14:textId="77777777" w:rsidR="00D8686B" w:rsidRDefault="003E2944">
            <w:pPr>
              <w:spacing w:after="40" w:line="250" w:lineRule="auto"/>
            </w:pPr>
            <w:r>
              <w:rPr>
                <w:sz w:val="20"/>
                <w:szCs w:val="20"/>
              </w:rPr>
              <w:t>Run Revalue Open Currency Balances before locking the period — it requires the Currency Revaluation permission and the Accounting Periods feature, and the variance posts to Unrealized Gain/Loss.</w:t>
            </w:r>
          </w:p>
        </w:tc>
      </w:tr>
      <w:tr w:rsidR="00D8686B" w14:paraId="67DECE36" w14:textId="77777777">
        <w:tc>
          <w:tcPr>
            <w:tcW w:w="3300" w:type="dxa"/>
            <w:tcMar>
              <w:top w:w="90" w:type="dxa"/>
              <w:left w:w="120" w:type="dxa"/>
              <w:bottom w:w="90" w:type="dxa"/>
              <w:right w:w="120" w:type="dxa"/>
            </w:tcMar>
            <w:vAlign w:val="center"/>
          </w:tcPr>
          <w:p w14:paraId="67DECE34" w14:textId="77777777" w:rsidR="00D8686B" w:rsidRDefault="003E2944">
            <w:pPr>
              <w:spacing w:after="40" w:line="250" w:lineRule="auto"/>
            </w:pPr>
            <w:r>
              <w:rPr>
                <w:sz w:val="20"/>
                <w:szCs w:val="20"/>
              </w:rPr>
              <w:t>Deciding which balance sheet accounts to revalue</w:t>
            </w:r>
          </w:p>
        </w:tc>
        <w:tc>
          <w:tcPr>
            <w:tcW w:w="6050" w:type="dxa"/>
            <w:tcMar>
              <w:top w:w="90" w:type="dxa"/>
              <w:left w:w="120" w:type="dxa"/>
              <w:bottom w:w="90" w:type="dxa"/>
              <w:right w:w="120" w:type="dxa"/>
            </w:tcMar>
            <w:vAlign w:val="center"/>
          </w:tcPr>
          <w:p w14:paraId="67DECE35" w14:textId="77777777" w:rsidR="00D8686B" w:rsidRDefault="003E2944">
            <w:pPr>
              <w:spacing w:after="40" w:line="250" w:lineRule="auto"/>
            </w:pPr>
            <w:r>
              <w:rPr>
                <w:sz w:val="20"/>
                <w:szCs w:val="20"/>
              </w:rPr>
              <w:t>Check Revalue Open Balance for Foreign Currency Transactions per account rather than assuming — defaults vary by account type, and equity/income statement accounts can’t be revalued at all.</w:t>
            </w:r>
          </w:p>
        </w:tc>
      </w:tr>
      <w:tr w:rsidR="00D8686B" w14:paraId="67DECE39" w14:textId="77777777">
        <w:tc>
          <w:tcPr>
            <w:tcW w:w="3300" w:type="dxa"/>
            <w:tcMar>
              <w:top w:w="90" w:type="dxa"/>
              <w:left w:w="120" w:type="dxa"/>
              <w:bottom w:w="90" w:type="dxa"/>
              <w:right w:w="120" w:type="dxa"/>
            </w:tcMar>
            <w:vAlign w:val="center"/>
          </w:tcPr>
          <w:p w14:paraId="67DECE37" w14:textId="77777777" w:rsidR="00D8686B" w:rsidRDefault="003E2944">
            <w:pPr>
              <w:spacing w:after="40" w:line="250" w:lineRule="auto"/>
            </w:pPr>
            <w:r>
              <w:rPr>
                <w:sz w:val="20"/>
                <w:szCs w:val="20"/>
              </w:rPr>
              <w:t>Grouping revaluation by class/department/location</w:t>
            </w:r>
          </w:p>
        </w:tc>
        <w:tc>
          <w:tcPr>
            <w:tcW w:w="6050" w:type="dxa"/>
            <w:tcMar>
              <w:top w:w="90" w:type="dxa"/>
              <w:left w:w="120" w:type="dxa"/>
              <w:bottom w:w="90" w:type="dxa"/>
              <w:right w:w="120" w:type="dxa"/>
            </w:tcMar>
            <w:vAlign w:val="center"/>
          </w:tcPr>
          <w:p w14:paraId="67DECE38" w14:textId="77777777" w:rsidR="00D8686B" w:rsidRDefault="003E2944">
            <w:pPr>
              <w:spacing w:after="40" w:line="250" w:lineRule="auto"/>
            </w:pPr>
            <w:r>
              <w:rPr>
                <w:sz w:val="20"/>
                <w:szCs w:val="20"/>
              </w:rPr>
              <w:t>Use Match Source Classification only when every source transaction already has the required classification populated — otherwise the revaluation run errors out.</w:t>
            </w:r>
          </w:p>
        </w:tc>
      </w:tr>
      <w:tr w:rsidR="00D8686B" w14:paraId="67DECE3C" w14:textId="77777777">
        <w:tc>
          <w:tcPr>
            <w:tcW w:w="3300" w:type="dxa"/>
            <w:tcMar>
              <w:top w:w="90" w:type="dxa"/>
              <w:left w:w="120" w:type="dxa"/>
              <w:bottom w:w="90" w:type="dxa"/>
              <w:right w:w="120" w:type="dxa"/>
            </w:tcMar>
            <w:vAlign w:val="center"/>
          </w:tcPr>
          <w:p w14:paraId="67DECE3A" w14:textId="77777777" w:rsidR="00D8686B" w:rsidRDefault="003E2944">
            <w:pPr>
              <w:spacing w:after="40" w:line="250" w:lineRule="auto"/>
            </w:pPr>
            <w:r>
              <w:rPr>
                <w:sz w:val="20"/>
                <w:szCs w:val="20"/>
              </w:rPr>
              <w:t>Reading FX rates from SuiteScript</w:t>
            </w:r>
          </w:p>
        </w:tc>
        <w:tc>
          <w:tcPr>
            <w:tcW w:w="6050" w:type="dxa"/>
            <w:tcMar>
              <w:top w:w="90" w:type="dxa"/>
              <w:left w:w="120" w:type="dxa"/>
              <w:bottom w:w="90" w:type="dxa"/>
              <w:right w:w="120" w:type="dxa"/>
            </w:tcMar>
            <w:vAlign w:val="center"/>
          </w:tcPr>
          <w:p w14:paraId="67DECE3B" w14:textId="77777777" w:rsidR="00D8686B" w:rsidRDefault="003E2944">
            <w:pPr>
              <w:spacing w:after="40" w:line="250" w:lineRule="auto"/>
            </w:pPr>
            <w:r>
              <w:rPr>
                <w:sz w:val="20"/>
                <w:szCs w:val="20"/>
              </w:rPr>
              <w:t xml:space="preserve">Use </w:t>
            </w:r>
            <w:proofErr w:type="spellStart"/>
            <w:proofErr w:type="gramStart"/>
            <w:r>
              <w:rPr>
                <w:sz w:val="20"/>
                <w:szCs w:val="20"/>
              </w:rPr>
              <w:t>currency.exchangeRate</w:t>
            </w:r>
            <w:proofErr w:type="spellEnd"/>
            <w:proofErr w:type="gramEnd"/>
            <w:r>
              <w:rPr>
                <w:sz w:val="20"/>
                <w:szCs w:val="20"/>
              </w:rPr>
              <w:t>() in the N/currency module rather than approximating — remember the target must be a base currency or the returned rate is inaccurate.</w:t>
            </w:r>
          </w:p>
        </w:tc>
      </w:tr>
      <w:tr w:rsidR="00D8686B" w14:paraId="67DECE3F" w14:textId="77777777">
        <w:tc>
          <w:tcPr>
            <w:tcW w:w="3300" w:type="dxa"/>
            <w:tcMar>
              <w:top w:w="90" w:type="dxa"/>
              <w:left w:w="120" w:type="dxa"/>
              <w:bottom w:w="90" w:type="dxa"/>
              <w:right w:w="120" w:type="dxa"/>
            </w:tcMar>
            <w:vAlign w:val="center"/>
          </w:tcPr>
          <w:p w14:paraId="67DECE3D" w14:textId="77777777" w:rsidR="00D8686B" w:rsidRDefault="003E2944">
            <w:pPr>
              <w:spacing w:after="40" w:line="250" w:lineRule="auto"/>
            </w:pPr>
            <w:r>
              <w:rPr>
                <w:sz w:val="20"/>
                <w:szCs w:val="20"/>
              </w:rPr>
              <w:t>Automating fields on Currency Revaluation transactions</w:t>
            </w:r>
          </w:p>
        </w:tc>
        <w:tc>
          <w:tcPr>
            <w:tcW w:w="6050" w:type="dxa"/>
            <w:tcMar>
              <w:top w:w="90" w:type="dxa"/>
              <w:left w:w="120" w:type="dxa"/>
              <w:bottom w:w="90" w:type="dxa"/>
              <w:right w:w="120" w:type="dxa"/>
            </w:tcMar>
            <w:vAlign w:val="center"/>
          </w:tcPr>
          <w:p w14:paraId="67DECE3E" w14:textId="77777777" w:rsidR="00D8686B" w:rsidRDefault="003E2944">
            <w:pPr>
              <w:spacing w:after="40" w:line="250" w:lineRule="auto"/>
            </w:pPr>
            <w:r>
              <w:rPr>
                <w:sz w:val="20"/>
                <w:szCs w:val="20"/>
              </w:rPr>
              <w:t xml:space="preserve">Use a saved search plus a Scheduled Script with </w:t>
            </w:r>
            <w:proofErr w:type="spellStart"/>
            <w:proofErr w:type="gramStart"/>
            <w:r>
              <w:rPr>
                <w:sz w:val="20"/>
                <w:szCs w:val="20"/>
              </w:rPr>
              <w:t>record.submitFields</w:t>
            </w:r>
            <w:proofErr w:type="spellEnd"/>
            <w:proofErr w:type="gramEnd"/>
            <w:r>
              <w:rPr>
                <w:sz w:val="20"/>
                <w:szCs w:val="20"/>
              </w:rPr>
              <w:t>() — User Event scripts and workflows are not supported on creation of this record.</w:t>
            </w:r>
          </w:p>
        </w:tc>
      </w:tr>
      <w:tr w:rsidR="00D8686B" w14:paraId="67DECE42" w14:textId="77777777">
        <w:tc>
          <w:tcPr>
            <w:tcW w:w="3300" w:type="dxa"/>
            <w:tcMar>
              <w:top w:w="90" w:type="dxa"/>
              <w:left w:w="120" w:type="dxa"/>
              <w:bottom w:w="90" w:type="dxa"/>
              <w:right w:w="120" w:type="dxa"/>
            </w:tcMar>
            <w:vAlign w:val="center"/>
          </w:tcPr>
          <w:p w14:paraId="67DECE40" w14:textId="77777777" w:rsidR="00D8686B" w:rsidRDefault="003E2944">
            <w:pPr>
              <w:spacing w:after="40" w:line="250" w:lineRule="auto"/>
            </w:pPr>
            <w:r>
              <w:rPr>
                <w:sz w:val="20"/>
                <w:szCs w:val="20"/>
              </w:rPr>
              <w:t>Explaining a gain/loss to finance</w:t>
            </w:r>
          </w:p>
        </w:tc>
        <w:tc>
          <w:tcPr>
            <w:tcW w:w="6050" w:type="dxa"/>
            <w:tcMar>
              <w:top w:w="90" w:type="dxa"/>
              <w:left w:w="120" w:type="dxa"/>
              <w:bottom w:w="90" w:type="dxa"/>
              <w:right w:w="120" w:type="dxa"/>
            </w:tcMar>
            <w:vAlign w:val="center"/>
          </w:tcPr>
          <w:p w14:paraId="67DECE41" w14:textId="77777777" w:rsidR="00D8686B" w:rsidRDefault="003E2944">
            <w:pPr>
              <w:spacing w:after="40" w:line="250" w:lineRule="auto"/>
            </w:pPr>
            <w:r>
              <w:rPr>
                <w:sz w:val="20"/>
                <w:szCs w:val="20"/>
              </w:rPr>
              <w:t>Point to the Realized vs. Unrealized Exchange Rate Gains and Losses reports, or the account register, rather than recalculating manually — Realized covers closed/paid transactions, Unrealized covers open balances at period end.</w:t>
            </w:r>
          </w:p>
        </w:tc>
      </w:tr>
    </w:tbl>
    <w:p w14:paraId="67DECE43" w14:textId="77777777" w:rsidR="00D8686B" w:rsidRDefault="00D8686B">
      <w:pPr>
        <w:spacing w:after="200"/>
      </w:pPr>
    </w:p>
    <w:p w14:paraId="6515BEAB" w14:textId="77777777" w:rsidR="0007637F" w:rsidRDefault="0007637F">
      <w:pPr>
        <w:spacing w:after="200"/>
      </w:pPr>
    </w:p>
    <w:p w14:paraId="5B9690BF" w14:textId="77777777" w:rsidR="0007637F" w:rsidRDefault="0007637F">
      <w:pPr>
        <w:spacing w:after="200"/>
      </w:pPr>
    </w:p>
    <w:p w14:paraId="22250D6F" w14:textId="77777777" w:rsidR="0007637F" w:rsidRDefault="0007637F">
      <w:pPr>
        <w:spacing w:after="200"/>
      </w:pPr>
    </w:p>
    <w:p w14:paraId="303DB0D0" w14:textId="77777777" w:rsidR="0007637F" w:rsidRDefault="0007637F">
      <w:pPr>
        <w:spacing w:after="200"/>
      </w:pPr>
    </w:p>
    <w:p w14:paraId="3C546ED2" w14:textId="77777777" w:rsidR="0007637F" w:rsidRDefault="0007637F">
      <w:pPr>
        <w:spacing w:after="200"/>
      </w:pPr>
    </w:p>
    <w:p w14:paraId="52AFD8FB" w14:textId="77777777" w:rsidR="0007637F" w:rsidRDefault="0007637F">
      <w:pPr>
        <w:spacing w:after="200"/>
      </w:pPr>
    </w:p>
    <w:p w14:paraId="60E3275C" w14:textId="77777777" w:rsidR="0007637F" w:rsidRDefault="0007637F">
      <w:pPr>
        <w:spacing w:after="200"/>
      </w:pPr>
    </w:p>
    <w:p w14:paraId="479C0C31" w14:textId="77777777" w:rsidR="0007637F" w:rsidRDefault="0007637F">
      <w:pPr>
        <w:spacing w:after="200"/>
      </w:pPr>
    </w:p>
    <w:tbl>
      <w:tblPr>
        <w:tblW w:w="5000" w:type="pct"/>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CellMar>
          <w:left w:w="10" w:type="dxa"/>
          <w:right w:w="10" w:type="dxa"/>
        </w:tblCellMar>
        <w:tblLook w:val="04A0" w:firstRow="1" w:lastRow="0" w:firstColumn="1" w:lastColumn="0" w:noHBand="0" w:noVBand="1"/>
      </w:tblPr>
      <w:tblGrid>
        <w:gridCol w:w="10060"/>
      </w:tblGrid>
      <w:tr w:rsidR="00D8686B" w14:paraId="67DECE4D" w14:textId="77777777">
        <w:tc>
          <w:tcPr>
            <w:tcW w:w="0" w:type="auto"/>
            <w:shd w:val="clear" w:color="auto" w:fill="EAF1FB"/>
            <w:tcMar>
              <w:top w:w="160" w:type="dxa"/>
              <w:left w:w="200" w:type="dxa"/>
              <w:bottom w:w="160" w:type="dxa"/>
              <w:right w:w="200" w:type="dxa"/>
            </w:tcMar>
          </w:tcPr>
          <w:p w14:paraId="67DECE44" w14:textId="77777777" w:rsidR="00D8686B" w:rsidRPr="001F3FC8" w:rsidRDefault="003E2944">
            <w:pPr>
              <w:spacing w:after="120"/>
              <w:rPr>
                <w:sz w:val="28"/>
                <w:szCs w:val="28"/>
              </w:rPr>
            </w:pPr>
            <w:r w:rsidRPr="001F3FC8">
              <w:rPr>
                <w:b/>
                <w:bCs/>
                <w:color w:val="1F3864"/>
                <w:sz w:val="28"/>
                <w:szCs w:val="28"/>
              </w:rPr>
              <w:lastRenderedPageBreak/>
              <w:t>📌 Week 23 Learning Summary — Multi-Currency &amp; Revaluation</w:t>
            </w:r>
          </w:p>
          <w:p w14:paraId="67DECE45" w14:textId="77777777" w:rsidR="00D8686B" w:rsidRDefault="003E2944">
            <w:pPr>
              <w:pStyle w:val="ListParagraph"/>
              <w:numPr>
                <w:ilvl w:val="0"/>
                <w:numId w:val="1"/>
              </w:numPr>
              <w:spacing w:after="80" w:line="264" w:lineRule="auto"/>
            </w:pPr>
            <w:r>
              <w:rPr>
                <w:sz w:val="21"/>
                <w:szCs w:val="21"/>
              </w:rPr>
              <w:t>Multi-Currency lets transactions be entered in a customer’s or vendor’s own currency while always posting to the general ledger in base currency — each OneWorld subsidiary can have its own base currency.</w:t>
            </w:r>
          </w:p>
          <w:p w14:paraId="67DECE46" w14:textId="77777777" w:rsidR="00D8686B" w:rsidRDefault="003E2944">
            <w:pPr>
              <w:pStyle w:val="ListParagraph"/>
              <w:numPr>
                <w:ilvl w:val="0"/>
                <w:numId w:val="1"/>
              </w:numPr>
              <w:spacing w:after="80" w:line="264" w:lineRule="auto"/>
            </w:pPr>
            <w:r>
              <w:rPr>
                <w:sz w:val="21"/>
                <w:szCs w:val="21"/>
              </w:rPr>
              <w:t>Foreign currency revaluation splits into two mechanisms: automatic Realized Gain/Loss when a payment is applied to a closed transaction, and a manually run Unrealized Gain/Loss revaluation of open balances at period end.</w:t>
            </w:r>
          </w:p>
          <w:p w14:paraId="67DECE47" w14:textId="77777777" w:rsidR="00D8686B" w:rsidRDefault="003E2944">
            <w:pPr>
              <w:pStyle w:val="ListParagraph"/>
              <w:numPr>
                <w:ilvl w:val="0"/>
                <w:numId w:val="1"/>
              </w:numPr>
              <w:spacing w:after="80" w:line="264" w:lineRule="auto"/>
            </w:pPr>
            <w:r>
              <w:rPr>
                <w:sz w:val="21"/>
                <w:szCs w:val="21"/>
              </w:rPr>
              <w:t>Currency Exchange Rates (transaction-level) and Consolidated Exchange Rates (subsidiary-to-parent, for consolidated reporting) are separate tables serving separate purposes, both needing regular upkeep before period close.</w:t>
            </w:r>
          </w:p>
          <w:p w14:paraId="67DECE48" w14:textId="77777777" w:rsidR="00D8686B" w:rsidRDefault="003E2944">
            <w:pPr>
              <w:pStyle w:val="ListParagraph"/>
              <w:numPr>
                <w:ilvl w:val="0"/>
                <w:numId w:val="1"/>
              </w:numPr>
              <w:spacing w:after="80" w:line="264" w:lineRule="auto"/>
            </w:pPr>
            <w:r>
              <w:rPr>
                <w:sz w:val="21"/>
                <w:szCs w:val="21"/>
              </w:rPr>
              <w:t>Only non-equity balance sheet accounts can be revalued, controlled per account by the Revalue Open Balance for Foreign Currency Transactions setting; equity and income statement accounts are excluded entirely.</w:t>
            </w:r>
          </w:p>
          <w:p w14:paraId="67DECE49" w14:textId="77777777" w:rsidR="00D8686B" w:rsidRDefault="003E2944">
            <w:pPr>
              <w:pStyle w:val="ListParagraph"/>
              <w:numPr>
                <w:ilvl w:val="0"/>
                <w:numId w:val="1"/>
              </w:numPr>
              <w:spacing w:after="80" w:line="264" w:lineRule="auto"/>
            </w:pPr>
            <w:r>
              <w:rPr>
                <w:sz w:val="21"/>
                <w:szCs w:val="21"/>
              </w:rPr>
              <w:t>NetSuite generates five distinct currency revaluation transaction types — Unrealized Gain/Loss, Reversal of Unrealized Gain/Loss, Realized Gain/Loss, Rounding Gain/Loss, and Base Currency Adjustment — each with its own editing and deletion rules.</w:t>
            </w:r>
          </w:p>
          <w:p w14:paraId="67DECE4A" w14:textId="77777777" w:rsidR="00D8686B" w:rsidRDefault="003E2944">
            <w:pPr>
              <w:pStyle w:val="ListParagraph"/>
              <w:numPr>
                <w:ilvl w:val="0"/>
                <w:numId w:val="1"/>
              </w:numPr>
              <w:spacing w:after="80" w:line="264" w:lineRule="auto"/>
            </w:pPr>
            <w:r>
              <w:rPr>
                <w:sz w:val="21"/>
                <w:szCs w:val="21"/>
              </w:rPr>
              <w:t xml:space="preserve">SuiteScript reads exchange rates through the N/currency module’s </w:t>
            </w:r>
            <w:proofErr w:type="spellStart"/>
            <w:proofErr w:type="gramStart"/>
            <w:r>
              <w:rPr>
                <w:sz w:val="21"/>
                <w:szCs w:val="21"/>
              </w:rPr>
              <w:t>exchangeRate</w:t>
            </w:r>
            <w:proofErr w:type="spellEnd"/>
            <w:r>
              <w:rPr>
                <w:sz w:val="21"/>
                <w:szCs w:val="21"/>
              </w:rPr>
              <w:t>(</w:t>
            </w:r>
            <w:proofErr w:type="gramEnd"/>
            <w:r>
              <w:rPr>
                <w:sz w:val="21"/>
                <w:szCs w:val="21"/>
              </w:rPr>
              <w:t xml:space="preserve">) method, and works with currency, </w:t>
            </w:r>
            <w:proofErr w:type="spellStart"/>
            <w:r>
              <w:rPr>
                <w:sz w:val="21"/>
                <w:szCs w:val="21"/>
              </w:rPr>
              <w:t>currencyrate</w:t>
            </w:r>
            <w:proofErr w:type="spellEnd"/>
            <w:r>
              <w:rPr>
                <w:sz w:val="21"/>
                <w:szCs w:val="21"/>
              </w:rPr>
              <w:t xml:space="preserve">, </w:t>
            </w:r>
            <w:proofErr w:type="spellStart"/>
            <w:r>
              <w:rPr>
                <w:sz w:val="21"/>
                <w:szCs w:val="21"/>
              </w:rPr>
              <w:t>consolidatedexchangerate</w:t>
            </w:r>
            <w:proofErr w:type="spellEnd"/>
            <w:r>
              <w:rPr>
                <w:sz w:val="21"/>
                <w:szCs w:val="21"/>
              </w:rPr>
              <w:t xml:space="preserve">, and </w:t>
            </w:r>
            <w:proofErr w:type="spellStart"/>
            <w:r>
              <w:rPr>
                <w:sz w:val="21"/>
                <w:szCs w:val="21"/>
              </w:rPr>
              <w:t>budgetexchangerate</w:t>
            </w:r>
            <w:proofErr w:type="spellEnd"/>
            <w:r>
              <w:rPr>
                <w:sz w:val="21"/>
                <w:szCs w:val="21"/>
              </w:rPr>
              <w:t xml:space="preserve"> records — each with different </w:t>
            </w:r>
            <w:proofErr w:type="spellStart"/>
            <w:r>
              <w:rPr>
                <w:sz w:val="21"/>
                <w:szCs w:val="21"/>
              </w:rPr>
              <w:t>scriptability</w:t>
            </w:r>
            <w:proofErr w:type="spellEnd"/>
            <w:r>
              <w:rPr>
                <w:sz w:val="21"/>
                <w:szCs w:val="21"/>
              </w:rPr>
              <w:t xml:space="preserve"> depending on whether Multiple Currencies is enabled.</w:t>
            </w:r>
          </w:p>
          <w:p w14:paraId="67DECE4B" w14:textId="77777777" w:rsidR="00D8686B" w:rsidRDefault="003E2944">
            <w:pPr>
              <w:pStyle w:val="ListParagraph"/>
              <w:numPr>
                <w:ilvl w:val="0"/>
                <w:numId w:val="1"/>
              </w:numPr>
              <w:spacing w:after="80" w:line="264" w:lineRule="auto"/>
            </w:pPr>
            <w:r>
              <w:rPr>
                <w:sz w:val="21"/>
                <w:szCs w:val="21"/>
              </w:rPr>
              <w:t xml:space="preserve">Currency Revaluation transactions don’t support User Event scripts or workflows on create — backfilling fields like classification requires a saved search paired with a Scheduled Script using </w:t>
            </w:r>
            <w:proofErr w:type="spellStart"/>
            <w:proofErr w:type="gramStart"/>
            <w:r>
              <w:rPr>
                <w:sz w:val="21"/>
                <w:szCs w:val="21"/>
              </w:rPr>
              <w:t>record.submitFields</w:t>
            </w:r>
            <w:proofErr w:type="spellEnd"/>
            <w:proofErr w:type="gramEnd"/>
            <w:r>
              <w:rPr>
                <w:sz w:val="21"/>
                <w:szCs w:val="21"/>
              </w:rPr>
              <w:t>().</w:t>
            </w:r>
          </w:p>
          <w:p w14:paraId="67DECE4C" w14:textId="77777777" w:rsidR="00D8686B" w:rsidRDefault="003E2944">
            <w:pPr>
              <w:pStyle w:val="ListParagraph"/>
              <w:numPr>
                <w:ilvl w:val="0"/>
                <w:numId w:val="1"/>
              </w:numPr>
              <w:spacing w:after="80" w:line="264" w:lineRule="auto"/>
            </w:pPr>
            <w:r>
              <w:rPr>
                <w:sz w:val="21"/>
                <w:szCs w:val="21"/>
              </w:rPr>
              <w:t>This document intentionally keeps to the publicly documented Oracle NetSuite multi-currency and revaluation architecture and does not reference any organization-specific configuration.</w:t>
            </w:r>
          </w:p>
        </w:tc>
      </w:tr>
    </w:tbl>
    <w:p w14:paraId="67DECE4E" w14:textId="77777777" w:rsidR="003E2944" w:rsidRDefault="003E2944"/>
    <w:sectPr w:rsidR="003E2944" w:rsidSect="00FD3859">
      <w:headerReference w:type="even" r:id="rId8"/>
      <w:headerReference w:type="default" r:id="rId9"/>
      <w:footerReference w:type="default" r:id="rId10"/>
      <w:headerReference w:type="first" r:id="rId11"/>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647DE" w14:textId="77777777" w:rsidR="006C7BB1" w:rsidRDefault="006C7BB1">
      <w:r>
        <w:separator/>
      </w:r>
    </w:p>
  </w:endnote>
  <w:endnote w:type="continuationSeparator" w:id="0">
    <w:p w14:paraId="7EB00BCC" w14:textId="77777777" w:rsidR="006C7BB1" w:rsidRDefault="006C7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F365" w14:textId="77777777" w:rsidR="000C6A00" w:rsidRDefault="000C6A0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7DECE51" w14:textId="25D61B24" w:rsidR="00D8686B" w:rsidRDefault="00D868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BEA02" w14:textId="77777777" w:rsidR="006C7BB1" w:rsidRDefault="006C7BB1">
      <w:r>
        <w:separator/>
      </w:r>
    </w:p>
  </w:footnote>
  <w:footnote w:type="continuationSeparator" w:id="0">
    <w:p w14:paraId="59C1C15A" w14:textId="77777777" w:rsidR="006C7BB1" w:rsidRDefault="006C7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F4B8" w14:textId="415EBD53" w:rsidR="00FD3859" w:rsidRDefault="006C7BB1">
    <w:pPr>
      <w:pStyle w:val="Header"/>
    </w:pPr>
    <w:r>
      <w:rPr>
        <w:noProof/>
      </w:rPr>
      <w:pict w14:anchorId="4F350D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5547" o:spid="_x0000_s1026" type="#_x0000_t136" style="position:absolute;margin-left:0;margin-top:0;width:522.6pt;height:175.8pt;rotation:315;z-index:-251655168;mso-position-horizontal:center;mso-position-horizontal-relative:margin;mso-position-vertical:center;mso-position-vertical-relative:margin" o:allowincell="f" fillcolor="silver" stroked="f">
          <v:fill opacity=".5"/>
          <v:textpath style="font-family:&quot;Calibri&quot;;font-size:2in" string="WEEK 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CE50" w14:textId="1D811A92" w:rsidR="00D8686B" w:rsidRDefault="00AB58A1">
    <w:r>
      <w:rPr>
        <w:noProof/>
      </w:rPr>
      <w:drawing>
        <wp:inline distT="0" distB="0" distL="0" distR="0" wp14:anchorId="3A8468BF" wp14:editId="04B3420E">
          <wp:extent cx="1342857" cy="247619"/>
          <wp:effectExtent l="0" t="0" r="0" b="635"/>
          <wp:docPr id="199071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15947" name=""/>
                  <pic:cNvPicPr/>
                </pic:nvPicPr>
                <pic:blipFill>
                  <a:blip r:embed="rId1"/>
                  <a:stretch>
                    <a:fillRect/>
                  </a:stretch>
                </pic:blipFill>
                <pic:spPr>
                  <a:xfrm>
                    <a:off x="0" y="0"/>
                    <a:ext cx="1342857" cy="247619"/>
                  </a:xfrm>
                  <a:prstGeom prst="rect">
                    <a:avLst/>
                  </a:prstGeom>
                </pic:spPr>
              </pic:pic>
            </a:graphicData>
          </a:graphic>
        </wp:inline>
      </w:drawing>
    </w:r>
    <w:r>
      <w:rPr>
        <w:noProof/>
      </w:rPr>
      <w:t xml:space="preserve">                                                                                                      </w:t>
    </w:r>
    <w:r>
      <w:rPr>
        <w:noProof/>
      </w:rPr>
      <w:drawing>
        <wp:inline distT="0" distB="0" distL="0" distR="0" wp14:anchorId="16F9FC29" wp14:editId="0F4B6D11">
          <wp:extent cx="1723810" cy="285714"/>
          <wp:effectExtent l="0" t="0" r="0" b="635"/>
          <wp:docPr id="11435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0999" name=""/>
                  <pic:cNvPicPr/>
                </pic:nvPicPr>
                <pic:blipFill>
                  <a:blip r:embed="rId2"/>
                  <a:stretch>
                    <a:fillRect/>
                  </a:stretch>
                </pic:blipFill>
                <pic:spPr>
                  <a:xfrm>
                    <a:off x="0" y="0"/>
                    <a:ext cx="1723810" cy="285714"/>
                  </a:xfrm>
                  <a:prstGeom prst="rect">
                    <a:avLst/>
                  </a:prstGeom>
                </pic:spPr>
              </pic:pic>
            </a:graphicData>
          </a:graphic>
        </wp:inline>
      </w:drawing>
    </w:r>
    <w:r w:rsidR="006C7BB1">
      <w:rPr>
        <w:noProof/>
      </w:rPr>
      <w:pict w14:anchorId="0AD1A4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5548" o:spid="_x0000_s1027" type="#_x0000_t136" style="position:absolute;margin-left:0;margin-top:0;width:522.6pt;height:175.8pt;rotation:315;z-index:-251653120;mso-position-horizontal:center;mso-position-horizontal-relative:margin;mso-position-vertical:center;mso-position-vertical-relative:margin" o:allowincell="f" fillcolor="silver" stroked="f">
          <v:fill opacity=".5"/>
          <v:textpath style="font-family:&quot;Calibri&quot;;font-size:2in" string="WEEK 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E441" w14:textId="6B80220F" w:rsidR="00FD3859" w:rsidRDefault="006C7BB1">
    <w:pPr>
      <w:pStyle w:val="Header"/>
    </w:pPr>
    <w:r>
      <w:rPr>
        <w:noProof/>
      </w:rPr>
      <w:pict w14:anchorId="696890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5546" o:spid="_x0000_s1025" type="#_x0000_t136" style="position:absolute;margin-left:0;margin-top:0;width:522.6pt;height:175.8pt;rotation:315;z-index:-251657216;mso-position-horizontal:center;mso-position-horizontal-relative:margin;mso-position-vertical:center;mso-position-vertical-relative:margin" o:allowincell="f" fillcolor="silver" stroked="f">
          <v:fill opacity=".5"/>
          <v:textpath style="font-family:&quot;Calibri&quot;;font-size:2in" string="WEEK 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70A1"/>
    <w:multiLevelType w:val="hybridMultilevel"/>
    <w:tmpl w:val="4ED84472"/>
    <w:lvl w:ilvl="0" w:tplc="35DCBED2">
      <w:start w:val="1"/>
      <w:numFmt w:val="bullet"/>
      <w:lvlText w:val="•"/>
      <w:lvlJc w:val="left"/>
      <w:pPr>
        <w:ind w:left="360" w:hanging="260"/>
      </w:pPr>
    </w:lvl>
    <w:lvl w:ilvl="1" w:tplc="FAE862C4">
      <w:start w:val="1"/>
      <w:numFmt w:val="bullet"/>
      <w:lvlText w:val="–"/>
      <w:lvlJc w:val="left"/>
      <w:pPr>
        <w:ind w:left="720" w:hanging="260"/>
      </w:pPr>
    </w:lvl>
    <w:lvl w:ilvl="2" w:tplc="90D236D2">
      <w:numFmt w:val="decimal"/>
      <w:lvlText w:val=""/>
      <w:lvlJc w:val="left"/>
    </w:lvl>
    <w:lvl w:ilvl="3" w:tplc="96CA558A">
      <w:numFmt w:val="decimal"/>
      <w:lvlText w:val=""/>
      <w:lvlJc w:val="left"/>
    </w:lvl>
    <w:lvl w:ilvl="4" w:tplc="1C96E5CC">
      <w:numFmt w:val="decimal"/>
      <w:lvlText w:val=""/>
      <w:lvlJc w:val="left"/>
    </w:lvl>
    <w:lvl w:ilvl="5" w:tplc="49EC74DE">
      <w:numFmt w:val="decimal"/>
      <w:lvlText w:val=""/>
      <w:lvlJc w:val="left"/>
    </w:lvl>
    <w:lvl w:ilvl="6" w:tplc="EE2838B0">
      <w:numFmt w:val="decimal"/>
      <w:lvlText w:val=""/>
      <w:lvlJc w:val="left"/>
    </w:lvl>
    <w:lvl w:ilvl="7" w:tplc="033433EE">
      <w:numFmt w:val="decimal"/>
      <w:lvlText w:val=""/>
      <w:lvlJc w:val="left"/>
    </w:lvl>
    <w:lvl w:ilvl="8" w:tplc="A21809A0">
      <w:numFmt w:val="decimal"/>
      <w:lvlText w:val=""/>
      <w:lvlJc w:val="left"/>
    </w:lvl>
  </w:abstractNum>
  <w:abstractNum w:abstractNumId="1" w15:restartNumberingAfterBreak="0">
    <w:nsid w:val="696F1397"/>
    <w:multiLevelType w:val="hybridMultilevel"/>
    <w:tmpl w:val="5A54C85C"/>
    <w:lvl w:ilvl="0" w:tplc="06AC3836">
      <w:start w:val="1"/>
      <w:numFmt w:val="bullet"/>
      <w:lvlText w:val="●"/>
      <w:lvlJc w:val="left"/>
      <w:pPr>
        <w:ind w:left="720" w:hanging="360"/>
      </w:pPr>
    </w:lvl>
    <w:lvl w:ilvl="1" w:tplc="EB7A2CA6">
      <w:start w:val="1"/>
      <w:numFmt w:val="bullet"/>
      <w:lvlText w:val="○"/>
      <w:lvlJc w:val="left"/>
      <w:pPr>
        <w:ind w:left="1440" w:hanging="360"/>
      </w:pPr>
    </w:lvl>
    <w:lvl w:ilvl="2" w:tplc="45AEA83E">
      <w:start w:val="1"/>
      <w:numFmt w:val="bullet"/>
      <w:lvlText w:val="■"/>
      <w:lvlJc w:val="left"/>
      <w:pPr>
        <w:ind w:left="2160" w:hanging="360"/>
      </w:pPr>
    </w:lvl>
    <w:lvl w:ilvl="3" w:tplc="E10894EA">
      <w:start w:val="1"/>
      <w:numFmt w:val="bullet"/>
      <w:lvlText w:val="●"/>
      <w:lvlJc w:val="left"/>
      <w:pPr>
        <w:ind w:left="2880" w:hanging="360"/>
      </w:pPr>
    </w:lvl>
    <w:lvl w:ilvl="4" w:tplc="7E8E9CC6">
      <w:start w:val="1"/>
      <w:numFmt w:val="bullet"/>
      <w:lvlText w:val="○"/>
      <w:lvlJc w:val="left"/>
      <w:pPr>
        <w:ind w:left="3600" w:hanging="360"/>
      </w:pPr>
    </w:lvl>
    <w:lvl w:ilvl="5" w:tplc="E092DF32">
      <w:start w:val="1"/>
      <w:numFmt w:val="bullet"/>
      <w:lvlText w:val="■"/>
      <w:lvlJc w:val="left"/>
      <w:pPr>
        <w:ind w:left="4320" w:hanging="360"/>
      </w:pPr>
    </w:lvl>
    <w:lvl w:ilvl="6" w:tplc="2140F63A">
      <w:start w:val="1"/>
      <w:numFmt w:val="bullet"/>
      <w:lvlText w:val="●"/>
      <w:lvlJc w:val="left"/>
      <w:pPr>
        <w:ind w:left="5040" w:hanging="360"/>
      </w:pPr>
    </w:lvl>
    <w:lvl w:ilvl="7" w:tplc="CD3CEF0C">
      <w:start w:val="1"/>
      <w:numFmt w:val="bullet"/>
      <w:lvlText w:val="●"/>
      <w:lvlJc w:val="left"/>
      <w:pPr>
        <w:ind w:left="5760" w:hanging="360"/>
      </w:pPr>
    </w:lvl>
    <w:lvl w:ilvl="8" w:tplc="3A6A44A8">
      <w:start w:val="1"/>
      <w:numFmt w:val="bullet"/>
      <w:lvlText w:val="●"/>
      <w:lvlJc w:val="left"/>
      <w:pPr>
        <w:ind w:left="6480" w:hanging="360"/>
      </w:pPr>
    </w:lvl>
  </w:abstractNum>
  <w:num w:numId="1" w16cid:durableId="1198396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86B"/>
    <w:rsid w:val="0007637F"/>
    <w:rsid w:val="000C6A00"/>
    <w:rsid w:val="000D69CC"/>
    <w:rsid w:val="001D5075"/>
    <w:rsid w:val="001F3FC8"/>
    <w:rsid w:val="002100F1"/>
    <w:rsid w:val="003E2944"/>
    <w:rsid w:val="003E336B"/>
    <w:rsid w:val="004218DF"/>
    <w:rsid w:val="00496BDD"/>
    <w:rsid w:val="00685AC5"/>
    <w:rsid w:val="00693877"/>
    <w:rsid w:val="006C7BB1"/>
    <w:rsid w:val="006E2B9A"/>
    <w:rsid w:val="006F2068"/>
    <w:rsid w:val="00753F32"/>
    <w:rsid w:val="0076717B"/>
    <w:rsid w:val="00902F76"/>
    <w:rsid w:val="00905611"/>
    <w:rsid w:val="009B2E2B"/>
    <w:rsid w:val="009C69BA"/>
    <w:rsid w:val="00AB58A1"/>
    <w:rsid w:val="00D10D22"/>
    <w:rsid w:val="00D8686B"/>
    <w:rsid w:val="00E76B2A"/>
    <w:rsid w:val="00ED4886"/>
    <w:rsid w:val="00F05152"/>
    <w:rsid w:val="00FB31D9"/>
    <w:rsid w:val="00FD3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ECD21"/>
  <w15:docId w15:val="{6308CD68-380D-4714-82A4-14AB7D1E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3859"/>
    <w:pPr>
      <w:tabs>
        <w:tab w:val="center" w:pos="4513"/>
        <w:tab w:val="right" w:pos="9026"/>
      </w:tabs>
    </w:pPr>
  </w:style>
  <w:style w:type="character" w:customStyle="1" w:styleId="HeaderChar">
    <w:name w:val="Header Char"/>
    <w:basedOn w:val="DefaultParagraphFont"/>
    <w:link w:val="Header"/>
    <w:uiPriority w:val="99"/>
    <w:rsid w:val="00FD3859"/>
  </w:style>
  <w:style w:type="paragraph" w:styleId="Footer">
    <w:name w:val="footer"/>
    <w:basedOn w:val="Normal"/>
    <w:link w:val="FooterChar"/>
    <w:uiPriority w:val="99"/>
    <w:unhideWhenUsed/>
    <w:rsid w:val="00FD3859"/>
    <w:pPr>
      <w:tabs>
        <w:tab w:val="center" w:pos="4513"/>
        <w:tab w:val="right" w:pos="9026"/>
      </w:tabs>
    </w:pPr>
  </w:style>
  <w:style w:type="character" w:customStyle="1" w:styleId="FooterChar">
    <w:name w:val="Footer Char"/>
    <w:basedOn w:val="DefaultParagraphFont"/>
    <w:link w:val="Footer"/>
    <w:uiPriority w:val="99"/>
    <w:rsid w:val="00FD3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3819</Words>
  <Characters>21771</Characters>
  <Application>Microsoft Office Word</Application>
  <DocSecurity>0</DocSecurity>
  <Lines>181</Lines>
  <Paragraphs>51</Paragraphs>
  <ScaleCrop>false</ScaleCrop>
  <Company/>
  <LinksUpToDate>false</LinksUpToDate>
  <CharactersWithSpaces>25539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42</cp:revision>
  <dcterms:created xsi:type="dcterms:W3CDTF">2026-07-26T09:54:00Z</dcterms:created>
  <dcterms:modified xsi:type="dcterms:W3CDTF">2026-07-26T10:09:00Z</dcterms:modified>
</cp:coreProperties>
</file>