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horzAnchor="margin" w:tblpY="520"/>
        <w:tblW w:w="5000" w:type="pct"/>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70"/>
      </w:tblGrid>
      <w:tr w:rsidR="00C226FF" w14:paraId="4582FF79" w14:textId="77777777" w:rsidTr="00425F6B">
        <w:tc>
          <w:tcPr>
            <w:tcW w:w="10070" w:type="dxa"/>
            <w:shd w:val="clear" w:color="auto" w:fill="1F3864"/>
            <w:tcMar>
              <w:top w:w="700" w:type="dxa"/>
              <w:left w:w="500" w:type="dxa"/>
              <w:bottom w:w="700" w:type="dxa"/>
              <w:right w:w="500" w:type="dxa"/>
            </w:tcMar>
            <w:vAlign w:val="center"/>
          </w:tcPr>
          <w:p w14:paraId="4582FF75" w14:textId="77777777" w:rsidR="00C226FF" w:rsidRDefault="0055692E" w:rsidP="00425F6B">
            <w:pPr>
              <w:spacing w:after="200"/>
              <w:jc w:val="center"/>
            </w:pPr>
            <w:r>
              <w:rPr>
                <w:b/>
                <w:bCs/>
                <w:color w:val="FFFFFF"/>
                <w:sz w:val="40"/>
                <w:szCs w:val="40"/>
              </w:rPr>
              <w:t>KPI FRAMEWORK &amp; EXECUTIVE DASHBOARDS</w:t>
            </w:r>
          </w:p>
          <w:p w14:paraId="4582FF76" w14:textId="77777777" w:rsidR="00C226FF" w:rsidRDefault="0055692E" w:rsidP="00425F6B">
            <w:pPr>
              <w:spacing w:after="320"/>
              <w:jc w:val="center"/>
            </w:pPr>
            <w:r>
              <w:rPr>
                <w:b/>
                <w:bCs/>
                <w:color w:val="9FB6DE"/>
                <w:sz w:val="30"/>
                <w:szCs w:val="30"/>
              </w:rPr>
              <w:t>in NetSuite</w:t>
            </w:r>
          </w:p>
          <w:p w14:paraId="4582FF77" w14:textId="77777777" w:rsidR="00C226FF" w:rsidRPr="00A94ECA" w:rsidRDefault="0055692E" w:rsidP="00425F6B">
            <w:pPr>
              <w:spacing w:after="400"/>
              <w:jc w:val="center"/>
              <w:rPr>
                <w:sz w:val="24"/>
              </w:rPr>
            </w:pPr>
            <w:r w:rsidRPr="00A94ECA">
              <w:rPr>
                <w:i/>
                <w:iCs/>
                <w:color w:val="D9E2F3"/>
                <w:sz w:val="24"/>
              </w:rPr>
              <w:t>Standard &amp; Custom KPIs, KPI Meters, Trend Graphs, KPI Scorecards, Dashboard Publishing, and SuiteScript / SDF Access Patterns</w:t>
            </w:r>
          </w:p>
          <w:p w14:paraId="4582FF78" w14:textId="77777777" w:rsidR="00C226FF" w:rsidRDefault="0055692E" w:rsidP="00425F6B">
            <w:pPr>
              <w:jc w:val="center"/>
            </w:pPr>
            <w:r w:rsidRPr="00A94ECA">
              <w:rPr>
                <w:b/>
                <w:bCs/>
                <w:color w:val="FFFFFF"/>
                <w:sz w:val="28"/>
              </w:rPr>
              <w:t>Weekly Learning Series — Week 26</w:t>
            </w:r>
          </w:p>
        </w:tc>
      </w:tr>
    </w:tbl>
    <w:p w14:paraId="1BB64D3E" w14:textId="4D6327D3" w:rsidR="004404F4" w:rsidRDefault="004404F4">
      <w:pPr>
        <w:spacing w:after="120"/>
        <w:rPr>
          <w:noProof/>
        </w:rPr>
      </w:pPr>
    </w:p>
    <w:p w14:paraId="6FFB9C4C" w14:textId="77777777" w:rsidR="004404F4" w:rsidRDefault="004404F4">
      <w:pPr>
        <w:spacing w:after="120"/>
        <w:rPr>
          <w:noProof/>
        </w:rPr>
      </w:pPr>
      <w:bookmarkStart w:id="0" w:name="_GoBack"/>
      <w:bookmarkEnd w:id="0"/>
    </w:p>
    <w:p w14:paraId="4582FF7A" w14:textId="585A4FDA" w:rsidR="00C226FF" w:rsidRDefault="004404F4">
      <w:pPr>
        <w:spacing w:after="120"/>
      </w:pPr>
      <w:r>
        <w:rPr>
          <w:noProof/>
        </w:rPr>
        <w:drawing>
          <wp:inline distT="0" distB="0" distL="0" distR="0" wp14:anchorId="35059C1F" wp14:editId="7801090D">
            <wp:extent cx="6400800" cy="4368800"/>
            <wp:effectExtent l="19050" t="19050" r="1905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368800"/>
                    </a:xfrm>
                    <a:prstGeom prst="rect">
                      <a:avLst/>
                    </a:prstGeom>
                    <a:noFill/>
                    <a:ln w="19050">
                      <a:solidFill>
                        <a:schemeClr val="tx1"/>
                      </a:solidFill>
                    </a:ln>
                  </pic:spPr>
                </pic:pic>
              </a:graphicData>
            </a:graphic>
          </wp:inline>
        </w:drawing>
      </w:r>
    </w:p>
    <w:p w14:paraId="4582FF7C" w14:textId="77777777" w:rsidR="00C226FF" w:rsidRDefault="0055692E">
      <w:pPr>
        <w:pStyle w:val="Heading1"/>
        <w:pageBreakBefore/>
        <w:spacing w:before="120" w:after="200"/>
      </w:pPr>
      <w:r>
        <w:rPr>
          <w:b/>
          <w:bCs/>
          <w:color w:val="1F3864"/>
        </w:rPr>
        <w:lastRenderedPageBreak/>
        <w:t>1. Introduction</w:t>
      </w:r>
    </w:p>
    <w:p w14:paraId="4582FF7D" w14:textId="77777777" w:rsidR="00C226FF" w:rsidRDefault="0055692E">
      <w:pPr>
        <w:spacing w:after="160" w:line="276" w:lineRule="auto"/>
      </w:pPr>
      <w:r>
        <w:t>Week 25 covered Budgeting &amp; Financial Reporting Architecture — how a budget is structured as an account × period × dimension matrix, and how the Financial Report Builder assembles GL and budget data into statements through reusable sections and layouts. That architecture answers the question “what happened, and what did we plan for it.” This week moves one layer up: how NetSuite takes that same underlying data — financial, sales, support, ecommerce, HR — and surfaces it as real-time, role-based decision-making surfaces on login, through Dashboards, Key Performance Indicators (KPIs), and KPI Scorecards.</w:t>
      </w:r>
    </w:p>
    <w:p w14:paraId="4582FF7E" w14:textId="77777777" w:rsidR="00C226FF" w:rsidRDefault="0055692E">
      <w:pPr>
        <w:spacing w:after="160" w:line="276" w:lineRule="auto"/>
      </w:pPr>
      <w:r>
        <w:t xml:space="preserve">NetSuite treats this as a layered system, not a single feature. A Center is the role-based set of tabbed pages a user sees on login. Each tabbed page carries a Dashboard — a personalized, and optionally published, collection of Portlets. Portlets are the display containers; several portlet types exist specifically to surface KPI data: </w:t>
      </w:r>
      <w:proofErr w:type="gramStart"/>
      <w:r>
        <w:t>the</w:t>
      </w:r>
      <w:proofErr w:type="gramEnd"/>
      <w:r>
        <w:t xml:space="preserve"> Key Performance Indicators portlet, the KPI Meter portlet, the Trend Graph portlet, and the KPI Scorecard portlet. Underneath all of them sits the KPI itself — either one of NetSuite’s 75+ built-in Standard KPIs based on standard reports, or a Custom KPI built from a saved search that satisfies a specific structural shape. This document covers how to set up and configure each portlet type, the structural rules that make a saved search usable as a Custom KPI, how KPI Scorecards add multi-period comparisons and Excel-like formulas on top of KPIs, how administrators publish a dashboard to an entire team, and how SuiteScript 2.1 and SuiteCloud Development Framework (SDF) can — and, in places, cannot — reach this layer directly.</w:t>
      </w:r>
    </w:p>
    <w:p w14:paraId="4582FF7F" w14:textId="77777777" w:rsidR="00C226FF" w:rsidRDefault="00C226FF">
      <w:pPr>
        <w:spacing w:after="80"/>
      </w:pPr>
    </w:p>
    <w:tbl>
      <w:tblPr>
        <w:tblW w:w="5000" w:type="pct"/>
        <w:tblBorders>
          <w:top w:val="single" w:sz="6" w:space="0" w:color="C9D6EA"/>
          <w:left w:val="single" w:sz="6" w:space="0" w:color="C9D6EA"/>
          <w:bottom w:val="single" w:sz="6" w:space="0" w:color="C9D6EA"/>
          <w:right w:val="single" w:sz="6" w:space="0" w:color="C9D6EA"/>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64"/>
      </w:tblGrid>
      <w:tr w:rsidR="00C226FF" w14:paraId="4582FF84" w14:textId="77777777">
        <w:tc>
          <w:tcPr>
            <w:tcW w:w="100" w:type="dxa"/>
            <w:shd w:val="clear" w:color="auto" w:fill="F5F7FB"/>
            <w:tcMar>
              <w:top w:w="160" w:type="dxa"/>
              <w:left w:w="200" w:type="dxa"/>
              <w:bottom w:w="160" w:type="dxa"/>
              <w:right w:w="200" w:type="dxa"/>
            </w:tcMar>
          </w:tcPr>
          <w:p w14:paraId="4582FF80" w14:textId="0B88CE57" w:rsidR="00C226FF" w:rsidRDefault="0055692E">
            <w:pPr>
              <w:spacing w:after="100"/>
            </w:pPr>
            <w:r>
              <w:rPr>
                <w:b/>
                <w:bCs/>
                <w:color w:val="1F3864"/>
              </w:rPr>
              <w:t xml:space="preserve">📌 Why KPIs and Dashboards Aren’t Just “Reports </w:t>
            </w:r>
            <w:r w:rsidR="009E3478">
              <w:rPr>
                <w:b/>
                <w:bCs/>
                <w:color w:val="1F3864"/>
              </w:rPr>
              <w:t>with</w:t>
            </w:r>
            <w:r>
              <w:rPr>
                <w:b/>
                <w:bCs/>
                <w:color w:val="1F3864"/>
              </w:rPr>
              <w:t xml:space="preserve"> a Nicer Skin”</w:t>
            </w:r>
          </w:p>
          <w:p w14:paraId="4582FF81" w14:textId="77777777" w:rsidR="00C226FF" w:rsidRDefault="0055692E">
            <w:pPr>
              <w:pStyle w:val="ListParagraph"/>
              <w:numPr>
                <w:ilvl w:val="0"/>
                <w:numId w:val="2"/>
              </w:numPr>
              <w:spacing w:after="90" w:line="260" w:lineRule="auto"/>
            </w:pPr>
            <w:r>
              <w:rPr>
                <w:sz w:val="21"/>
                <w:szCs w:val="21"/>
              </w:rPr>
              <w:t>The Key Performance Indicators portlet can display up to 8 KPIs as bold, large-text headlines and up to 10 custom KPIs, each with its own date range, employee scope, and click-through drill-down into the underlying report or search — it is a live summary layer, not a static snapshot.</w:t>
            </w:r>
          </w:p>
          <w:p w14:paraId="4582FF82" w14:textId="77777777" w:rsidR="00C226FF" w:rsidRDefault="0055692E">
            <w:pPr>
              <w:pStyle w:val="ListParagraph"/>
              <w:numPr>
                <w:ilvl w:val="0"/>
                <w:numId w:val="2"/>
              </w:numPr>
              <w:spacing w:after="90" w:line="260" w:lineRule="auto"/>
            </w:pPr>
            <w:r>
              <w:rPr>
                <w:sz w:val="21"/>
                <w:szCs w:val="21"/>
              </w:rPr>
              <w:t>The KPI Meter, Trend Graph, and KPI Scorecard portlets all reuse the concept of a KPI, but each defines its own custom KPIs independently — pointing three different portlets at “the same” saved search still means configuring it three separate times.</w:t>
            </w:r>
          </w:p>
          <w:p w14:paraId="4582FF83" w14:textId="77777777" w:rsidR="00C226FF" w:rsidRDefault="0055692E">
            <w:pPr>
              <w:pStyle w:val="ListParagraph"/>
              <w:numPr>
                <w:ilvl w:val="0"/>
                <w:numId w:val="2"/>
              </w:numPr>
              <w:spacing w:line="260" w:lineRule="auto"/>
            </w:pPr>
            <w:r>
              <w:rPr>
                <w:sz w:val="21"/>
                <w:szCs w:val="21"/>
              </w:rPr>
              <w:t>A Custom KPI is not just “any saved search” — it must satisfy a strict structural shape (no date criteria filter, exactly one summarized results field, a date available filter) before NetSuite will treat it as a valid KPI data source anywhere in the dashboard layer.</w:t>
            </w:r>
          </w:p>
        </w:tc>
      </w:tr>
    </w:tbl>
    <w:p w14:paraId="4582FF85" w14:textId="77777777" w:rsidR="00C226FF" w:rsidRDefault="0055692E">
      <w:pPr>
        <w:pStyle w:val="Heading1"/>
        <w:pageBreakBefore/>
        <w:spacing w:before="120" w:after="200"/>
      </w:pPr>
      <w:r>
        <w:rPr>
          <w:b/>
          <w:bCs/>
          <w:color w:val="1F3864"/>
        </w:rPr>
        <w:lastRenderedPageBreak/>
        <w:t>2. Dashboards, Centers, and Portlets — the Architecture</w:t>
      </w:r>
    </w:p>
    <w:p w14:paraId="4582FF86" w14:textId="77777777" w:rsidR="00C226FF" w:rsidRDefault="0055692E">
      <w:pPr>
        <w:pStyle w:val="Heading2"/>
        <w:spacing w:before="320" w:after="140"/>
      </w:pPr>
      <w:r>
        <w:rPr>
          <w:b/>
          <w:bCs/>
          <w:color w:val="2E5395"/>
        </w:rPr>
        <w:t>2.1 Centers and Role-Based Dashboards</w:t>
      </w:r>
    </w:p>
    <w:p w14:paraId="4582FF87" w14:textId="77777777" w:rsidR="00C226FF" w:rsidRDefault="0055692E">
      <w:pPr>
        <w:spacing w:after="160" w:line="276" w:lineRule="auto"/>
      </w:pPr>
      <w:r>
        <w:t>NetSuite’s interface is role-based: the role a user logs in with determines their Center, the set of tabbed pages built for a functional area such as Accounting, Sales, Support, or Marketing. Most tabbed pages carry a Dashboard — a visual workspace of portlets showing real-time data relevant to that page and role. Every user gets a default dashboard for each page, which they can personalize; administrators can further personalize a dashboard and publish it to every user sharing a role, so a whole team sees the same layout on login (covered in Section 7). Dashboards are available on the home page and on nearly every page in NetSuite, with the exception of the Documents, Setup, and Customization pages.</w:t>
      </w:r>
    </w:p>
    <w:p w14:paraId="4582FF88" w14:textId="77777777" w:rsidR="00C226FF" w:rsidRDefault="0055692E">
      <w:pPr>
        <w:pStyle w:val="Heading2"/>
        <w:spacing w:before="320" w:after="140"/>
      </w:pPr>
      <w:r>
        <w:rPr>
          <w:b/>
          <w:bCs/>
          <w:color w:val="2E5395"/>
        </w:rPr>
        <w:t>2.2 Portlet Types That Display KPI Data</w:t>
      </w:r>
    </w:p>
    <w:p w14:paraId="4582FF89" w14:textId="77777777" w:rsidR="00C226FF" w:rsidRDefault="0055692E">
      <w:pPr>
        <w:spacing w:after="160" w:line="276" w:lineRule="auto"/>
      </w:pPr>
      <w:r>
        <w:t>Dashboard content is organized into portlets — dynamic display windows. Some give direct access to raw data (lists, reminders); others are purpose-built to show business metrics. Four portlet types carry KPI data specifically:</w:t>
      </w:r>
    </w:p>
    <w:tbl>
      <w:tblPr>
        <w:tblW w:w="5000" w:type="pct"/>
        <w:tblBorders>
          <w:top w:val="single" w:sz="4" w:space="0" w:color="B9C7DE"/>
          <w:left w:val="single" w:sz="4" w:space="0" w:color="B9C7DE"/>
          <w:bottom w:val="single" w:sz="4" w:space="0" w:color="B9C7DE"/>
          <w:right w:val="single" w:sz="4" w:space="0" w:color="B9C7DE"/>
          <w:insideH w:val="single" w:sz="2" w:space="0" w:color="B9C7DE"/>
          <w:insideV w:val="single" w:sz="2" w:space="0" w:color="B9C7DE"/>
        </w:tblBorders>
        <w:tblLayout w:type="fixed"/>
        <w:tblCellMar>
          <w:left w:w="10" w:type="dxa"/>
          <w:right w:w="10" w:type="dxa"/>
        </w:tblCellMar>
        <w:tblLook w:val="04A0" w:firstRow="1" w:lastRow="0" w:firstColumn="1" w:lastColumn="0" w:noHBand="0" w:noVBand="1"/>
      </w:tblPr>
      <w:tblGrid>
        <w:gridCol w:w="3021"/>
        <w:gridCol w:w="7049"/>
      </w:tblGrid>
      <w:tr w:rsidR="00C226FF" w14:paraId="4582FF8C" w14:textId="77777777">
        <w:trPr>
          <w:tblHeader/>
        </w:trPr>
        <w:tc>
          <w:tcPr>
            <w:tcW w:w="1500" w:type="pct"/>
            <w:shd w:val="clear" w:color="auto" w:fill="1F3864"/>
            <w:tcMar>
              <w:top w:w="100" w:type="dxa"/>
              <w:left w:w="140" w:type="dxa"/>
              <w:bottom w:w="100" w:type="dxa"/>
              <w:right w:w="140" w:type="dxa"/>
            </w:tcMar>
            <w:vAlign w:val="center"/>
          </w:tcPr>
          <w:p w14:paraId="4582FF8A" w14:textId="77777777" w:rsidR="00C226FF" w:rsidRDefault="0055692E">
            <w:r>
              <w:rPr>
                <w:b/>
                <w:bCs/>
                <w:color w:val="FFFFFF"/>
                <w:sz w:val="20"/>
                <w:szCs w:val="20"/>
              </w:rPr>
              <w:t>Portlet</w:t>
            </w:r>
          </w:p>
        </w:tc>
        <w:tc>
          <w:tcPr>
            <w:tcW w:w="3500" w:type="pct"/>
            <w:shd w:val="clear" w:color="auto" w:fill="1F3864"/>
            <w:tcMar>
              <w:top w:w="100" w:type="dxa"/>
              <w:left w:w="140" w:type="dxa"/>
              <w:bottom w:w="100" w:type="dxa"/>
              <w:right w:w="140" w:type="dxa"/>
            </w:tcMar>
            <w:vAlign w:val="center"/>
          </w:tcPr>
          <w:p w14:paraId="4582FF8B" w14:textId="77777777" w:rsidR="00C226FF" w:rsidRDefault="0055692E">
            <w:r>
              <w:rPr>
                <w:b/>
                <w:bCs/>
                <w:color w:val="FFFFFF"/>
                <w:sz w:val="20"/>
                <w:szCs w:val="20"/>
              </w:rPr>
              <w:t>What It Shows / Limits</w:t>
            </w:r>
          </w:p>
        </w:tc>
      </w:tr>
      <w:tr w:rsidR="00C226FF" w14:paraId="4582FF8F" w14:textId="77777777">
        <w:tc>
          <w:tcPr>
            <w:tcW w:w="1500" w:type="pct"/>
            <w:shd w:val="clear" w:color="auto" w:fill="FFFFFF"/>
            <w:tcMar>
              <w:top w:w="100" w:type="dxa"/>
              <w:left w:w="140" w:type="dxa"/>
              <w:bottom w:w="100" w:type="dxa"/>
              <w:right w:w="140" w:type="dxa"/>
            </w:tcMar>
          </w:tcPr>
          <w:p w14:paraId="4582FF8D" w14:textId="77777777" w:rsidR="00C226FF" w:rsidRDefault="0055692E">
            <w:r>
              <w:rPr>
                <w:sz w:val="20"/>
                <w:szCs w:val="20"/>
              </w:rPr>
              <w:t>Key Performance Indicators</w:t>
            </w:r>
          </w:p>
        </w:tc>
        <w:tc>
          <w:tcPr>
            <w:tcW w:w="3500" w:type="pct"/>
            <w:shd w:val="clear" w:color="auto" w:fill="FFFFFF"/>
            <w:tcMar>
              <w:top w:w="100" w:type="dxa"/>
              <w:left w:w="140" w:type="dxa"/>
              <w:bottom w:w="100" w:type="dxa"/>
              <w:right w:w="140" w:type="dxa"/>
            </w:tcMar>
          </w:tcPr>
          <w:p w14:paraId="4582FF8E" w14:textId="77777777" w:rsidR="00C226FF" w:rsidRDefault="0055692E">
            <w:r>
              <w:rPr>
                <w:sz w:val="20"/>
                <w:szCs w:val="20"/>
              </w:rPr>
              <w:t>A summary line per selected KPI with clickable drill-down into the underlying report or search; up to 8 KPIs can be flagged as bold headline text at the top of the portlet.</w:t>
            </w:r>
          </w:p>
        </w:tc>
      </w:tr>
      <w:tr w:rsidR="00C226FF" w14:paraId="4582FF92" w14:textId="77777777">
        <w:tc>
          <w:tcPr>
            <w:tcW w:w="1500" w:type="pct"/>
            <w:shd w:val="clear" w:color="auto" w:fill="EAF0F9"/>
            <w:tcMar>
              <w:top w:w="100" w:type="dxa"/>
              <w:left w:w="140" w:type="dxa"/>
              <w:bottom w:w="100" w:type="dxa"/>
              <w:right w:w="140" w:type="dxa"/>
            </w:tcMar>
          </w:tcPr>
          <w:p w14:paraId="4582FF90" w14:textId="77777777" w:rsidR="00C226FF" w:rsidRDefault="0055692E">
            <w:r>
              <w:rPr>
                <w:sz w:val="20"/>
                <w:szCs w:val="20"/>
              </w:rPr>
              <w:t>KPI Meter</w:t>
            </w:r>
          </w:p>
        </w:tc>
        <w:tc>
          <w:tcPr>
            <w:tcW w:w="3500" w:type="pct"/>
            <w:shd w:val="clear" w:color="auto" w:fill="EAF0F9"/>
            <w:tcMar>
              <w:top w:w="100" w:type="dxa"/>
              <w:left w:w="140" w:type="dxa"/>
              <w:bottom w:w="100" w:type="dxa"/>
              <w:right w:w="140" w:type="dxa"/>
            </w:tcMar>
          </w:tcPr>
          <w:p w14:paraId="4582FF91" w14:textId="77777777" w:rsidR="00C226FF" w:rsidRDefault="0055692E">
            <w:r>
              <w:rPr>
                <w:sz w:val="20"/>
                <w:szCs w:val="20"/>
              </w:rPr>
              <w:t>A semi-circular gauge visualizing one KPI at a time, with optional comparison or threshold display; up to 3 KPI Meter portlets per dashboard.</w:t>
            </w:r>
          </w:p>
        </w:tc>
      </w:tr>
      <w:tr w:rsidR="00C226FF" w14:paraId="4582FF95" w14:textId="77777777">
        <w:tc>
          <w:tcPr>
            <w:tcW w:w="1500" w:type="pct"/>
            <w:shd w:val="clear" w:color="auto" w:fill="FFFFFF"/>
            <w:tcMar>
              <w:top w:w="100" w:type="dxa"/>
              <w:left w:w="140" w:type="dxa"/>
              <w:bottom w:w="100" w:type="dxa"/>
              <w:right w:w="140" w:type="dxa"/>
            </w:tcMar>
          </w:tcPr>
          <w:p w14:paraId="4582FF93" w14:textId="77777777" w:rsidR="00C226FF" w:rsidRDefault="0055692E">
            <w:r>
              <w:rPr>
                <w:sz w:val="20"/>
                <w:szCs w:val="20"/>
              </w:rPr>
              <w:t>Trend Graph</w:t>
            </w:r>
          </w:p>
        </w:tc>
        <w:tc>
          <w:tcPr>
            <w:tcW w:w="3500" w:type="pct"/>
            <w:shd w:val="clear" w:color="auto" w:fill="FFFFFF"/>
            <w:tcMar>
              <w:top w:w="100" w:type="dxa"/>
              <w:left w:w="140" w:type="dxa"/>
              <w:bottom w:w="100" w:type="dxa"/>
              <w:right w:w="140" w:type="dxa"/>
            </w:tcMar>
          </w:tcPr>
          <w:p w14:paraId="4582FF94" w14:textId="77777777" w:rsidR="00C226FF" w:rsidRDefault="0055692E">
            <w:r>
              <w:rPr>
                <w:sz w:val="20"/>
                <w:szCs w:val="20"/>
              </w:rPr>
              <w:t>Area, Line, Bar, or Column chart showing up to 3 KPIs over time, continuous or side-by-side; up to 5 Trend Graph portlets per dashboard, plus popup trend graphs from the KPI and KPI Scorecard portlets.</w:t>
            </w:r>
          </w:p>
        </w:tc>
      </w:tr>
      <w:tr w:rsidR="00C226FF" w14:paraId="4582FF98" w14:textId="77777777">
        <w:tc>
          <w:tcPr>
            <w:tcW w:w="1500" w:type="pct"/>
            <w:shd w:val="clear" w:color="auto" w:fill="EAF0F9"/>
            <w:tcMar>
              <w:top w:w="100" w:type="dxa"/>
              <w:left w:w="140" w:type="dxa"/>
              <w:bottom w:w="100" w:type="dxa"/>
              <w:right w:w="140" w:type="dxa"/>
            </w:tcMar>
          </w:tcPr>
          <w:p w14:paraId="4582FF96" w14:textId="77777777" w:rsidR="00C226FF" w:rsidRDefault="0055692E">
            <w:r>
              <w:rPr>
                <w:sz w:val="20"/>
                <w:szCs w:val="20"/>
              </w:rPr>
              <w:t>KPI Scorecard</w:t>
            </w:r>
          </w:p>
        </w:tc>
        <w:tc>
          <w:tcPr>
            <w:tcW w:w="3500" w:type="pct"/>
            <w:shd w:val="clear" w:color="auto" w:fill="EAF0F9"/>
            <w:tcMar>
              <w:top w:w="100" w:type="dxa"/>
              <w:left w:w="140" w:type="dxa"/>
              <w:bottom w:w="100" w:type="dxa"/>
              <w:right w:w="140" w:type="dxa"/>
            </w:tcMar>
          </w:tcPr>
          <w:p w14:paraId="4582FF97" w14:textId="77777777" w:rsidR="00C226FF" w:rsidRDefault="0055692E">
            <w:r>
              <w:rPr>
                <w:sz w:val="20"/>
                <w:szCs w:val="20"/>
              </w:rPr>
              <w:t>A performance scorecard comparing multiple KPIs across multiple date ranges or accounting periods, including Excel-like formulas; requires the KPI Scorecards feature to be enabled.</w:t>
            </w:r>
          </w:p>
        </w:tc>
      </w:tr>
    </w:tbl>
    <w:p w14:paraId="4582FF99" w14:textId="77777777" w:rsidR="00C226FF" w:rsidRDefault="00C226FF">
      <w:pPr>
        <w:spacing w:after="120"/>
      </w:pPr>
    </w:p>
    <w:tbl>
      <w:tblPr>
        <w:tblW w:w="5000" w:type="pct"/>
        <w:tblBorders>
          <w:top w:val="single" w:sz="6" w:space="0" w:color="E8C48A"/>
          <w:left w:val="single" w:sz="6" w:space="0" w:color="E8C48A"/>
          <w:bottom w:val="single" w:sz="6" w:space="0" w:color="E8C48A"/>
          <w:right w:val="single" w:sz="6" w:space="0" w:color="E8C48A"/>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64"/>
      </w:tblGrid>
      <w:tr w:rsidR="00C226FF" w14:paraId="4582FF9C" w14:textId="77777777">
        <w:tc>
          <w:tcPr>
            <w:tcW w:w="100" w:type="dxa"/>
            <w:shd w:val="clear" w:color="auto" w:fill="FFF4E5"/>
            <w:tcMar>
              <w:top w:w="160" w:type="dxa"/>
              <w:left w:w="200" w:type="dxa"/>
              <w:bottom w:w="160" w:type="dxa"/>
              <w:right w:w="200" w:type="dxa"/>
            </w:tcMar>
          </w:tcPr>
          <w:p w14:paraId="4582FF9A" w14:textId="77777777" w:rsidR="00C226FF" w:rsidRDefault="0055692E">
            <w:pPr>
              <w:spacing w:after="100"/>
            </w:pPr>
            <w:r>
              <w:rPr>
                <w:b/>
                <w:bCs/>
                <w:color w:val="1F3864"/>
              </w:rPr>
              <w:t>⚠️ KPIs Are Role-Based and Feature-Based</w:t>
            </w:r>
          </w:p>
          <w:p w14:paraId="4582FF9B" w14:textId="77777777" w:rsidR="00C226FF" w:rsidRDefault="0055692E">
            <w:pPr>
              <w:pStyle w:val="ListParagraph"/>
              <w:numPr>
                <w:ilvl w:val="0"/>
                <w:numId w:val="2"/>
              </w:numPr>
              <w:spacing w:line="260" w:lineRule="auto"/>
            </w:pPr>
            <w:r>
              <w:rPr>
                <w:sz w:val="21"/>
                <w:szCs w:val="21"/>
              </w:rPr>
              <w:t>The KPIs available to choose from in any of these portlets depend on the role used to log in and on which NetSuite features are enabled in the account — a KPI documented as standard may simply not appear for a given user until the underlying feature (e.g., Multiple Currencies, Consolidated Payments, Historical Metrics) is turned on or the role is changed.</w:t>
            </w:r>
          </w:p>
        </w:tc>
      </w:tr>
    </w:tbl>
    <w:p w14:paraId="4582FF9D" w14:textId="77777777" w:rsidR="00C226FF" w:rsidRDefault="0055692E">
      <w:pPr>
        <w:pStyle w:val="Heading1"/>
        <w:pageBreakBefore/>
        <w:spacing w:before="120" w:after="200"/>
      </w:pPr>
      <w:r>
        <w:rPr>
          <w:b/>
          <w:bCs/>
          <w:color w:val="1F3864"/>
        </w:rPr>
        <w:lastRenderedPageBreak/>
        <w:t>3. The Key Performance Indicators Portlet</w:t>
      </w:r>
    </w:p>
    <w:p w14:paraId="4582FF9E" w14:textId="77777777" w:rsidR="00C226FF" w:rsidRDefault="0055692E">
      <w:pPr>
        <w:pStyle w:val="Heading2"/>
        <w:spacing w:before="320" w:after="140"/>
      </w:pPr>
      <w:r>
        <w:rPr>
          <w:b/>
          <w:bCs/>
          <w:color w:val="2E5395"/>
        </w:rPr>
        <w:t>3.1 Adding and Setting Up the Portlet</w:t>
      </w:r>
    </w:p>
    <w:p w14:paraId="4582FF9F" w14:textId="77777777" w:rsidR="00C226FF" w:rsidRDefault="0055692E">
      <w:pPr>
        <w:spacing w:after="160" w:line="276" w:lineRule="auto"/>
      </w:pPr>
      <w:r>
        <w:t>To add the portlet: click Personalize Dashboard, then click or drag the Key Performance Indicators item onto the page. It appears with default or previously selected KPI data. To configure it, click Set Up in the portlet menu to open the Set Up Key Performance Indicators popup, then:</w:t>
      </w:r>
    </w:p>
    <w:p w14:paraId="4582FFA0" w14:textId="77777777" w:rsidR="00C226FF" w:rsidRDefault="0055692E">
      <w:pPr>
        <w:pStyle w:val="ListParagraph"/>
        <w:numPr>
          <w:ilvl w:val="0"/>
          <w:numId w:val="3"/>
        </w:numPr>
        <w:spacing w:after="100" w:line="264" w:lineRule="auto"/>
      </w:pPr>
      <w:r>
        <w:t>Click Add Standard KPIs to open the Choose Standard Key Performance Indicators dialog; click a KPI in the left list to move it to the right (selected) list, and click Done.</w:t>
      </w:r>
    </w:p>
    <w:p w14:paraId="4582FFA1" w14:textId="77777777" w:rsidR="00C226FF" w:rsidRDefault="0055692E">
      <w:pPr>
        <w:pStyle w:val="ListParagraph"/>
        <w:numPr>
          <w:ilvl w:val="0"/>
          <w:numId w:val="3"/>
        </w:numPr>
        <w:spacing w:after="100" w:line="264" w:lineRule="auto"/>
      </w:pPr>
      <w:r>
        <w:t>Click Add Custom KPIs to open the Choose Custom Key Performance Indicators dialog and select up to 10 saved searches to display as custom KPIs; click Done.</w:t>
      </w:r>
    </w:p>
    <w:p w14:paraId="4582FFA2" w14:textId="77777777" w:rsidR="00C226FF" w:rsidRDefault="0055692E">
      <w:pPr>
        <w:pStyle w:val="ListParagraph"/>
        <w:numPr>
          <w:ilvl w:val="0"/>
          <w:numId w:val="3"/>
        </w:numPr>
        <w:spacing w:after="100" w:line="264" w:lineRule="auto"/>
      </w:pPr>
      <w:r>
        <w:t>For each selected KPI, choose a date or period Range.</w:t>
      </w:r>
    </w:p>
    <w:p w14:paraId="4582FFA3" w14:textId="77777777" w:rsidR="00C226FF" w:rsidRDefault="0055692E">
      <w:pPr>
        <w:pStyle w:val="ListParagraph"/>
        <w:numPr>
          <w:ilvl w:val="0"/>
          <w:numId w:val="3"/>
        </w:numPr>
        <w:spacing w:after="100" w:line="264" w:lineRule="auto"/>
      </w:pPr>
      <w:r>
        <w:t>Where an Employees list is available, choose All, Only Mine, or My Team’s to scope the data.</w:t>
      </w:r>
    </w:p>
    <w:p w14:paraId="4582FFA4" w14:textId="77777777" w:rsidR="00C226FF" w:rsidRDefault="0055692E">
      <w:pPr>
        <w:pStyle w:val="ListParagraph"/>
        <w:numPr>
          <w:ilvl w:val="0"/>
          <w:numId w:val="3"/>
        </w:numPr>
        <w:spacing w:after="100" w:line="264" w:lineRule="auto"/>
      </w:pPr>
      <w:r>
        <w:t>In Highlight If, optionally flag the KPI as greater than or less than a Threshold you define; leave blank for no highlighting (see Section 3.3).</w:t>
      </w:r>
    </w:p>
    <w:p w14:paraId="4582FFA5" w14:textId="77777777" w:rsidR="00C226FF" w:rsidRDefault="0055692E">
      <w:pPr>
        <w:pStyle w:val="ListParagraph"/>
        <w:numPr>
          <w:ilvl w:val="0"/>
          <w:numId w:val="3"/>
        </w:numPr>
        <w:spacing w:after="100" w:line="264" w:lineRule="auto"/>
      </w:pPr>
      <w:r>
        <w:t>Check Compare if you want this KPI’s Range compared against a second Compare Range (see Section 3.4).</w:t>
      </w:r>
    </w:p>
    <w:p w14:paraId="4582FFA6" w14:textId="483D1474" w:rsidR="00C226FF" w:rsidRDefault="0055692E">
      <w:pPr>
        <w:pStyle w:val="ListParagraph"/>
        <w:numPr>
          <w:ilvl w:val="0"/>
          <w:numId w:val="3"/>
        </w:numPr>
        <w:spacing w:after="100" w:line="264" w:lineRule="auto"/>
      </w:pPr>
      <w:r>
        <w:t xml:space="preserve">Use the ✖ button, Remove All, drag-and-drop, or the Move </w:t>
      </w:r>
      <w:r w:rsidR="003D5233">
        <w:t>to</w:t>
      </w:r>
      <w:r>
        <w:t xml:space="preserve"> Top / Move </w:t>
      </w:r>
      <w:r w:rsidR="004231EB">
        <w:t>t</w:t>
      </w:r>
      <w:r>
        <w:t>o Bottom buttons to remove or reorder KPIs.</w:t>
      </w:r>
    </w:p>
    <w:p w14:paraId="4582FFA7" w14:textId="77777777" w:rsidR="00C226FF" w:rsidRDefault="0055692E">
      <w:pPr>
        <w:pStyle w:val="ListParagraph"/>
        <w:numPr>
          <w:ilvl w:val="0"/>
          <w:numId w:val="3"/>
        </w:numPr>
        <w:spacing w:after="100" w:line="264" w:lineRule="auto"/>
      </w:pPr>
      <w:r>
        <w:t>On the Popup Trend Graphs subtab, set Show Moving Average, Show Last Data Point, Include Zero on Y-Axis, chart theme/background, and default chart type and time increment.</w:t>
      </w:r>
    </w:p>
    <w:p w14:paraId="4582FFA8" w14:textId="77777777" w:rsidR="00C226FF" w:rsidRDefault="0055692E">
      <w:pPr>
        <w:pStyle w:val="ListParagraph"/>
        <w:numPr>
          <w:ilvl w:val="0"/>
          <w:numId w:val="3"/>
        </w:numPr>
        <w:spacing w:after="100" w:line="264" w:lineRule="auto"/>
      </w:pPr>
      <w:r>
        <w:t>Optionally check Cached Data so the portlet does not refresh automatically on login — this also adds a last-updated time indicator.</w:t>
      </w:r>
    </w:p>
    <w:p w14:paraId="4582FFA9" w14:textId="77777777" w:rsidR="00C226FF" w:rsidRDefault="0055692E">
      <w:pPr>
        <w:pStyle w:val="ListParagraph"/>
        <w:numPr>
          <w:ilvl w:val="0"/>
          <w:numId w:val="3"/>
        </w:numPr>
        <w:spacing w:after="100" w:line="264" w:lineRule="auto"/>
      </w:pPr>
      <w:r>
        <w:t>Click Save.</w:t>
      </w:r>
    </w:p>
    <w:p w14:paraId="4582FFAA" w14:textId="5965ABF0" w:rsidR="00C226FF" w:rsidRDefault="0055692E">
      <w:pPr>
        <w:spacing w:after="160" w:line="276" w:lineRule="auto"/>
      </w:pPr>
      <w:r>
        <w:t>Up to 8 KPIs can be flagged as headlines, and up to 10 custom KPIs can be selected in a single portlet.</w:t>
      </w:r>
    </w:p>
    <w:p w14:paraId="2C81FE0A" w14:textId="11FB9609" w:rsidR="00D943D7" w:rsidRDefault="00D943D7">
      <w:pPr>
        <w:spacing w:after="160" w:line="276" w:lineRule="auto"/>
      </w:pPr>
    </w:p>
    <w:p w14:paraId="7BB786EC" w14:textId="4ABFF9A7" w:rsidR="00D943D7" w:rsidRDefault="00D943D7">
      <w:pPr>
        <w:spacing w:after="160" w:line="276" w:lineRule="auto"/>
      </w:pPr>
    </w:p>
    <w:p w14:paraId="41D9677D" w14:textId="4C640EDC" w:rsidR="00D943D7" w:rsidRDefault="00D943D7">
      <w:pPr>
        <w:spacing w:after="160" w:line="276" w:lineRule="auto"/>
      </w:pPr>
    </w:p>
    <w:p w14:paraId="359AEFB4" w14:textId="13EAA7CE" w:rsidR="00D943D7" w:rsidRDefault="00D943D7">
      <w:pPr>
        <w:spacing w:after="160" w:line="276" w:lineRule="auto"/>
      </w:pPr>
    </w:p>
    <w:p w14:paraId="2C345464" w14:textId="6E964FE6" w:rsidR="00D943D7" w:rsidRDefault="00D943D7">
      <w:pPr>
        <w:spacing w:after="160" w:line="276" w:lineRule="auto"/>
      </w:pPr>
    </w:p>
    <w:p w14:paraId="17842703" w14:textId="43D96CB1" w:rsidR="00D943D7" w:rsidRDefault="00D943D7">
      <w:pPr>
        <w:spacing w:after="160" w:line="276" w:lineRule="auto"/>
      </w:pPr>
    </w:p>
    <w:p w14:paraId="072B8A89" w14:textId="2C6E6125" w:rsidR="00D943D7" w:rsidRDefault="00D943D7">
      <w:pPr>
        <w:spacing w:after="160" w:line="276" w:lineRule="auto"/>
      </w:pPr>
    </w:p>
    <w:p w14:paraId="219184D6" w14:textId="66A1C8A7" w:rsidR="00D943D7" w:rsidRDefault="00D943D7">
      <w:pPr>
        <w:spacing w:after="160" w:line="276" w:lineRule="auto"/>
      </w:pPr>
    </w:p>
    <w:p w14:paraId="679B905F" w14:textId="55FE8751" w:rsidR="00D943D7" w:rsidRDefault="00D943D7">
      <w:pPr>
        <w:spacing w:after="160" w:line="276" w:lineRule="auto"/>
      </w:pPr>
    </w:p>
    <w:p w14:paraId="209A2377" w14:textId="544F5B6E" w:rsidR="00D943D7" w:rsidRDefault="00D943D7">
      <w:pPr>
        <w:spacing w:after="160" w:line="276" w:lineRule="auto"/>
      </w:pPr>
    </w:p>
    <w:p w14:paraId="4582FFAB" w14:textId="77777777" w:rsidR="00C226FF" w:rsidRDefault="0055692E">
      <w:pPr>
        <w:pStyle w:val="Heading2"/>
        <w:spacing w:before="320" w:after="140"/>
      </w:pPr>
      <w:r>
        <w:rPr>
          <w:b/>
          <w:bCs/>
          <w:color w:val="2E5395"/>
        </w:rPr>
        <w:lastRenderedPageBreak/>
        <w:t>3.2 Standard KPIs — 75+ Built-In Metrics</w:t>
      </w:r>
    </w:p>
    <w:p w14:paraId="4582FFAC" w14:textId="77777777" w:rsidR="00C226FF" w:rsidRDefault="0055692E">
      <w:pPr>
        <w:spacing w:after="160" w:line="276" w:lineRule="auto"/>
      </w:pPr>
      <w:r>
        <w:t>NetSuite ships over 75 standard KPIs, listed alphabetically in the Standard Key Performance Indicators Table and grouped here by the business area they summarize. Each links through to its underlying standard report when clicked.</w:t>
      </w:r>
    </w:p>
    <w:tbl>
      <w:tblPr>
        <w:tblW w:w="5000" w:type="pct"/>
        <w:tblBorders>
          <w:top w:val="single" w:sz="4" w:space="0" w:color="B9C7DE"/>
          <w:left w:val="single" w:sz="4" w:space="0" w:color="B9C7DE"/>
          <w:bottom w:val="single" w:sz="4" w:space="0" w:color="B9C7DE"/>
          <w:right w:val="single" w:sz="4" w:space="0" w:color="B9C7DE"/>
          <w:insideH w:val="single" w:sz="2" w:space="0" w:color="B9C7DE"/>
          <w:insideV w:val="single" w:sz="2" w:space="0" w:color="B9C7DE"/>
        </w:tblBorders>
        <w:tblLayout w:type="fixed"/>
        <w:tblCellMar>
          <w:left w:w="10" w:type="dxa"/>
          <w:right w:w="10" w:type="dxa"/>
        </w:tblCellMar>
        <w:tblLook w:val="04A0" w:firstRow="1" w:lastRow="0" w:firstColumn="1" w:lastColumn="0" w:noHBand="0" w:noVBand="1"/>
      </w:tblPr>
      <w:tblGrid>
        <w:gridCol w:w="2014"/>
        <w:gridCol w:w="5035"/>
        <w:gridCol w:w="3021"/>
      </w:tblGrid>
      <w:tr w:rsidR="00C226FF" w14:paraId="4582FFB0" w14:textId="77777777">
        <w:trPr>
          <w:tblHeader/>
        </w:trPr>
        <w:tc>
          <w:tcPr>
            <w:tcW w:w="1000" w:type="pct"/>
            <w:shd w:val="clear" w:color="auto" w:fill="1F3864"/>
            <w:tcMar>
              <w:top w:w="100" w:type="dxa"/>
              <w:left w:w="140" w:type="dxa"/>
              <w:bottom w:w="100" w:type="dxa"/>
              <w:right w:w="140" w:type="dxa"/>
            </w:tcMar>
            <w:vAlign w:val="center"/>
          </w:tcPr>
          <w:p w14:paraId="4582FFAD" w14:textId="77777777" w:rsidR="00C226FF" w:rsidRDefault="0055692E">
            <w:r>
              <w:rPr>
                <w:b/>
                <w:bCs/>
                <w:color w:val="FFFFFF"/>
                <w:sz w:val="20"/>
                <w:szCs w:val="20"/>
              </w:rPr>
              <w:t>Area</w:t>
            </w:r>
          </w:p>
        </w:tc>
        <w:tc>
          <w:tcPr>
            <w:tcW w:w="2500" w:type="pct"/>
            <w:shd w:val="clear" w:color="auto" w:fill="1F3864"/>
            <w:tcMar>
              <w:top w:w="100" w:type="dxa"/>
              <w:left w:w="140" w:type="dxa"/>
              <w:bottom w:w="100" w:type="dxa"/>
              <w:right w:w="140" w:type="dxa"/>
            </w:tcMar>
            <w:vAlign w:val="center"/>
          </w:tcPr>
          <w:p w14:paraId="4582FFAE" w14:textId="77777777" w:rsidR="00C226FF" w:rsidRDefault="0055692E">
            <w:r>
              <w:rPr>
                <w:b/>
                <w:bCs/>
                <w:color w:val="FFFFFF"/>
                <w:sz w:val="20"/>
                <w:szCs w:val="20"/>
              </w:rPr>
              <w:t>Representative KPIs</w:t>
            </w:r>
          </w:p>
        </w:tc>
        <w:tc>
          <w:tcPr>
            <w:tcW w:w="1500" w:type="pct"/>
            <w:shd w:val="clear" w:color="auto" w:fill="1F3864"/>
            <w:tcMar>
              <w:top w:w="100" w:type="dxa"/>
              <w:left w:w="140" w:type="dxa"/>
              <w:bottom w:w="100" w:type="dxa"/>
              <w:right w:w="140" w:type="dxa"/>
            </w:tcMar>
            <w:vAlign w:val="center"/>
          </w:tcPr>
          <w:p w14:paraId="4582FFAF" w14:textId="77777777" w:rsidR="00C226FF" w:rsidRDefault="0055692E">
            <w:r>
              <w:rPr>
                <w:b/>
                <w:bCs/>
                <w:color w:val="FFFFFF"/>
                <w:sz w:val="20"/>
                <w:szCs w:val="20"/>
              </w:rPr>
              <w:t>Underlying Report Family</w:t>
            </w:r>
          </w:p>
        </w:tc>
      </w:tr>
      <w:tr w:rsidR="00C226FF" w14:paraId="4582FFB4" w14:textId="77777777">
        <w:tc>
          <w:tcPr>
            <w:tcW w:w="1000" w:type="pct"/>
            <w:shd w:val="clear" w:color="auto" w:fill="FFFFFF"/>
            <w:tcMar>
              <w:top w:w="100" w:type="dxa"/>
              <w:left w:w="140" w:type="dxa"/>
              <w:bottom w:w="100" w:type="dxa"/>
              <w:right w:w="140" w:type="dxa"/>
            </w:tcMar>
          </w:tcPr>
          <w:p w14:paraId="4582FFB1" w14:textId="77777777" w:rsidR="00C226FF" w:rsidRDefault="0055692E">
            <w:r>
              <w:rPr>
                <w:sz w:val="20"/>
                <w:szCs w:val="20"/>
              </w:rPr>
              <w:t>Financial / GL</w:t>
            </w:r>
          </w:p>
        </w:tc>
        <w:tc>
          <w:tcPr>
            <w:tcW w:w="2500" w:type="pct"/>
            <w:shd w:val="clear" w:color="auto" w:fill="FFFFFF"/>
            <w:tcMar>
              <w:top w:w="100" w:type="dxa"/>
              <w:left w:w="140" w:type="dxa"/>
              <w:bottom w:w="100" w:type="dxa"/>
              <w:right w:w="140" w:type="dxa"/>
            </w:tcMar>
          </w:tcPr>
          <w:p w14:paraId="4582FFB2" w14:textId="77777777" w:rsidR="00C226FF" w:rsidRDefault="0055692E">
            <w:r>
              <w:rPr>
                <w:sz w:val="20"/>
                <w:szCs w:val="20"/>
              </w:rPr>
              <w:t>Bank Balance, Credit Card Balance, COGS, Equity, Expenses, Income, Profit, Revenue, Deferred Revenue, Payables, Receivables, Fixed Assets, Other Assets, Long Term Liabilities, Net/Operating Cash Flow</w:t>
            </w:r>
          </w:p>
        </w:tc>
        <w:tc>
          <w:tcPr>
            <w:tcW w:w="1500" w:type="pct"/>
            <w:shd w:val="clear" w:color="auto" w:fill="FFFFFF"/>
            <w:tcMar>
              <w:top w:w="100" w:type="dxa"/>
              <w:left w:w="140" w:type="dxa"/>
              <w:bottom w:w="100" w:type="dxa"/>
              <w:right w:w="140" w:type="dxa"/>
            </w:tcMar>
          </w:tcPr>
          <w:p w14:paraId="4582FFB3" w14:textId="77777777" w:rsidR="00C226FF" w:rsidRDefault="0055692E">
            <w:r>
              <w:rPr>
                <w:sz w:val="20"/>
                <w:szCs w:val="20"/>
              </w:rPr>
              <w:t>Income Statement, Balance Sheet, Trial Balance, Cash Flow Statement, A/P or A/R Aging</w:t>
            </w:r>
          </w:p>
        </w:tc>
      </w:tr>
      <w:tr w:rsidR="00C226FF" w14:paraId="4582FFB8" w14:textId="77777777">
        <w:tc>
          <w:tcPr>
            <w:tcW w:w="1000" w:type="pct"/>
            <w:shd w:val="clear" w:color="auto" w:fill="EAF0F9"/>
            <w:tcMar>
              <w:top w:w="100" w:type="dxa"/>
              <w:left w:w="140" w:type="dxa"/>
              <w:bottom w:w="100" w:type="dxa"/>
              <w:right w:w="140" w:type="dxa"/>
            </w:tcMar>
          </w:tcPr>
          <w:p w14:paraId="4582FFB5" w14:textId="77777777" w:rsidR="00C226FF" w:rsidRDefault="0055692E">
            <w:r>
              <w:rPr>
                <w:sz w:val="20"/>
                <w:szCs w:val="20"/>
              </w:rPr>
              <w:t>Sales &amp; Pipeline</w:t>
            </w:r>
          </w:p>
        </w:tc>
        <w:tc>
          <w:tcPr>
            <w:tcW w:w="2500" w:type="pct"/>
            <w:shd w:val="clear" w:color="auto" w:fill="EAF0F9"/>
            <w:tcMar>
              <w:top w:w="100" w:type="dxa"/>
              <w:left w:w="140" w:type="dxa"/>
              <w:bottom w:w="100" w:type="dxa"/>
              <w:right w:w="140" w:type="dxa"/>
            </w:tcMar>
          </w:tcPr>
          <w:p w14:paraId="4582FFB6" w14:textId="77777777" w:rsidR="00C226FF" w:rsidRDefault="0055692E">
            <w:r>
              <w:rPr>
                <w:sz w:val="20"/>
                <w:szCs w:val="20"/>
              </w:rPr>
              <w:t>Sales, Sales (Orders), Total Sales (Orders), New Business, Orders, Pipeline (Projected/Weighted), Forecast, Forecast Override, Quota, Quota Reps</w:t>
            </w:r>
          </w:p>
        </w:tc>
        <w:tc>
          <w:tcPr>
            <w:tcW w:w="1500" w:type="pct"/>
            <w:shd w:val="clear" w:color="auto" w:fill="EAF0F9"/>
            <w:tcMar>
              <w:top w:w="100" w:type="dxa"/>
              <w:left w:w="140" w:type="dxa"/>
              <w:bottom w:w="100" w:type="dxa"/>
              <w:right w:w="140" w:type="dxa"/>
            </w:tcMar>
          </w:tcPr>
          <w:p w14:paraId="4582FFB7" w14:textId="77777777" w:rsidR="00C226FF" w:rsidRDefault="0055692E">
            <w:r>
              <w:rPr>
                <w:sz w:val="20"/>
                <w:szCs w:val="20"/>
              </w:rPr>
              <w:t>Sales by Customer Summary, Sales/Billings Forecast vs. Quota, Pipeline by Sales Rep Summary</w:t>
            </w:r>
          </w:p>
        </w:tc>
      </w:tr>
      <w:tr w:rsidR="00C226FF" w14:paraId="4582FFBC" w14:textId="77777777">
        <w:tc>
          <w:tcPr>
            <w:tcW w:w="1000" w:type="pct"/>
            <w:shd w:val="clear" w:color="auto" w:fill="FFFFFF"/>
            <w:tcMar>
              <w:top w:w="100" w:type="dxa"/>
              <w:left w:w="140" w:type="dxa"/>
              <w:bottom w:w="100" w:type="dxa"/>
              <w:right w:w="140" w:type="dxa"/>
            </w:tcMar>
          </w:tcPr>
          <w:p w14:paraId="4582FFB9" w14:textId="77777777" w:rsidR="00C226FF" w:rsidRDefault="0055692E">
            <w:r>
              <w:rPr>
                <w:sz w:val="20"/>
                <w:szCs w:val="20"/>
              </w:rPr>
              <w:t>Commission</w:t>
            </w:r>
          </w:p>
        </w:tc>
        <w:tc>
          <w:tcPr>
            <w:tcW w:w="2500" w:type="pct"/>
            <w:shd w:val="clear" w:color="auto" w:fill="FFFFFF"/>
            <w:tcMar>
              <w:top w:w="100" w:type="dxa"/>
              <w:left w:w="140" w:type="dxa"/>
              <w:bottom w:w="100" w:type="dxa"/>
              <w:right w:w="140" w:type="dxa"/>
            </w:tcMar>
          </w:tcPr>
          <w:p w14:paraId="4582FFBA" w14:textId="77777777" w:rsidR="00C226FF" w:rsidRDefault="0055692E">
            <w:r>
              <w:rPr>
                <w:sz w:val="20"/>
                <w:szCs w:val="20"/>
              </w:rPr>
              <w:t>Authorized, Estimated, and Paid Commission, plus their Partner Commission equivalents</w:t>
            </w:r>
          </w:p>
        </w:tc>
        <w:tc>
          <w:tcPr>
            <w:tcW w:w="1500" w:type="pct"/>
            <w:shd w:val="clear" w:color="auto" w:fill="FFFFFF"/>
            <w:tcMar>
              <w:top w:w="100" w:type="dxa"/>
              <w:left w:w="140" w:type="dxa"/>
              <w:bottom w:w="100" w:type="dxa"/>
              <w:right w:w="140" w:type="dxa"/>
            </w:tcMar>
          </w:tcPr>
          <w:p w14:paraId="4582FFBB" w14:textId="77777777" w:rsidR="00C226FF" w:rsidRDefault="0055692E">
            <w:r>
              <w:rPr>
                <w:sz w:val="20"/>
                <w:szCs w:val="20"/>
              </w:rPr>
              <w:t>Commission Summary and Overview Reports</w:t>
            </w:r>
          </w:p>
        </w:tc>
      </w:tr>
      <w:tr w:rsidR="00C226FF" w14:paraId="4582FFC0" w14:textId="77777777">
        <w:tc>
          <w:tcPr>
            <w:tcW w:w="1000" w:type="pct"/>
            <w:shd w:val="clear" w:color="auto" w:fill="EAF0F9"/>
            <w:tcMar>
              <w:top w:w="100" w:type="dxa"/>
              <w:left w:w="140" w:type="dxa"/>
              <w:bottom w:w="100" w:type="dxa"/>
              <w:right w:w="140" w:type="dxa"/>
            </w:tcMar>
          </w:tcPr>
          <w:p w14:paraId="4582FFBD" w14:textId="77777777" w:rsidR="00C226FF" w:rsidRDefault="0055692E">
            <w:r>
              <w:rPr>
                <w:sz w:val="20"/>
                <w:szCs w:val="20"/>
              </w:rPr>
              <w:t>Customer Support</w:t>
            </w:r>
          </w:p>
        </w:tc>
        <w:tc>
          <w:tcPr>
            <w:tcW w:w="2500" w:type="pct"/>
            <w:shd w:val="clear" w:color="auto" w:fill="EAF0F9"/>
            <w:tcMar>
              <w:top w:w="100" w:type="dxa"/>
              <w:left w:w="140" w:type="dxa"/>
              <w:bottom w:w="100" w:type="dxa"/>
              <w:right w:w="140" w:type="dxa"/>
            </w:tcMar>
          </w:tcPr>
          <w:p w14:paraId="4582FFBE" w14:textId="77777777" w:rsidR="00C226FF" w:rsidRDefault="0055692E">
            <w:r>
              <w:rPr>
                <w:sz w:val="20"/>
                <w:szCs w:val="20"/>
              </w:rPr>
              <w:t>New/Open/Closed Cases, New/Open/Closed Issues, Cases Escalated</w:t>
            </w:r>
          </w:p>
        </w:tc>
        <w:tc>
          <w:tcPr>
            <w:tcW w:w="1500" w:type="pct"/>
            <w:shd w:val="clear" w:color="auto" w:fill="EAF0F9"/>
            <w:tcMar>
              <w:top w:w="100" w:type="dxa"/>
              <w:left w:w="140" w:type="dxa"/>
              <w:bottom w:w="100" w:type="dxa"/>
              <w:right w:w="140" w:type="dxa"/>
            </w:tcMar>
          </w:tcPr>
          <w:p w14:paraId="4582FFBF" w14:textId="77777777" w:rsidR="00C226FF" w:rsidRDefault="0055692E">
            <w:r>
              <w:rPr>
                <w:sz w:val="20"/>
                <w:szCs w:val="20"/>
              </w:rPr>
              <w:t>Cases and Issues Snapshot Reports</w:t>
            </w:r>
          </w:p>
        </w:tc>
      </w:tr>
      <w:tr w:rsidR="00C226FF" w14:paraId="4582FFC4" w14:textId="77777777">
        <w:tc>
          <w:tcPr>
            <w:tcW w:w="1000" w:type="pct"/>
            <w:shd w:val="clear" w:color="auto" w:fill="FFFFFF"/>
            <w:tcMar>
              <w:top w:w="100" w:type="dxa"/>
              <w:left w:w="140" w:type="dxa"/>
              <w:bottom w:w="100" w:type="dxa"/>
              <w:right w:w="140" w:type="dxa"/>
            </w:tcMar>
          </w:tcPr>
          <w:p w14:paraId="4582FFC1" w14:textId="77777777" w:rsidR="00C226FF" w:rsidRDefault="0055692E">
            <w:r>
              <w:rPr>
                <w:sz w:val="20"/>
                <w:szCs w:val="20"/>
              </w:rPr>
              <w:t>CRM / Leads</w:t>
            </w:r>
          </w:p>
        </w:tc>
        <w:tc>
          <w:tcPr>
            <w:tcW w:w="2500" w:type="pct"/>
            <w:shd w:val="clear" w:color="auto" w:fill="FFFFFF"/>
            <w:tcMar>
              <w:top w:w="100" w:type="dxa"/>
              <w:left w:w="140" w:type="dxa"/>
              <w:bottom w:w="100" w:type="dxa"/>
              <w:right w:w="140" w:type="dxa"/>
            </w:tcMar>
          </w:tcPr>
          <w:p w14:paraId="4582FFC2" w14:textId="77777777" w:rsidR="00C226FF" w:rsidRDefault="0055692E">
            <w:r>
              <w:rPr>
                <w:sz w:val="20"/>
                <w:szCs w:val="20"/>
              </w:rPr>
              <w:t>New Leads, Gross New Leads, New Opportunities, Open Opportunities, Opportunities Won/Lost, Open Estimates, Open Quotes</w:t>
            </w:r>
          </w:p>
        </w:tc>
        <w:tc>
          <w:tcPr>
            <w:tcW w:w="1500" w:type="pct"/>
            <w:shd w:val="clear" w:color="auto" w:fill="FFFFFF"/>
            <w:tcMar>
              <w:top w:w="100" w:type="dxa"/>
              <w:left w:w="140" w:type="dxa"/>
              <w:bottom w:w="100" w:type="dxa"/>
              <w:right w:w="140" w:type="dxa"/>
            </w:tcMar>
          </w:tcPr>
          <w:p w14:paraId="4582FFC3" w14:textId="77777777" w:rsidR="00C226FF" w:rsidRDefault="0055692E">
            <w:r>
              <w:rPr>
                <w:sz w:val="20"/>
                <w:szCs w:val="20"/>
              </w:rPr>
              <w:t>Lead Source Analysis, Opportunities to Close, Estimates to Close</w:t>
            </w:r>
          </w:p>
        </w:tc>
      </w:tr>
      <w:tr w:rsidR="00C226FF" w14:paraId="4582FFC8" w14:textId="77777777">
        <w:tc>
          <w:tcPr>
            <w:tcW w:w="1000" w:type="pct"/>
            <w:shd w:val="clear" w:color="auto" w:fill="EAF0F9"/>
            <w:tcMar>
              <w:top w:w="100" w:type="dxa"/>
              <w:left w:w="140" w:type="dxa"/>
              <w:bottom w:w="100" w:type="dxa"/>
              <w:right w:w="140" w:type="dxa"/>
            </w:tcMar>
          </w:tcPr>
          <w:p w14:paraId="4582FFC5" w14:textId="77777777" w:rsidR="00C226FF" w:rsidRDefault="0055692E">
            <w:r>
              <w:rPr>
                <w:sz w:val="20"/>
                <w:szCs w:val="20"/>
              </w:rPr>
              <w:t>Web / Ecommerce</w:t>
            </w:r>
          </w:p>
        </w:tc>
        <w:tc>
          <w:tcPr>
            <w:tcW w:w="2500" w:type="pct"/>
            <w:shd w:val="clear" w:color="auto" w:fill="EAF0F9"/>
            <w:tcMar>
              <w:top w:w="100" w:type="dxa"/>
              <w:left w:w="140" w:type="dxa"/>
              <w:bottom w:w="100" w:type="dxa"/>
              <w:right w:w="140" w:type="dxa"/>
            </w:tcMar>
          </w:tcPr>
          <w:p w14:paraId="4582FFC6" w14:textId="77777777" w:rsidR="00C226FF" w:rsidRDefault="0055692E">
            <w:r>
              <w:rPr>
                <w:sz w:val="20"/>
                <w:szCs w:val="20"/>
              </w:rPr>
              <w:t>Cart Abandonment, Checkout Abandonment, Web Site Hits, Hosted Page Hits, New/Unique Visitors, Web Orders, Web Revenue</w:t>
            </w:r>
          </w:p>
        </w:tc>
        <w:tc>
          <w:tcPr>
            <w:tcW w:w="1500" w:type="pct"/>
            <w:shd w:val="clear" w:color="auto" w:fill="EAF0F9"/>
            <w:tcMar>
              <w:top w:w="100" w:type="dxa"/>
              <w:left w:w="140" w:type="dxa"/>
              <w:bottom w:w="100" w:type="dxa"/>
              <w:right w:w="140" w:type="dxa"/>
            </w:tcMar>
          </w:tcPr>
          <w:p w14:paraId="4582FFC7" w14:textId="77777777" w:rsidR="00C226FF" w:rsidRDefault="0055692E">
            <w:r>
              <w:rPr>
                <w:sz w:val="20"/>
                <w:szCs w:val="20"/>
              </w:rPr>
              <w:t>Shopping Cart Abandonment, Page Hits, Visitor Activity Summary</w:t>
            </w:r>
          </w:p>
        </w:tc>
      </w:tr>
      <w:tr w:rsidR="00C226FF" w14:paraId="4582FFCC" w14:textId="77777777">
        <w:tc>
          <w:tcPr>
            <w:tcW w:w="1000" w:type="pct"/>
            <w:shd w:val="clear" w:color="auto" w:fill="FFFFFF"/>
            <w:tcMar>
              <w:top w:w="100" w:type="dxa"/>
              <w:left w:w="140" w:type="dxa"/>
              <w:bottom w:w="100" w:type="dxa"/>
              <w:right w:w="140" w:type="dxa"/>
            </w:tcMar>
          </w:tcPr>
          <w:p w14:paraId="4582FFC9" w14:textId="77777777" w:rsidR="00C226FF" w:rsidRDefault="0055692E">
            <w:r>
              <w:rPr>
                <w:sz w:val="20"/>
                <w:szCs w:val="20"/>
              </w:rPr>
              <w:t>Customer Dashboard – only</w:t>
            </w:r>
          </w:p>
        </w:tc>
        <w:tc>
          <w:tcPr>
            <w:tcW w:w="2500" w:type="pct"/>
            <w:shd w:val="clear" w:color="auto" w:fill="FFFFFF"/>
            <w:tcMar>
              <w:top w:w="100" w:type="dxa"/>
              <w:left w:w="140" w:type="dxa"/>
              <w:bottom w:w="100" w:type="dxa"/>
              <w:right w:w="140" w:type="dxa"/>
            </w:tcMar>
          </w:tcPr>
          <w:p w14:paraId="4582FFCA" w14:textId="77777777" w:rsidR="00C226FF" w:rsidRDefault="0055692E">
            <w:r>
              <w:rPr>
                <w:sz w:val="20"/>
                <w:szCs w:val="20"/>
              </w:rPr>
              <w:t>Balance, Days Overdue, Average Days Overdue, Overdue Balance, Unbilled Orders, and their Consolidated equivalents (with Consolidated Payments enabled)</w:t>
            </w:r>
          </w:p>
        </w:tc>
        <w:tc>
          <w:tcPr>
            <w:tcW w:w="1500" w:type="pct"/>
            <w:shd w:val="clear" w:color="auto" w:fill="FFFFFF"/>
            <w:tcMar>
              <w:top w:w="100" w:type="dxa"/>
              <w:left w:w="140" w:type="dxa"/>
              <w:bottom w:w="100" w:type="dxa"/>
              <w:right w:w="140" w:type="dxa"/>
            </w:tcMar>
          </w:tcPr>
          <w:p w14:paraId="4582FFCB" w14:textId="77777777" w:rsidR="00C226FF" w:rsidRDefault="0055692E">
            <w:r>
              <w:rPr>
                <w:sz w:val="20"/>
                <w:szCs w:val="20"/>
              </w:rPr>
              <w:t>A/R Aging Detail, Open Sales Orders</w:t>
            </w:r>
          </w:p>
        </w:tc>
      </w:tr>
      <w:tr w:rsidR="00C226FF" w14:paraId="4582FFD0" w14:textId="77777777">
        <w:tc>
          <w:tcPr>
            <w:tcW w:w="1000" w:type="pct"/>
            <w:shd w:val="clear" w:color="auto" w:fill="EAF0F9"/>
            <w:tcMar>
              <w:top w:w="100" w:type="dxa"/>
              <w:left w:w="140" w:type="dxa"/>
              <w:bottom w:w="100" w:type="dxa"/>
              <w:right w:w="140" w:type="dxa"/>
            </w:tcMar>
          </w:tcPr>
          <w:p w14:paraId="4582FFCD" w14:textId="77777777" w:rsidR="00C226FF" w:rsidRDefault="0055692E">
            <w:r>
              <w:rPr>
                <w:sz w:val="20"/>
                <w:szCs w:val="20"/>
              </w:rPr>
              <w:t>HR / Projects</w:t>
            </w:r>
          </w:p>
        </w:tc>
        <w:tc>
          <w:tcPr>
            <w:tcW w:w="2500" w:type="pct"/>
            <w:shd w:val="clear" w:color="auto" w:fill="EAF0F9"/>
            <w:tcMar>
              <w:top w:w="100" w:type="dxa"/>
              <w:left w:w="140" w:type="dxa"/>
              <w:bottom w:w="100" w:type="dxa"/>
              <w:right w:w="140" w:type="dxa"/>
            </w:tcMar>
          </w:tcPr>
          <w:p w14:paraId="4582FFCE" w14:textId="77777777" w:rsidR="00C226FF" w:rsidRDefault="0055692E">
            <w:r>
              <w:rPr>
                <w:sz w:val="20"/>
                <w:szCs w:val="20"/>
              </w:rPr>
              <w:t>Employees, Payroll, Open Projects, Total Backlog (Projects)</w:t>
            </w:r>
          </w:p>
        </w:tc>
        <w:tc>
          <w:tcPr>
            <w:tcW w:w="1500" w:type="pct"/>
            <w:shd w:val="clear" w:color="auto" w:fill="EAF0F9"/>
            <w:tcMar>
              <w:top w:w="100" w:type="dxa"/>
              <w:left w:w="140" w:type="dxa"/>
              <w:bottom w:w="100" w:type="dxa"/>
              <w:right w:w="140" w:type="dxa"/>
            </w:tcMar>
          </w:tcPr>
          <w:p w14:paraId="4582FFCF" w14:textId="77777777" w:rsidR="00C226FF" w:rsidRDefault="0055692E">
            <w:r>
              <w:rPr>
                <w:sz w:val="20"/>
                <w:szCs w:val="20"/>
              </w:rPr>
              <w:t>Payroll Summary, Current Backlog by Resource</w:t>
            </w:r>
          </w:p>
        </w:tc>
      </w:tr>
      <w:tr w:rsidR="00C226FF" w14:paraId="4582FFD4" w14:textId="77777777">
        <w:tc>
          <w:tcPr>
            <w:tcW w:w="1000" w:type="pct"/>
            <w:shd w:val="clear" w:color="auto" w:fill="FFFFFF"/>
            <w:tcMar>
              <w:top w:w="100" w:type="dxa"/>
              <w:left w:w="140" w:type="dxa"/>
              <w:bottom w:w="100" w:type="dxa"/>
              <w:right w:w="140" w:type="dxa"/>
            </w:tcMar>
          </w:tcPr>
          <w:p w14:paraId="4582FFD1" w14:textId="77777777" w:rsidR="00C226FF" w:rsidRDefault="0055692E">
            <w:r>
              <w:rPr>
                <w:sz w:val="20"/>
                <w:szCs w:val="20"/>
              </w:rPr>
              <w:t>Custom KPIs</w:t>
            </w:r>
          </w:p>
        </w:tc>
        <w:tc>
          <w:tcPr>
            <w:tcW w:w="2500" w:type="pct"/>
            <w:shd w:val="clear" w:color="auto" w:fill="FFFFFF"/>
            <w:tcMar>
              <w:top w:w="100" w:type="dxa"/>
              <w:left w:w="140" w:type="dxa"/>
              <w:bottom w:w="100" w:type="dxa"/>
              <w:right w:w="140" w:type="dxa"/>
            </w:tcMar>
          </w:tcPr>
          <w:p w14:paraId="4582FFD2" w14:textId="77777777" w:rsidR="00C226FF" w:rsidRDefault="0055692E">
            <w:r>
              <w:rPr>
                <w:sz w:val="20"/>
                <w:szCs w:val="20"/>
              </w:rPr>
              <w:t>Any saved search meeting the structural rules in Section 4</w:t>
            </w:r>
          </w:p>
        </w:tc>
        <w:tc>
          <w:tcPr>
            <w:tcW w:w="1500" w:type="pct"/>
            <w:shd w:val="clear" w:color="auto" w:fill="FFFFFF"/>
            <w:tcMar>
              <w:top w:w="100" w:type="dxa"/>
              <w:left w:w="140" w:type="dxa"/>
              <w:bottom w:w="100" w:type="dxa"/>
              <w:right w:w="140" w:type="dxa"/>
            </w:tcMar>
          </w:tcPr>
          <w:p w14:paraId="4582FFD3" w14:textId="77777777" w:rsidR="00C226FF" w:rsidRDefault="0055692E">
            <w:r>
              <w:rPr>
                <w:sz w:val="20"/>
                <w:szCs w:val="20"/>
              </w:rPr>
              <w:t>The saved search itself</w:t>
            </w:r>
          </w:p>
        </w:tc>
      </w:tr>
    </w:tbl>
    <w:p w14:paraId="4582FFD5" w14:textId="77777777" w:rsidR="00C226FF" w:rsidRDefault="00C226FF">
      <w:pPr>
        <w:spacing w:after="100"/>
      </w:pPr>
    </w:p>
    <w:p w14:paraId="4582FFD6" w14:textId="77777777" w:rsidR="00C226FF" w:rsidRDefault="0055692E">
      <w:pPr>
        <w:spacing w:after="160" w:line="276" w:lineRule="auto"/>
      </w:pPr>
      <w:r>
        <w:t>A KPI available in the documentation but not visible in your account usually means the related feature is disabled, or the current role does not carry the required permission — check with an administrator before assuming the KPI is unavailable outright.</w:t>
      </w:r>
    </w:p>
    <w:p w14:paraId="4582FFD7" w14:textId="77777777" w:rsidR="00C226FF" w:rsidRDefault="0055692E">
      <w:pPr>
        <w:pStyle w:val="Heading2"/>
        <w:spacing w:before="320" w:after="140"/>
      </w:pPr>
      <w:r>
        <w:rPr>
          <w:b/>
          <w:bCs/>
          <w:color w:val="2E5395"/>
        </w:rPr>
        <w:t>3.3 Highlighting and Threshold-Based Headlines</w:t>
      </w:r>
    </w:p>
    <w:p w14:paraId="4582FFD8" w14:textId="77777777" w:rsidR="00C226FF" w:rsidRDefault="0055692E">
      <w:pPr>
        <w:spacing w:after="160" w:line="276" w:lineRule="auto"/>
      </w:pPr>
      <w:r>
        <w:t>Highlighting calls out a KPI when it crosses a goal so it can be spotted at a glance: for example, flagging a Sales KPI whenever it exceeds a $40,000 monthly target so a manager immediately sees when the team has hit its number. Set this up in the Set Up Key Performance Indicators popup: for each KPI, choose Highlight If greater than or less than, enter a Threshold, and optionally check Headline to promote that KPI to large bold text at the top of the portlet. A highlighted KPI that crosses its threshold renders in bold text; up to 8 KPIs can be shown as headlines at once.</w:t>
      </w:r>
    </w:p>
    <w:p w14:paraId="4582FFD9" w14:textId="77777777" w:rsidR="00C226FF" w:rsidRDefault="0055692E">
      <w:pPr>
        <w:pStyle w:val="Heading2"/>
        <w:spacing w:before="320" w:after="140"/>
      </w:pPr>
      <w:r>
        <w:rPr>
          <w:b/>
          <w:bCs/>
          <w:color w:val="2E5395"/>
        </w:rPr>
        <w:lastRenderedPageBreak/>
        <w:t>3.4 KPI Comparisons</w:t>
      </w:r>
    </w:p>
    <w:p w14:paraId="4582FFDA" w14:textId="77777777" w:rsidR="00C226FF" w:rsidRDefault="0055692E">
      <w:pPr>
        <w:spacing w:after="160" w:line="276" w:lineRule="auto"/>
      </w:pPr>
      <w:r>
        <w:t>A KPI can compare two time periods directly inside the portlet: check Compare for a KPI and choose a Compare Range alongside its primary Range. The portlet then displays the current period’s value, the prior period’s value, and the percentage change, calculated automatically. Setting up a comparison is also what enables the clickable Trend Graph icon for that KPI in the portlet header, which opens a popup trend graph on click.</w:t>
      </w:r>
    </w:p>
    <w:p w14:paraId="4582FFDB" w14:textId="77777777" w:rsidR="00C226FF" w:rsidRDefault="00C226FF">
      <w:pPr>
        <w:spacing w:after="80"/>
      </w:pPr>
    </w:p>
    <w:tbl>
      <w:tblPr>
        <w:tblW w:w="5000" w:type="pct"/>
        <w:tblBorders>
          <w:top w:val="single" w:sz="6" w:space="0" w:color="E8C48A"/>
          <w:left w:val="single" w:sz="6" w:space="0" w:color="E8C48A"/>
          <w:bottom w:val="single" w:sz="6" w:space="0" w:color="E8C48A"/>
          <w:right w:val="single" w:sz="6" w:space="0" w:color="E8C48A"/>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64"/>
      </w:tblGrid>
      <w:tr w:rsidR="00C226FF" w14:paraId="4582FFE0" w14:textId="77777777">
        <w:tc>
          <w:tcPr>
            <w:tcW w:w="100" w:type="dxa"/>
            <w:shd w:val="clear" w:color="auto" w:fill="FFF4E5"/>
            <w:tcMar>
              <w:top w:w="160" w:type="dxa"/>
              <w:left w:w="200" w:type="dxa"/>
              <w:bottom w:w="160" w:type="dxa"/>
              <w:right w:w="200" w:type="dxa"/>
            </w:tcMar>
          </w:tcPr>
          <w:p w14:paraId="4582FFDC" w14:textId="77777777" w:rsidR="00C226FF" w:rsidRDefault="0055692E">
            <w:pPr>
              <w:spacing w:after="100"/>
            </w:pPr>
            <w:r>
              <w:rPr>
                <w:b/>
                <w:bCs/>
                <w:color w:val="1F3864"/>
              </w:rPr>
              <w:t>⚠️ A Custom KPI’s Comparison or Trend Graph Silently Breaks Without the Right Saved Search Shape</w:t>
            </w:r>
          </w:p>
          <w:p w14:paraId="4582FFDD" w14:textId="77777777" w:rsidR="00C226FF" w:rsidRDefault="0055692E">
            <w:pPr>
              <w:pStyle w:val="ListParagraph"/>
              <w:numPr>
                <w:ilvl w:val="0"/>
                <w:numId w:val="2"/>
              </w:numPr>
              <w:spacing w:after="90" w:line="260" w:lineRule="auto"/>
            </w:pPr>
            <w:r>
              <w:rPr>
                <w:sz w:val="21"/>
                <w:szCs w:val="21"/>
              </w:rPr>
              <w:t>If a custom KPI’s comparison, highlighting, or trend graph results don’t look right, the underlying saved search is the first thing to check, not the portlet configuration.</w:t>
            </w:r>
          </w:p>
          <w:p w14:paraId="4582FFDE" w14:textId="77777777" w:rsidR="00C226FF" w:rsidRDefault="0055692E">
            <w:pPr>
              <w:pStyle w:val="ListParagraph"/>
              <w:numPr>
                <w:ilvl w:val="0"/>
                <w:numId w:val="2"/>
              </w:numPr>
              <w:spacing w:after="90" w:line="260" w:lineRule="auto"/>
            </w:pPr>
            <w:r>
              <w:rPr>
                <w:sz w:val="21"/>
                <w:szCs w:val="21"/>
              </w:rPr>
              <w:t>The saved search must not include any date fields as filters on the Criteria subtab, must have exactly one field with a summary type (count, group, or sum) on the Results subtab — with every other Results field carrying no summary type — and must have a date field defined as an Available Filter.</w:t>
            </w:r>
          </w:p>
          <w:p w14:paraId="4582FFDF" w14:textId="77777777" w:rsidR="00C226FF" w:rsidRDefault="0055692E">
            <w:pPr>
              <w:pStyle w:val="ListParagraph"/>
              <w:numPr>
                <w:ilvl w:val="0"/>
                <w:numId w:val="2"/>
              </w:numPr>
              <w:spacing w:line="260" w:lineRule="auto"/>
            </w:pPr>
            <w:r>
              <w:rPr>
                <w:sz w:val="21"/>
                <w:szCs w:val="21"/>
              </w:rPr>
              <w:t>This exact three-part shape is reused, unchanged, across the KPI portlet, KPI Meter, and Trend Graph portlet; Section 6 covers the one documented exception for KPI Scorecards using Periods.</w:t>
            </w:r>
          </w:p>
        </w:tc>
      </w:tr>
    </w:tbl>
    <w:p w14:paraId="4582FFE1" w14:textId="1CA4F5C6" w:rsidR="00C226FF" w:rsidRDefault="0055692E">
      <w:pPr>
        <w:pStyle w:val="Heading1"/>
        <w:pageBreakBefore/>
        <w:spacing w:before="120" w:after="200"/>
      </w:pPr>
      <w:r>
        <w:rPr>
          <w:b/>
          <w:bCs/>
          <w:color w:val="1F3864"/>
        </w:rPr>
        <w:lastRenderedPageBreak/>
        <w:t xml:space="preserve">4. Custom KPIs — Turning Any Saved Search </w:t>
      </w:r>
      <w:r w:rsidR="00E613D9">
        <w:rPr>
          <w:b/>
          <w:bCs/>
          <w:color w:val="1F3864"/>
        </w:rPr>
        <w:t>into</w:t>
      </w:r>
      <w:r>
        <w:rPr>
          <w:b/>
          <w:bCs/>
          <w:color w:val="1F3864"/>
        </w:rPr>
        <w:t xml:space="preserve"> a Metric</w:t>
      </w:r>
    </w:p>
    <w:p w14:paraId="4582FFE2" w14:textId="77777777" w:rsidR="00C226FF" w:rsidRDefault="0055692E">
      <w:pPr>
        <w:pStyle w:val="Heading2"/>
        <w:spacing w:before="320" w:after="140"/>
      </w:pPr>
      <w:r>
        <w:rPr>
          <w:b/>
          <w:bCs/>
          <w:color w:val="2E5395"/>
        </w:rPr>
        <w:t>4.1 What Custom KPIs Solve</w:t>
      </w:r>
    </w:p>
    <w:p w14:paraId="4582FFE3" w14:textId="77777777" w:rsidR="00C226FF" w:rsidRDefault="0055692E">
      <w:pPr>
        <w:spacing w:after="160" w:line="276" w:lineRule="auto"/>
      </w:pPr>
      <w:r>
        <w:t>The 75+ standard KPIs cover NetSuite’s built-in reports, but real dashboards often need a metric that isn’t one of them — a department-specific count, a custom transaction rollup, a metric scoped to a custom record. A Custom KPI closes that gap by using an existing saved search, or a new one built for the purpose, as the KPI’s data source. Up to 10 custom KPIs can be selected for display in a single Key Performance Indicators portlet.</w:t>
      </w:r>
    </w:p>
    <w:p w14:paraId="4582FFE4" w14:textId="77777777" w:rsidR="00C226FF" w:rsidRDefault="0055692E">
      <w:pPr>
        <w:pStyle w:val="Heading2"/>
        <w:spacing w:before="320" w:after="140"/>
      </w:pPr>
      <w:r>
        <w:rPr>
          <w:b/>
          <w:bCs/>
          <w:color w:val="2E5395"/>
        </w:rPr>
        <w:t>4.2 The Structural Requirement — One Rule, Reused Everywhere</w:t>
      </w:r>
    </w:p>
    <w:p w14:paraId="4582FFE5" w14:textId="77777777" w:rsidR="00C226FF" w:rsidRDefault="0055692E">
      <w:pPr>
        <w:spacing w:after="160" w:line="276" w:lineRule="auto"/>
      </w:pPr>
      <w:r>
        <w:t>For a saved search to work as a custom KPI anywhere in the dashboard layer — the KPI portlet, a KPI Scorecard, a Trend Graph, or a KPI Meter — its definition must satisfy all three of the following:</w:t>
      </w:r>
    </w:p>
    <w:p w14:paraId="4582FFE6" w14:textId="77777777" w:rsidR="00C226FF" w:rsidRDefault="0055692E">
      <w:pPr>
        <w:pStyle w:val="ListParagraph"/>
        <w:numPr>
          <w:ilvl w:val="0"/>
          <w:numId w:val="2"/>
        </w:numPr>
        <w:spacing w:after="90" w:line="264" w:lineRule="auto"/>
      </w:pPr>
      <w:r>
        <w:t>Not include any date fields defined as filters on the Criteria subtab.</w:t>
      </w:r>
    </w:p>
    <w:p w14:paraId="4582FFE7" w14:textId="77777777" w:rsidR="00C226FF" w:rsidRDefault="0055692E">
      <w:pPr>
        <w:pStyle w:val="ListParagraph"/>
        <w:numPr>
          <w:ilvl w:val="0"/>
          <w:numId w:val="2"/>
        </w:numPr>
        <w:spacing w:after="90" w:line="264" w:lineRule="auto"/>
      </w:pPr>
      <w:r>
        <w:t>Have exactly one field with a summary type (count, group, or sum) defined on the Results subtab; every other Results field must carry no summary type.</w:t>
      </w:r>
    </w:p>
    <w:p w14:paraId="4582FFE8" w14:textId="77777777" w:rsidR="00C226FF" w:rsidRDefault="0055692E">
      <w:pPr>
        <w:pStyle w:val="ListParagraph"/>
        <w:numPr>
          <w:ilvl w:val="0"/>
          <w:numId w:val="2"/>
        </w:numPr>
        <w:spacing w:after="90" w:line="264" w:lineRule="auto"/>
      </w:pPr>
      <w:r>
        <w:t>Have a date field defined as an available filter on the Available Filters subtab.</w:t>
      </w:r>
    </w:p>
    <w:p w14:paraId="4582FFE9" w14:textId="77777777" w:rsidR="00C226FF" w:rsidRDefault="0055692E">
      <w:pPr>
        <w:spacing w:after="160" w:line="276" w:lineRule="auto"/>
      </w:pPr>
      <w:r>
        <w:t>This is a load-bearing rule for the entire custom KPI system: a search that violates any one of the three either won’t appear as an eligible option, or will appear but return incorrect or blank comparison and trend data.</w:t>
      </w:r>
    </w:p>
    <w:p w14:paraId="4582FFEA" w14:textId="77777777" w:rsidR="00C226FF" w:rsidRDefault="0055692E">
      <w:pPr>
        <w:pStyle w:val="Heading2"/>
        <w:spacing w:before="320" w:after="140"/>
      </w:pPr>
      <w:r>
        <w:rPr>
          <w:b/>
          <w:bCs/>
          <w:color w:val="2E5395"/>
        </w:rPr>
        <w:t>4.3 Where Custom KPIs Can Appear</w:t>
      </w:r>
    </w:p>
    <w:tbl>
      <w:tblPr>
        <w:tblW w:w="5000" w:type="pct"/>
        <w:tblBorders>
          <w:top w:val="single" w:sz="4" w:space="0" w:color="B9C7DE"/>
          <w:left w:val="single" w:sz="4" w:space="0" w:color="B9C7DE"/>
          <w:bottom w:val="single" w:sz="4" w:space="0" w:color="B9C7DE"/>
          <w:right w:val="single" w:sz="4" w:space="0" w:color="B9C7DE"/>
          <w:insideH w:val="single" w:sz="2" w:space="0" w:color="B9C7DE"/>
          <w:insideV w:val="single" w:sz="2" w:space="0" w:color="B9C7DE"/>
        </w:tblBorders>
        <w:tblLayout w:type="fixed"/>
        <w:tblCellMar>
          <w:left w:w="10" w:type="dxa"/>
          <w:right w:w="10" w:type="dxa"/>
        </w:tblCellMar>
        <w:tblLook w:val="04A0" w:firstRow="1" w:lastRow="0" w:firstColumn="1" w:lastColumn="0" w:noHBand="0" w:noVBand="1"/>
      </w:tblPr>
      <w:tblGrid>
        <w:gridCol w:w="2619"/>
        <w:gridCol w:w="2215"/>
        <w:gridCol w:w="5236"/>
      </w:tblGrid>
      <w:tr w:rsidR="00C226FF" w14:paraId="4582FFEE" w14:textId="77777777">
        <w:trPr>
          <w:tblHeader/>
        </w:trPr>
        <w:tc>
          <w:tcPr>
            <w:tcW w:w="1300" w:type="pct"/>
            <w:shd w:val="clear" w:color="auto" w:fill="1F3864"/>
            <w:tcMar>
              <w:top w:w="100" w:type="dxa"/>
              <w:left w:w="140" w:type="dxa"/>
              <w:bottom w:w="100" w:type="dxa"/>
              <w:right w:w="140" w:type="dxa"/>
            </w:tcMar>
            <w:vAlign w:val="center"/>
          </w:tcPr>
          <w:p w14:paraId="4582FFEB" w14:textId="77777777" w:rsidR="00C226FF" w:rsidRDefault="0055692E">
            <w:r>
              <w:rPr>
                <w:b/>
                <w:bCs/>
                <w:color w:val="FFFFFF"/>
                <w:sz w:val="20"/>
                <w:szCs w:val="20"/>
              </w:rPr>
              <w:t>Surface</w:t>
            </w:r>
          </w:p>
        </w:tc>
        <w:tc>
          <w:tcPr>
            <w:tcW w:w="1100" w:type="pct"/>
            <w:shd w:val="clear" w:color="auto" w:fill="1F3864"/>
            <w:tcMar>
              <w:top w:w="100" w:type="dxa"/>
              <w:left w:w="140" w:type="dxa"/>
              <w:bottom w:w="100" w:type="dxa"/>
              <w:right w:w="140" w:type="dxa"/>
            </w:tcMar>
            <w:vAlign w:val="center"/>
          </w:tcPr>
          <w:p w14:paraId="4582FFEC" w14:textId="77777777" w:rsidR="00C226FF" w:rsidRDefault="0055692E">
            <w:r>
              <w:rPr>
                <w:b/>
                <w:bCs/>
                <w:color w:val="FFFFFF"/>
                <w:sz w:val="20"/>
                <w:szCs w:val="20"/>
              </w:rPr>
              <w:t>Custom KPI Limit</w:t>
            </w:r>
          </w:p>
        </w:tc>
        <w:tc>
          <w:tcPr>
            <w:tcW w:w="2600" w:type="pct"/>
            <w:shd w:val="clear" w:color="auto" w:fill="1F3864"/>
            <w:tcMar>
              <w:top w:w="100" w:type="dxa"/>
              <w:left w:w="140" w:type="dxa"/>
              <w:bottom w:w="100" w:type="dxa"/>
              <w:right w:w="140" w:type="dxa"/>
            </w:tcMar>
            <w:vAlign w:val="center"/>
          </w:tcPr>
          <w:p w14:paraId="4582FFED" w14:textId="77777777" w:rsidR="00C226FF" w:rsidRDefault="0055692E">
            <w:r>
              <w:rPr>
                <w:b/>
                <w:bCs/>
                <w:color w:val="FFFFFF"/>
                <w:sz w:val="20"/>
                <w:szCs w:val="20"/>
              </w:rPr>
              <w:t>Notes</w:t>
            </w:r>
          </w:p>
        </w:tc>
      </w:tr>
      <w:tr w:rsidR="00C226FF" w14:paraId="4582FFF2" w14:textId="77777777">
        <w:tc>
          <w:tcPr>
            <w:tcW w:w="1300" w:type="pct"/>
            <w:shd w:val="clear" w:color="auto" w:fill="FFFFFF"/>
            <w:tcMar>
              <w:top w:w="100" w:type="dxa"/>
              <w:left w:w="140" w:type="dxa"/>
              <w:bottom w:w="100" w:type="dxa"/>
              <w:right w:w="140" w:type="dxa"/>
            </w:tcMar>
          </w:tcPr>
          <w:p w14:paraId="4582FFEF" w14:textId="77777777" w:rsidR="00C226FF" w:rsidRDefault="0055692E">
            <w:r>
              <w:rPr>
                <w:sz w:val="20"/>
                <w:szCs w:val="20"/>
              </w:rPr>
              <w:t>Key Performance Indicators portlet</w:t>
            </w:r>
          </w:p>
        </w:tc>
        <w:tc>
          <w:tcPr>
            <w:tcW w:w="1100" w:type="pct"/>
            <w:shd w:val="clear" w:color="auto" w:fill="FFFFFF"/>
            <w:tcMar>
              <w:top w:w="100" w:type="dxa"/>
              <w:left w:w="140" w:type="dxa"/>
              <w:bottom w:w="100" w:type="dxa"/>
              <w:right w:w="140" w:type="dxa"/>
            </w:tcMar>
          </w:tcPr>
          <w:p w14:paraId="4582FFF0" w14:textId="77777777" w:rsidR="00C226FF" w:rsidRDefault="0055692E">
            <w:r>
              <w:rPr>
                <w:sz w:val="20"/>
                <w:szCs w:val="20"/>
              </w:rPr>
              <w:t>Up to 10</w:t>
            </w:r>
          </w:p>
        </w:tc>
        <w:tc>
          <w:tcPr>
            <w:tcW w:w="2600" w:type="pct"/>
            <w:shd w:val="clear" w:color="auto" w:fill="FFFFFF"/>
            <w:tcMar>
              <w:top w:w="100" w:type="dxa"/>
              <w:left w:w="140" w:type="dxa"/>
              <w:bottom w:w="100" w:type="dxa"/>
              <w:right w:w="140" w:type="dxa"/>
            </w:tcMar>
          </w:tcPr>
          <w:p w14:paraId="4582FFF1" w14:textId="77777777" w:rsidR="00C226FF" w:rsidRDefault="0055692E">
            <w:r>
              <w:rPr>
                <w:sz w:val="20"/>
                <w:szCs w:val="20"/>
              </w:rPr>
              <w:t xml:space="preserve">Selected via Add Custom KPIs in the </w:t>
            </w:r>
            <w:proofErr w:type="gramStart"/>
            <w:r>
              <w:rPr>
                <w:sz w:val="20"/>
                <w:szCs w:val="20"/>
              </w:rPr>
              <w:t>Set Up</w:t>
            </w:r>
            <w:proofErr w:type="gramEnd"/>
            <w:r>
              <w:rPr>
                <w:sz w:val="20"/>
                <w:szCs w:val="20"/>
              </w:rPr>
              <w:t xml:space="preserve"> popup; shown with a ‘c’ icon.</w:t>
            </w:r>
          </w:p>
        </w:tc>
      </w:tr>
      <w:tr w:rsidR="00C226FF" w14:paraId="4582FFF6" w14:textId="77777777">
        <w:tc>
          <w:tcPr>
            <w:tcW w:w="1300" w:type="pct"/>
            <w:shd w:val="clear" w:color="auto" w:fill="EAF0F9"/>
            <w:tcMar>
              <w:top w:w="100" w:type="dxa"/>
              <w:left w:w="140" w:type="dxa"/>
              <w:bottom w:w="100" w:type="dxa"/>
              <w:right w:w="140" w:type="dxa"/>
            </w:tcMar>
          </w:tcPr>
          <w:p w14:paraId="4582FFF3" w14:textId="77777777" w:rsidR="00C226FF" w:rsidRDefault="0055692E">
            <w:r>
              <w:rPr>
                <w:sz w:val="20"/>
                <w:szCs w:val="20"/>
              </w:rPr>
              <w:t>KPI Meter portlet</w:t>
            </w:r>
          </w:p>
        </w:tc>
        <w:tc>
          <w:tcPr>
            <w:tcW w:w="1100" w:type="pct"/>
            <w:shd w:val="clear" w:color="auto" w:fill="EAF0F9"/>
            <w:tcMar>
              <w:top w:w="100" w:type="dxa"/>
              <w:left w:w="140" w:type="dxa"/>
              <w:bottom w:w="100" w:type="dxa"/>
              <w:right w:w="140" w:type="dxa"/>
            </w:tcMar>
          </w:tcPr>
          <w:p w14:paraId="4582FFF4" w14:textId="77777777" w:rsidR="00C226FF" w:rsidRDefault="0055692E">
            <w:r>
              <w:rPr>
                <w:sz w:val="20"/>
                <w:szCs w:val="20"/>
              </w:rPr>
              <w:t>Reuses the KPI portlet’s custom KPIs</w:t>
            </w:r>
          </w:p>
        </w:tc>
        <w:tc>
          <w:tcPr>
            <w:tcW w:w="2600" w:type="pct"/>
            <w:shd w:val="clear" w:color="auto" w:fill="EAF0F9"/>
            <w:tcMar>
              <w:top w:w="100" w:type="dxa"/>
              <w:left w:w="140" w:type="dxa"/>
              <w:bottom w:w="100" w:type="dxa"/>
              <w:right w:w="140" w:type="dxa"/>
            </w:tcMar>
          </w:tcPr>
          <w:p w14:paraId="4582FFF5" w14:textId="77777777" w:rsidR="00C226FF" w:rsidRDefault="0055692E">
            <w:r>
              <w:rPr>
                <w:sz w:val="20"/>
                <w:szCs w:val="20"/>
              </w:rPr>
              <w:t>A custom KPI must first be added to the Key Performance Indicators portlet before it can be chosen for a meter.</w:t>
            </w:r>
          </w:p>
        </w:tc>
      </w:tr>
      <w:tr w:rsidR="00C226FF" w14:paraId="4582FFFA" w14:textId="77777777">
        <w:tc>
          <w:tcPr>
            <w:tcW w:w="1300" w:type="pct"/>
            <w:shd w:val="clear" w:color="auto" w:fill="FFFFFF"/>
            <w:tcMar>
              <w:top w:w="100" w:type="dxa"/>
              <w:left w:w="140" w:type="dxa"/>
              <w:bottom w:w="100" w:type="dxa"/>
              <w:right w:w="140" w:type="dxa"/>
            </w:tcMar>
          </w:tcPr>
          <w:p w14:paraId="4582FFF7" w14:textId="77777777" w:rsidR="00C226FF" w:rsidRDefault="0055692E">
            <w:r>
              <w:rPr>
                <w:sz w:val="20"/>
                <w:szCs w:val="20"/>
              </w:rPr>
              <w:t>Trend Graph portlet</w:t>
            </w:r>
          </w:p>
        </w:tc>
        <w:tc>
          <w:tcPr>
            <w:tcW w:w="1100" w:type="pct"/>
            <w:shd w:val="clear" w:color="auto" w:fill="FFFFFF"/>
            <w:tcMar>
              <w:top w:w="100" w:type="dxa"/>
              <w:left w:w="140" w:type="dxa"/>
              <w:bottom w:w="100" w:type="dxa"/>
              <w:right w:w="140" w:type="dxa"/>
            </w:tcMar>
          </w:tcPr>
          <w:p w14:paraId="4582FFF8" w14:textId="77777777" w:rsidR="00C226FF" w:rsidRDefault="0055692E">
            <w:r>
              <w:rPr>
                <w:sz w:val="20"/>
                <w:szCs w:val="20"/>
              </w:rPr>
              <w:t>Same custom KPIs as the KPI portlet on that page</w:t>
            </w:r>
          </w:p>
        </w:tc>
        <w:tc>
          <w:tcPr>
            <w:tcW w:w="2600" w:type="pct"/>
            <w:shd w:val="clear" w:color="auto" w:fill="FFFFFF"/>
            <w:tcMar>
              <w:top w:w="100" w:type="dxa"/>
              <w:left w:w="140" w:type="dxa"/>
              <w:bottom w:w="100" w:type="dxa"/>
              <w:right w:w="140" w:type="dxa"/>
            </w:tcMar>
          </w:tcPr>
          <w:p w14:paraId="4582FFF9" w14:textId="77777777" w:rsidR="00C226FF" w:rsidRDefault="0055692E">
            <w:r>
              <w:rPr>
                <w:sz w:val="20"/>
                <w:szCs w:val="20"/>
              </w:rPr>
              <w:t>Only available on pages that include a Key Performance Indicators portlet; eligible searches appear under Custom KPI #1–10 in the Default Trend Type dropdown.</w:t>
            </w:r>
          </w:p>
        </w:tc>
      </w:tr>
      <w:tr w:rsidR="00C226FF" w14:paraId="4582FFFE" w14:textId="77777777">
        <w:tc>
          <w:tcPr>
            <w:tcW w:w="1300" w:type="pct"/>
            <w:shd w:val="clear" w:color="auto" w:fill="EAF0F9"/>
            <w:tcMar>
              <w:top w:w="100" w:type="dxa"/>
              <w:left w:w="140" w:type="dxa"/>
              <w:bottom w:w="100" w:type="dxa"/>
              <w:right w:w="140" w:type="dxa"/>
            </w:tcMar>
          </w:tcPr>
          <w:p w14:paraId="4582FFFB" w14:textId="77777777" w:rsidR="00C226FF" w:rsidRDefault="0055692E">
            <w:r>
              <w:rPr>
                <w:sz w:val="20"/>
                <w:szCs w:val="20"/>
              </w:rPr>
              <w:t>KPI Scorecard</w:t>
            </w:r>
          </w:p>
        </w:tc>
        <w:tc>
          <w:tcPr>
            <w:tcW w:w="1100" w:type="pct"/>
            <w:shd w:val="clear" w:color="auto" w:fill="EAF0F9"/>
            <w:tcMar>
              <w:top w:w="100" w:type="dxa"/>
              <w:left w:w="140" w:type="dxa"/>
              <w:bottom w:w="100" w:type="dxa"/>
              <w:right w:w="140" w:type="dxa"/>
            </w:tcMar>
          </w:tcPr>
          <w:p w14:paraId="4582FFFC" w14:textId="77777777" w:rsidR="00C226FF" w:rsidRDefault="0055692E">
            <w:r>
              <w:rPr>
                <w:sz w:val="20"/>
                <w:szCs w:val="20"/>
              </w:rPr>
              <w:t>Up to 10, defined independently</w:t>
            </w:r>
          </w:p>
        </w:tc>
        <w:tc>
          <w:tcPr>
            <w:tcW w:w="2600" w:type="pct"/>
            <w:shd w:val="clear" w:color="auto" w:fill="EAF0F9"/>
            <w:tcMar>
              <w:top w:w="100" w:type="dxa"/>
              <w:left w:w="140" w:type="dxa"/>
              <w:bottom w:w="100" w:type="dxa"/>
              <w:right w:w="140" w:type="dxa"/>
            </w:tcMar>
          </w:tcPr>
          <w:p w14:paraId="4582FFFD" w14:textId="77777777" w:rsidR="00C226FF" w:rsidRDefault="0055692E">
            <w:r>
              <w:rPr>
                <w:sz w:val="20"/>
                <w:szCs w:val="20"/>
              </w:rPr>
              <w:t>Defined on the scorecard’s own Custom subtab, entirely separate from the KPI portlet’s custom KPI selections.</w:t>
            </w:r>
          </w:p>
        </w:tc>
      </w:tr>
    </w:tbl>
    <w:p w14:paraId="4582FFFF" w14:textId="77777777" w:rsidR="00C226FF" w:rsidRDefault="00C226FF">
      <w:pPr>
        <w:spacing w:after="100"/>
      </w:pPr>
    </w:p>
    <w:tbl>
      <w:tblPr>
        <w:tblW w:w="5000" w:type="pct"/>
        <w:tblBorders>
          <w:top w:val="single" w:sz="6" w:space="0" w:color="C9D6EA"/>
          <w:left w:val="single" w:sz="6" w:space="0" w:color="C9D6EA"/>
          <w:bottom w:val="single" w:sz="6" w:space="0" w:color="C9D6EA"/>
          <w:right w:val="single" w:sz="6" w:space="0" w:color="C9D6EA"/>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64"/>
      </w:tblGrid>
      <w:tr w:rsidR="00C226FF" w14:paraId="45830003" w14:textId="77777777">
        <w:tc>
          <w:tcPr>
            <w:tcW w:w="100" w:type="dxa"/>
            <w:shd w:val="clear" w:color="auto" w:fill="F5F7FB"/>
            <w:tcMar>
              <w:top w:w="160" w:type="dxa"/>
              <w:left w:w="200" w:type="dxa"/>
              <w:bottom w:w="160" w:type="dxa"/>
              <w:right w:w="200" w:type="dxa"/>
            </w:tcMar>
          </w:tcPr>
          <w:p w14:paraId="45830000" w14:textId="77777777" w:rsidR="00C226FF" w:rsidRDefault="0055692E">
            <w:pPr>
              <w:spacing w:after="100"/>
            </w:pPr>
            <w:r>
              <w:rPr>
                <w:b/>
                <w:bCs/>
                <w:color w:val="1F3864"/>
              </w:rPr>
              <w:t>📌 Custom KPI Definitions Are Independent Per Surface</w:t>
            </w:r>
          </w:p>
          <w:p w14:paraId="45830001" w14:textId="77777777" w:rsidR="00C226FF" w:rsidRDefault="0055692E">
            <w:pPr>
              <w:pStyle w:val="ListParagraph"/>
              <w:numPr>
                <w:ilvl w:val="0"/>
                <w:numId w:val="2"/>
              </w:numPr>
              <w:spacing w:after="90" w:line="260" w:lineRule="auto"/>
            </w:pPr>
            <w:r>
              <w:rPr>
                <w:sz w:val="21"/>
                <w:szCs w:val="21"/>
              </w:rPr>
              <w:t>The custom KPI definitions used by the Key Performance Indicators portlet, Trend Graph portlets, and each individual KPI Scorecard are independent of each other, even when they reference the same saved search.</w:t>
            </w:r>
          </w:p>
          <w:p w14:paraId="45830002" w14:textId="77777777" w:rsidR="00C226FF" w:rsidRDefault="0055692E">
            <w:pPr>
              <w:pStyle w:val="ListParagraph"/>
              <w:numPr>
                <w:ilvl w:val="0"/>
                <w:numId w:val="2"/>
              </w:numPr>
              <w:spacing w:line="260" w:lineRule="auto"/>
            </w:pPr>
            <w:r>
              <w:rPr>
                <w:sz w:val="21"/>
                <w:szCs w:val="21"/>
              </w:rPr>
              <w:t>Editing which saved search backs “Custom KPI #3” in the dashboard portlet does not change what a KPI Scorecard’s Custom subtab has mapped to its own custom KPI slots — each has to be reconfigured on its own surface.</w:t>
            </w:r>
          </w:p>
        </w:tc>
      </w:tr>
    </w:tbl>
    <w:p w14:paraId="45830004" w14:textId="77777777" w:rsidR="00C226FF" w:rsidRDefault="0055692E">
      <w:pPr>
        <w:pStyle w:val="Heading1"/>
        <w:pageBreakBefore/>
        <w:spacing w:before="120" w:after="200"/>
      </w:pPr>
      <w:r>
        <w:rPr>
          <w:b/>
          <w:bCs/>
          <w:color w:val="1F3864"/>
        </w:rPr>
        <w:lastRenderedPageBreak/>
        <w:t>5. KPI Meters and Trend Graphs</w:t>
      </w:r>
    </w:p>
    <w:p w14:paraId="45830005" w14:textId="77777777" w:rsidR="00C226FF" w:rsidRDefault="0055692E">
      <w:pPr>
        <w:pStyle w:val="Heading2"/>
        <w:spacing w:before="320" w:after="140"/>
      </w:pPr>
      <w:r>
        <w:rPr>
          <w:b/>
          <w:bCs/>
          <w:color w:val="2E5395"/>
        </w:rPr>
        <w:t>5.1 KPI Meters</w:t>
      </w:r>
    </w:p>
    <w:p w14:paraId="45830006" w14:textId="77777777" w:rsidR="00C226FF" w:rsidRDefault="0055692E">
      <w:pPr>
        <w:spacing w:after="160" w:line="276" w:lineRule="auto"/>
      </w:pPr>
      <w:r>
        <w:t>A KPI Meter portlet visually represents one KPI as a semi-circular gauge, including the currency symbol where the value is a currency amount. Up to 3 KPI Meter portlets can be added to a dashboard. Meter choices are limited to whatever KPIs are already displayed in that dashboard’s Key Performance Indicators portlet, plus four special ratio KPIs available only to meters:</w:t>
      </w:r>
    </w:p>
    <w:tbl>
      <w:tblPr>
        <w:tblW w:w="5000" w:type="pct"/>
        <w:tblBorders>
          <w:top w:val="single" w:sz="4" w:space="0" w:color="B9C7DE"/>
          <w:left w:val="single" w:sz="4" w:space="0" w:color="B9C7DE"/>
          <w:bottom w:val="single" w:sz="4" w:space="0" w:color="B9C7DE"/>
          <w:right w:val="single" w:sz="4" w:space="0" w:color="B9C7DE"/>
          <w:insideH w:val="single" w:sz="2" w:space="0" w:color="B9C7DE"/>
          <w:insideV w:val="single" w:sz="2" w:space="0" w:color="B9C7DE"/>
        </w:tblBorders>
        <w:tblLayout w:type="fixed"/>
        <w:tblCellMar>
          <w:left w:w="10" w:type="dxa"/>
          <w:right w:w="10" w:type="dxa"/>
        </w:tblCellMar>
        <w:tblLook w:val="04A0" w:firstRow="1" w:lastRow="0" w:firstColumn="1" w:lastColumn="0" w:noHBand="0" w:noVBand="1"/>
      </w:tblPr>
      <w:tblGrid>
        <w:gridCol w:w="3827"/>
        <w:gridCol w:w="6243"/>
      </w:tblGrid>
      <w:tr w:rsidR="00C226FF" w14:paraId="45830009" w14:textId="77777777">
        <w:trPr>
          <w:tblHeader/>
        </w:trPr>
        <w:tc>
          <w:tcPr>
            <w:tcW w:w="1900" w:type="pct"/>
            <w:shd w:val="clear" w:color="auto" w:fill="1F3864"/>
            <w:tcMar>
              <w:top w:w="100" w:type="dxa"/>
              <w:left w:w="140" w:type="dxa"/>
              <w:bottom w:w="100" w:type="dxa"/>
              <w:right w:w="140" w:type="dxa"/>
            </w:tcMar>
            <w:vAlign w:val="center"/>
          </w:tcPr>
          <w:p w14:paraId="45830007" w14:textId="77777777" w:rsidR="00C226FF" w:rsidRDefault="0055692E">
            <w:r>
              <w:rPr>
                <w:b/>
                <w:bCs/>
                <w:color w:val="FFFFFF"/>
                <w:sz w:val="20"/>
                <w:szCs w:val="20"/>
              </w:rPr>
              <w:t>Meter Option</w:t>
            </w:r>
          </w:p>
        </w:tc>
        <w:tc>
          <w:tcPr>
            <w:tcW w:w="3100" w:type="pct"/>
            <w:shd w:val="clear" w:color="auto" w:fill="1F3864"/>
            <w:tcMar>
              <w:top w:w="100" w:type="dxa"/>
              <w:left w:w="140" w:type="dxa"/>
              <w:bottom w:w="100" w:type="dxa"/>
              <w:right w:w="140" w:type="dxa"/>
            </w:tcMar>
            <w:vAlign w:val="center"/>
          </w:tcPr>
          <w:p w14:paraId="45830008" w14:textId="77777777" w:rsidR="00C226FF" w:rsidRDefault="0055692E">
            <w:r>
              <w:rPr>
                <w:b/>
                <w:bCs/>
                <w:color w:val="FFFFFF"/>
                <w:sz w:val="20"/>
                <w:szCs w:val="20"/>
              </w:rPr>
              <w:t>KPIs That Must Be in the KPI Portlet First</w:t>
            </w:r>
          </w:p>
        </w:tc>
      </w:tr>
      <w:tr w:rsidR="00C226FF" w14:paraId="4583000C" w14:textId="77777777">
        <w:tc>
          <w:tcPr>
            <w:tcW w:w="1900" w:type="pct"/>
            <w:shd w:val="clear" w:color="auto" w:fill="FFFFFF"/>
            <w:tcMar>
              <w:top w:w="100" w:type="dxa"/>
              <w:left w:w="140" w:type="dxa"/>
              <w:bottom w:w="100" w:type="dxa"/>
              <w:right w:w="140" w:type="dxa"/>
            </w:tcMar>
          </w:tcPr>
          <w:p w14:paraId="4583000A" w14:textId="77777777" w:rsidR="00C226FF" w:rsidRDefault="0055692E">
            <w:r>
              <w:rPr>
                <w:sz w:val="20"/>
                <w:szCs w:val="20"/>
              </w:rPr>
              <w:t>Actual vs. Forecast</w:t>
            </w:r>
          </w:p>
        </w:tc>
        <w:tc>
          <w:tcPr>
            <w:tcW w:w="3100" w:type="pct"/>
            <w:shd w:val="clear" w:color="auto" w:fill="FFFFFF"/>
            <w:tcMar>
              <w:top w:w="100" w:type="dxa"/>
              <w:left w:w="140" w:type="dxa"/>
              <w:bottom w:w="100" w:type="dxa"/>
              <w:right w:w="140" w:type="dxa"/>
            </w:tcMar>
          </w:tcPr>
          <w:p w14:paraId="4583000B" w14:textId="77777777" w:rsidR="00C226FF" w:rsidRDefault="0055692E">
            <w:r>
              <w:rPr>
                <w:sz w:val="20"/>
                <w:szCs w:val="20"/>
              </w:rPr>
              <w:t>Sales, Forecast (Alt. Sales)</w:t>
            </w:r>
          </w:p>
        </w:tc>
      </w:tr>
      <w:tr w:rsidR="00C226FF" w14:paraId="4583000F" w14:textId="77777777">
        <w:tc>
          <w:tcPr>
            <w:tcW w:w="1900" w:type="pct"/>
            <w:shd w:val="clear" w:color="auto" w:fill="EAF0F9"/>
            <w:tcMar>
              <w:top w:w="100" w:type="dxa"/>
              <w:left w:w="140" w:type="dxa"/>
              <w:bottom w:w="100" w:type="dxa"/>
              <w:right w:w="140" w:type="dxa"/>
            </w:tcMar>
          </w:tcPr>
          <w:p w14:paraId="4583000D" w14:textId="77777777" w:rsidR="00C226FF" w:rsidRDefault="0055692E">
            <w:r>
              <w:rPr>
                <w:sz w:val="20"/>
                <w:szCs w:val="20"/>
              </w:rPr>
              <w:t>Actual vs. Quota</w:t>
            </w:r>
          </w:p>
        </w:tc>
        <w:tc>
          <w:tcPr>
            <w:tcW w:w="3100" w:type="pct"/>
            <w:shd w:val="clear" w:color="auto" w:fill="EAF0F9"/>
            <w:tcMar>
              <w:top w:w="100" w:type="dxa"/>
              <w:left w:w="140" w:type="dxa"/>
              <w:bottom w:w="100" w:type="dxa"/>
              <w:right w:w="140" w:type="dxa"/>
            </w:tcMar>
          </w:tcPr>
          <w:p w14:paraId="4583000E" w14:textId="77777777" w:rsidR="00C226FF" w:rsidRDefault="0055692E">
            <w:r>
              <w:rPr>
                <w:sz w:val="20"/>
                <w:szCs w:val="20"/>
              </w:rPr>
              <w:t>Sales, Quota</w:t>
            </w:r>
          </w:p>
        </w:tc>
      </w:tr>
      <w:tr w:rsidR="00C226FF" w14:paraId="45830012" w14:textId="77777777">
        <w:tc>
          <w:tcPr>
            <w:tcW w:w="1900" w:type="pct"/>
            <w:shd w:val="clear" w:color="auto" w:fill="FFFFFF"/>
            <w:tcMar>
              <w:top w:w="100" w:type="dxa"/>
              <w:left w:w="140" w:type="dxa"/>
              <w:bottom w:w="100" w:type="dxa"/>
              <w:right w:w="140" w:type="dxa"/>
            </w:tcMar>
          </w:tcPr>
          <w:p w14:paraId="45830010" w14:textId="77777777" w:rsidR="00C226FF" w:rsidRDefault="0055692E">
            <w:r>
              <w:rPr>
                <w:sz w:val="20"/>
                <w:szCs w:val="20"/>
              </w:rPr>
              <w:t>Forecast vs. Quota</w:t>
            </w:r>
          </w:p>
        </w:tc>
        <w:tc>
          <w:tcPr>
            <w:tcW w:w="3100" w:type="pct"/>
            <w:shd w:val="clear" w:color="auto" w:fill="FFFFFF"/>
            <w:tcMar>
              <w:top w:w="100" w:type="dxa"/>
              <w:left w:w="140" w:type="dxa"/>
              <w:bottom w:w="100" w:type="dxa"/>
              <w:right w:w="140" w:type="dxa"/>
            </w:tcMar>
          </w:tcPr>
          <w:p w14:paraId="45830011" w14:textId="77777777" w:rsidR="00C226FF" w:rsidRDefault="0055692E">
            <w:r>
              <w:rPr>
                <w:sz w:val="20"/>
                <w:szCs w:val="20"/>
              </w:rPr>
              <w:t>Forecast (Alt. Sales), Quota</w:t>
            </w:r>
          </w:p>
        </w:tc>
      </w:tr>
      <w:tr w:rsidR="00C226FF" w14:paraId="45830015" w14:textId="77777777">
        <w:tc>
          <w:tcPr>
            <w:tcW w:w="1900" w:type="pct"/>
            <w:shd w:val="clear" w:color="auto" w:fill="EAF0F9"/>
            <w:tcMar>
              <w:top w:w="100" w:type="dxa"/>
              <w:left w:w="140" w:type="dxa"/>
              <w:bottom w:w="100" w:type="dxa"/>
              <w:right w:w="140" w:type="dxa"/>
            </w:tcMar>
          </w:tcPr>
          <w:p w14:paraId="45830013" w14:textId="77777777" w:rsidR="00C226FF" w:rsidRDefault="0055692E">
            <w:r>
              <w:rPr>
                <w:sz w:val="20"/>
                <w:szCs w:val="20"/>
              </w:rPr>
              <w:t>Forecast vs. Quota (Alt. Sales)</w:t>
            </w:r>
          </w:p>
        </w:tc>
        <w:tc>
          <w:tcPr>
            <w:tcW w:w="3100" w:type="pct"/>
            <w:shd w:val="clear" w:color="auto" w:fill="EAF0F9"/>
            <w:tcMar>
              <w:top w:w="100" w:type="dxa"/>
              <w:left w:w="140" w:type="dxa"/>
              <w:bottom w:w="100" w:type="dxa"/>
              <w:right w:w="140" w:type="dxa"/>
            </w:tcMar>
          </w:tcPr>
          <w:p w14:paraId="45830014" w14:textId="77777777" w:rsidR="00C226FF" w:rsidRDefault="0055692E">
            <w:r>
              <w:rPr>
                <w:sz w:val="20"/>
                <w:szCs w:val="20"/>
              </w:rPr>
              <w:t>Forecast (Alt. Sales), Quota (Alt. Sales)</w:t>
            </w:r>
          </w:p>
        </w:tc>
      </w:tr>
    </w:tbl>
    <w:p w14:paraId="45830016" w14:textId="77777777" w:rsidR="00C226FF" w:rsidRDefault="00C226FF">
      <w:pPr>
        <w:spacing w:after="100"/>
      </w:pPr>
    </w:p>
    <w:p w14:paraId="45830017" w14:textId="77777777" w:rsidR="00C226FF" w:rsidRDefault="0055692E">
      <w:pPr>
        <w:spacing w:after="160" w:line="276" w:lineRule="auto"/>
      </w:pPr>
      <w:r>
        <w:t>To set one up: confirm the target KPI is listed in the Key Performance Indicators portlet (adding it via Set Up if not), add a KPI Meter from Personalize Dashboard, then select the KPI from the meter’s own dropdown — by default it shows whichever KPI is listed first in the KPI portlet. Comparison and threshold settings stay synchronized between the meter and the KPI portlet by default, but the meter’s own Set Up popup can override that so, for example, a comparison shows in the KPI portlet but not in the meter.</w:t>
      </w:r>
    </w:p>
    <w:p w14:paraId="45830018" w14:textId="77777777" w:rsidR="00C226FF" w:rsidRDefault="0055692E">
      <w:pPr>
        <w:spacing w:after="160" w:line="276" w:lineRule="auto"/>
      </w:pPr>
      <w:r>
        <w:t>For a custom KPI in a meter to return correct results, its saved search must satisfy the same three-part shape from Section 4.2. The meter’s displayed maximum is a visual scaling choice, not the threshold value itself — for positive numbers the gauge’s max is set higher than the threshold, and for negative numbers, lower.</w:t>
      </w:r>
    </w:p>
    <w:p w14:paraId="45830019" w14:textId="77777777" w:rsidR="00C226FF" w:rsidRDefault="0055692E">
      <w:pPr>
        <w:pStyle w:val="Heading2"/>
        <w:spacing w:before="320" w:after="140"/>
      </w:pPr>
      <w:r>
        <w:rPr>
          <w:b/>
          <w:bCs/>
          <w:color w:val="2E5395"/>
        </w:rPr>
        <w:t>5.2 Trend Graphs</w:t>
      </w:r>
    </w:p>
    <w:p w14:paraId="4583001A" w14:textId="77777777" w:rsidR="00C226FF" w:rsidRDefault="0055692E">
      <w:pPr>
        <w:spacing w:after="160" w:line="276" w:lineRule="auto"/>
      </w:pPr>
      <w:r>
        <w:t>Trend graphs illustrate how up to 3 KPIs change over time, in Area, Line, Bar, or Column chart form, with continuous or side-by-side comparison layouts selectable by clicking thumbnails. They appear in two places: popup trend graphs, launched from a Trend Graph icon in the KPI portlet or KPI Scorecard portlet, and Trend Graph portlets, added directly to a dashboard (up to 5 per dashboard). Both support printing, downloading to PNG, JPG, PDF, or SVG, and exporting the underlying data to CSV.</w:t>
      </w:r>
    </w:p>
    <w:p w14:paraId="4583001B" w14:textId="77777777" w:rsidR="00C226FF" w:rsidRDefault="0055692E">
      <w:pPr>
        <w:pStyle w:val="ListParagraph"/>
        <w:numPr>
          <w:ilvl w:val="0"/>
          <w:numId w:val="2"/>
        </w:numPr>
        <w:spacing w:after="90" w:line="264" w:lineRule="auto"/>
      </w:pPr>
      <w:r>
        <w:t>Popup trend graphs: enabled for a KPI portlet KPI once a time-based comparison (Section 3.4) is configured for it. In a KPI Scorecard, the icon is typically enabled when KPIs are oriented on the left; with Date Ranges on the left, the Show Trend Graph Icon box must be checked in the scorecard portlet’s Set Up popup instead.</w:t>
      </w:r>
    </w:p>
    <w:p w14:paraId="4583001C" w14:textId="77777777" w:rsidR="00C226FF" w:rsidRDefault="0055692E">
      <w:pPr>
        <w:pStyle w:val="ListParagraph"/>
        <w:numPr>
          <w:ilvl w:val="0"/>
          <w:numId w:val="2"/>
        </w:numPr>
        <w:spacing w:after="90" w:line="264" w:lineRule="auto"/>
      </w:pPr>
      <w:r>
        <w:t>Trend Graph portlets: added from the Personalize Dashboard panel; each has its own Set Up link for display options, and is only available on pages that already include a Key Performance Indicators portlet when displaying a custom KPI.</w:t>
      </w:r>
    </w:p>
    <w:p w14:paraId="4583001D" w14:textId="77777777" w:rsidR="00C226FF" w:rsidRDefault="0055692E">
      <w:pPr>
        <w:pStyle w:val="ListParagraph"/>
        <w:numPr>
          <w:ilvl w:val="0"/>
          <w:numId w:val="2"/>
        </w:numPr>
        <w:spacing w:after="90" w:line="264" w:lineRule="auto"/>
      </w:pPr>
      <w:r>
        <w:t>Custom KPI trend data: eligible only when the underlying saved search meets the same three-part structural shape as Section 4.2 — when it does, the search appears under the Custom KPI #1–10 entries in the Default Trend Type dropdown.</w:t>
      </w:r>
    </w:p>
    <w:p w14:paraId="4583001E" w14:textId="77777777" w:rsidR="00C226FF" w:rsidRDefault="0055692E">
      <w:pPr>
        <w:pStyle w:val="Heading1"/>
        <w:pageBreakBefore/>
        <w:spacing w:before="120" w:after="200"/>
      </w:pPr>
      <w:r>
        <w:rPr>
          <w:b/>
          <w:bCs/>
          <w:color w:val="1F3864"/>
        </w:rPr>
        <w:lastRenderedPageBreak/>
        <w:t>6. KPI Scorecards — Multi-KPI, Multi-Period Comparison Engine</w:t>
      </w:r>
    </w:p>
    <w:p w14:paraId="4583001F" w14:textId="77777777" w:rsidR="00C226FF" w:rsidRDefault="0055692E">
      <w:pPr>
        <w:spacing w:after="160" w:line="276" w:lineRule="auto"/>
      </w:pPr>
      <w:r>
        <w:t>KPI Scorecards go further than the KPI portlet: a scorecard can compare multiple KPIs across multiple date ranges or accounting periods at once, mix in Excel-like formulas that combine KPIs and functions, and orient the whole matrix horizontally or vertically.</w:t>
      </w:r>
    </w:p>
    <w:p w14:paraId="45830020" w14:textId="77777777" w:rsidR="00C226FF" w:rsidRDefault="0055692E">
      <w:pPr>
        <w:pStyle w:val="Heading2"/>
        <w:spacing w:before="320" w:after="140"/>
      </w:pPr>
      <w:r>
        <w:rPr>
          <w:b/>
          <w:bCs/>
          <w:color w:val="2E5395"/>
        </w:rPr>
        <w:t>6.1 Enabling the Feature</w:t>
      </w:r>
    </w:p>
    <w:p w14:paraId="45830021" w14:textId="77777777" w:rsidR="00C226FF" w:rsidRDefault="0055692E">
      <w:pPr>
        <w:spacing w:after="160" w:line="276" w:lineRule="auto"/>
      </w:pPr>
      <w:r>
        <w:t>Go to Setup &gt; Company &gt; Enable Features, open the Analytics subtab, check KPI Scorecards, and click Save. If Enable Features isn’t visible on the Setup tab, the current role lacks the Administrator role or the Enable Features permission needed to turn it on. Once enabled, users with the KPI Scorecards permission can create scorecards, and any user can add a KPI Scorecard portlet to display an existing one.</w:t>
      </w:r>
    </w:p>
    <w:p w14:paraId="45830022" w14:textId="77777777" w:rsidR="00C226FF" w:rsidRDefault="0055692E">
      <w:pPr>
        <w:pStyle w:val="Heading2"/>
        <w:spacing w:before="320" w:after="140"/>
      </w:pPr>
      <w:r>
        <w:rPr>
          <w:b/>
          <w:bCs/>
          <w:color w:val="2E5395"/>
        </w:rPr>
        <w:t>6.2 Creating a Scorecard</w:t>
      </w:r>
    </w:p>
    <w:p w14:paraId="45830023" w14:textId="77777777" w:rsidR="00C226FF" w:rsidRDefault="0055692E">
      <w:pPr>
        <w:spacing w:after="160" w:line="276" w:lineRule="auto"/>
      </w:pPr>
      <w:r>
        <w:t>Go to Customization &gt; Centers and Tabs &gt; KPI Scorecards &gt; New. If that menu path isn’t available, the feature isn’t enabled (Section 6.1) or the role lacks the KPI Scorecards permission.</w:t>
      </w:r>
    </w:p>
    <w:p w14:paraId="45830024" w14:textId="77777777" w:rsidR="00C226FF" w:rsidRDefault="0055692E">
      <w:pPr>
        <w:pStyle w:val="ListParagraph"/>
        <w:numPr>
          <w:ilvl w:val="0"/>
          <w:numId w:val="3"/>
        </w:numPr>
        <w:spacing w:after="100" w:line="264" w:lineRule="auto"/>
      </w:pPr>
      <w:r>
        <w:t>Enter basic scorecard information at the top of the page (name and general settings, including whether the scorecard uses date ranges or accounting Periods).</w:t>
      </w:r>
    </w:p>
    <w:p w14:paraId="45830025" w14:textId="77777777" w:rsidR="00C226FF" w:rsidRDefault="0055692E">
      <w:pPr>
        <w:pStyle w:val="ListParagraph"/>
        <w:numPr>
          <w:ilvl w:val="0"/>
          <w:numId w:val="3"/>
        </w:numPr>
        <w:spacing w:after="100" w:line="264" w:lineRule="auto"/>
      </w:pPr>
      <w:r>
        <w:t>On the KPIs subtab of the Content subtab, add KPIs and their comparisons, and add formulas with their expressions — KPIs and formulas are intermixed on the same subtab (Sections 6.3 and 6.4).</w:t>
      </w:r>
    </w:p>
    <w:p w14:paraId="45830026" w14:textId="77777777" w:rsidR="00C226FF" w:rsidRDefault="0055692E">
      <w:pPr>
        <w:pStyle w:val="ListParagraph"/>
        <w:numPr>
          <w:ilvl w:val="0"/>
          <w:numId w:val="3"/>
        </w:numPr>
        <w:spacing w:after="100" w:line="264" w:lineRule="auto"/>
      </w:pPr>
      <w:r>
        <w:t>If any custom KPIs are used, define their underlying saved searches on the Custom subtab of the Content subtab. Only searches with a date field under Available Filters qualify — unless Use Periods is enabled, in which case only searches with a Period filter under Available Filters qualify.</w:t>
      </w:r>
    </w:p>
    <w:p w14:paraId="45830027" w14:textId="77777777" w:rsidR="00C226FF" w:rsidRDefault="0055692E">
      <w:pPr>
        <w:pStyle w:val="ListParagraph"/>
        <w:numPr>
          <w:ilvl w:val="0"/>
          <w:numId w:val="3"/>
        </w:numPr>
        <w:spacing w:after="100" w:line="264" w:lineRule="auto"/>
      </w:pPr>
      <w:r>
        <w:t>On the Date Ranges (or Periods) subtab of the Content subtab, define the multiple date ranges or periods that apply to all scorecard data (Section 6.5).</w:t>
      </w:r>
    </w:p>
    <w:p w14:paraId="45830028" w14:textId="77777777" w:rsidR="00C226FF" w:rsidRDefault="0055692E">
      <w:pPr>
        <w:pStyle w:val="ListParagraph"/>
        <w:numPr>
          <w:ilvl w:val="0"/>
          <w:numId w:val="3"/>
        </w:numPr>
        <w:spacing w:after="100" w:line="264" w:lineRule="auto"/>
      </w:pPr>
      <w:r>
        <w:t>On the Highlighting subtab, set highlighting options to make results stand out in the portlet.</w:t>
      </w:r>
    </w:p>
    <w:p w14:paraId="45830029" w14:textId="77777777" w:rsidR="00C226FF" w:rsidRDefault="0055692E">
      <w:pPr>
        <w:pStyle w:val="ListParagraph"/>
        <w:numPr>
          <w:ilvl w:val="0"/>
          <w:numId w:val="3"/>
        </w:numPr>
        <w:spacing w:after="100" w:line="264" w:lineRule="auto"/>
      </w:pPr>
      <w:r>
        <w:t>On the Audience subtab, define who can place the scorecard in their KPI Scorecard portlet — by role, department, subsidiary, group, employee, or partner.</w:t>
      </w:r>
    </w:p>
    <w:p w14:paraId="4583002A" w14:textId="77777777" w:rsidR="00C226FF" w:rsidRDefault="0055692E">
      <w:pPr>
        <w:pStyle w:val="ListParagraph"/>
        <w:numPr>
          <w:ilvl w:val="0"/>
          <w:numId w:val="3"/>
        </w:numPr>
        <w:spacing w:after="100" w:line="264" w:lineRule="auto"/>
      </w:pPr>
      <w:r>
        <w:t>Click Save.</w:t>
      </w:r>
    </w:p>
    <w:p w14:paraId="4583002B" w14:textId="27A971EA" w:rsidR="00C226FF" w:rsidRDefault="0055692E">
      <w:pPr>
        <w:spacing w:after="160" w:line="276" w:lineRule="auto"/>
      </w:pPr>
      <w:r>
        <w:t>KPIs and formulas can be reordered after entry by dragging and dropping or using the Move buttons. KPI scorecards can also be version-controlled via SDF (Section 8) and copied between accounts using the Copy to Account link on each scorecard page.</w:t>
      </w:r>
    </w:p>
    <w:p w14:paraId="2A83F839" w14:textId="23D670DC" w:rsidR="00013B85" w:rsidRDefault="00013B85">
      <w:pPr>
        <w:spacing w:after="160" w:line="276" w:lineRule="auto"/>
      </w:pPr>
    </w:p>
    <w:p w14:paraId="74B46CB4" w14:textId="48BB2BDA" w:rsidR="00013B85" w:rsidRDefault="00013B85">
      <w:pPr>
        <w:spacing w:after="160" w:line="276" w:lineRule="auto"/>
      </w:pPr>
    </w:p>
    <w:p w14:paraId="4F8E2AC7" w14:textId="1C0BF34E" w:rsidR="00013B85" w:rsidRDefault="00013B85">
      <w:pPr>
        <w:spacing w:after="160" w:line="276" w:lineRule="auto"/>
      </w:pPr>
    </w:p>
    <w:p w14:paraId="1181B71A" w14:textId="385A2A07" w:rsidR="00013B85" w:rsidRDefault="00013B85">
      <w:pPr>
        <w:spacing w:after="160" w:line="276" w:lineRule="auto"/>
      </w:pPr>
    </w:p>
    <w:p w14:paraId="760B1041" w14:textId="77777777" w:rsidR="00013B85" w:rsidRDefault="00013B85">
      <w:pPr>
        <w:spacing w:after="160" w:line="276" w:lineRule="auto"/>
      </w:pPr>
    </w:p>
    <w:p w14:paraId="4583002C" w14:textId="77777777" w:rsidR="00C226FF" w:rsidRDefault="0055692E">
      <w:pPr>
        <w:pStyle w:val="Heading2"/>
        <w:spacing w:before="320" w:after="140"/>
      </w:pPr>
      <w:r>
        <w:rPr>
          <w:b/>
          <w:bCs/>
          <w:color w:val="2E5395"/>
        </w:rPr>
        <w:lastRenderedPageBreak/>
        <w:t>6.3 Defining Comparisons</w:t>
      </w:r>
    </w:p>
    <w:p w14:paraId="4583002D" w14:textId="77777777" w:rsidR="00C226FF" w:rsidRDefault="0055692E">
      <w:pPr>
        <w:spacing w:after="160" w:line="276" w:lineRule="auto"/>
      </w:pPr>
      <w:r>
        <w:t>From the scorecard portlet’s dropdown, click Customize, then on the KPIs subtab: select a KPI, select a second KPI in Compare Value to, and (for custom KPIs) map the underlying saved search on the Custom subtab. Choose a comparison type, optionally check Invert Comparison, and enter a Label to override the KPI name as the row or column header.</w:t>
      </w:r>
    </w:p>
    <w:tbl>
      <w:tblPr>
        <w:tblW w:w="5000" w:type="pct"/>
        <w:tblBorders>
          <w:top w:val="single" w:sz="4" w:space="0" w:color="B9C7DE"/>
          <w:left w:val="single" w:sz="4" w:space="0" w:color="B9C7DE"/>
          <w:bottom w:val="single" w:sz="4" w:space="0" w:color="B9C7DE"/>
          <w:right w:val="single" w:sz="4" w:space="0" w:color="B9C7DE"/>
          <w:insideH w:val="single" w:sz="2" w:space="0" w:color="B9C7DE"/>
          <w:insideV w:val="single" w:sz="2" w:space="0" w:color="B9C7DE"/>
        </w:tblBorders>
        <w:tblLayout w:type="fixed"/>
        <w:tblCellMar>
          <w:left w:w="10" w:type="dxa"/>
          <w:right w:w="10" w:type="dxa"/>
        </w:tblCellMar>
        <w:tblLook w:val="04A0" w:firstRow="1" w:lastRow="0" w:firstColumn="1" w:lastColumn="0" w:noHBand="0" w:noVBand="1"/>
      </w:tblPr>
      <w:tblGrid>
        <w:gridCol w:w="2517"/>
        <w:gridCol w:w="3021"/>
        <w:gridCol w:w="4532"/>
      </w:tblGrid>
      <w:tr w:rsidR="00C226FF" w14:paraId="45830031" w14:textId="77777777">
        <w:trPr>
          <w:tblHeader/>
        </w:trPr>
        <w:tc>
          <w:tcPr>
            <w:tcW w:w="1250" w:type="pct"/>
            <w:shd w:val="clear" w:color="auto" w:fill="1F3864"/>
            <w:tcMar>
              <w:top w:w="100" w:type="dxa"/>
              <w:left w:w="140" w:type="dxa"/>
              <w:bottom w:w="100" w:type="dxa"/>
              <w:right w:w="140" w:type="dxa"/>
            </w:tcMar>
            <w:vAlign w:val="center"/>
          </w:tcPr>
          <w:p w14:paraId="4583002E" w14:textId="77777777" w:rsidR="00C226FF" w:rsidRDefault="0055692E">
            <w:r>
              <w:rPr>
                <w:b/>
                <w:bCs/>
                <w:color w:val="FFFFFF"/>
                <w:sz w:val="20"/>
                <w:szCs w:val="20"/>
              </w:rPr>
              <w:t>Comparison Type</w:t>
            </w:r>
          </w:p>
        </w:tc>
        <w:tc>
          <w:tcPr>
            <w:tcW w:w="1500" w:type="pct"/>
            <w:shd w:val="clear" w:color="auto" w:fill="1F3864"/>
            <w:tcMar>
              <w:top w:w="100" w:type="dxa"/>
              <w:left w:w="140" w:type="dxa"/>
              <w:bottom w:w="100" w:type="dxa"/>
              <w:right w:w="140" w:type="dxa"/>
            </w:tcMar>
            <w:vAlign w:val="center"/>
          </w:tcPr>
          <w:p w14:paraId="4583002F" w14:textId="77777777" w:rsidR="00C226FF" w:rsidRDefault="0055692E">
            <w:r>
              <w:rPr>
                <w:b/>
                <w:bCs/>
                <w:color w:val="FFFFFF"/>
                <w:sz w:val="20"/>
                <w:szCs w:val="20"/>
              </w:rPr>
              <w:t>Formula</w:t>
            </w:r>
          </w:p>
        </w:tc>
        <w:tc>
          <w:tcPr>
            <w:tcW w:w="2250" w:type="pct"/>
            <w:shd w:val="clear" w:color="auto" w:fill="1F3864"/>
            <w:tcMar>
              <w:top w:w="100" w:type="dxa"/>
              <w:left w:w="140" w:type="dxa"/>
              <w:bottom w:w="100" w:type="dxa"/>
              <w:right w:w="140" w:type="dxa"/>
            </w:tcMar>
            <w:vAlign w:val="center"/>
          </w:tcPr>
          <w:p w14:paraId="45830030" w14:textId="77777777" w:rsidR="00C226FF" w:rsidRDefault="0055692E">
            <w:r>
              <w:rPr>
                <w:b/>
                <w:bCs/>
                <w:color w:val="FFFFFF"/>
                <w:sz w:val="20"/>
                <w:szCs w:val="20"/>
              </w:rPr>
              <w:t>Reads As</w:t>
            </w:r>
          </w:p>
        </w:tc>
      </w:tr>
      <w:tr w:rsidR="00C226FF" w14:paraId="45830035" w14:textId="77777777">
        <w:tc>
          <w:tcPr>
            <w:tcW w:w="1250" w:type="pct"/>
            <w:shd w:val="clear" w:color="auto" w:fill="FFFFFF"/>
            <w:tcMar>
              <w:top w:w="100" w:type="dxa"/>
              <w:left w:w="140" w:type="dxa"/>
              <w:bottom w:w="100" w:type="dxa"/>
              <w:right w:w="140" w:type="dxa"/>
            </w:tcMar>
          </w:tcPr>
          <w:p w14:paraId="45830032" w14:textId="77777777" w:rsidR="00C226FF" w:rsidRDefault="0055692E">
            <w:r>
              <w:rPr>
                <w:sz w:val="20"/>
                <w:szCs w:val="20"/>
              </w:rPr>
              <w:t>Variance (Percent)</w:t>
            </w:r>
          </w:p>
        </w:tc>
        <w:tc>
          <w:tcPr>
            <w:tcW w:w="1500" w:type="pct"/>
            <w:shd w:val="clear" w:color="auto" w:fill="FFFFFF"/>
            <w:tcMar>
              <w:top w:w="100" w:type="dxa"/>
              <w:left w:w="140" w:type="dxa"/>
              <w:bottom w:w="100" w:type="dxa"/>
              <w:right w:w="140" w:type="dxa"/>
            </w:tcMar>
          </w:tcPr>
          <w:p w14:paraId="45830033" w14:textId="77777777" w:rsidR="00C226FF" w:rsidRDefault="0055692E">
            <w:r>
              <w:rPr>
                <w:sz w:val="20"/>
                <w:szCs w:val="20"/>
              </w:rPr>
              <w:t>100 × (B − A) / A</w:t>
            </w:r>
          </w:p>
        </w:tc>
        <w:tc>
          <w:tcPr>
            <w:tcW w:w="2250" w:type="pct"/>
            <w:shd w:val="clear" w:color="auto" w:fill="FFFFFF"/>
            <w:tcMar>
              <w:top w:w="100" w:type="dxa"/>
              <w:left w:w="140" w:type="dxa"/>
              <w:bottom w:w="100" w:type="dxa"/>
              <w:right w:w="140" w:type="dxa"/>
            </w:tcMar>
          </w:tcPr>
          <w:p w14:paraId="45830034" w14:textId="77777777" w:rsidR="00C226FF" w:rsidRDefault="0055692E">
            <w:r>
              <w:rPr>
                <w:sz w:val="20"/>
                <w:szCs w:val="20"/>
              </w:rPr>
              <w:t>Percentage change from A to B</w:t>
            </w:r>
          </w:p>
        </w:tc>
      </w:tr>
      <w:tr w:rsidR="00C226FF" w14:paraId="45830039" w14:textId="77777777">
        <w:tc>
          <w:tcPr>
            <w:tcW w:w="1250" w:type="pct"/>
            <w:shd w:val="clear" w:color="auto" w:fill="EAF0F9"/>
            <w:tcMar>
              <w:top w:w="100" w:type="dxa"/>
              <w:left w:w="140" w:type="dxa"/>
              <w:bottom w:w="100" w:type="dxa"/>
              <w:right w:w="140" w:type="dxa"/>
            </w:tcMar>
          </w:tcPr>
          <w:p w14:paraId="45830036" w14:textId="77777777" w:rsidR="00C226FF" w:rsidRDefault="0055692E">
            <w:r>
              <w:rPr>
                <w:sz w:val="20"/>
                <w:szCs w:val="20"/>
              </w:rPr>
              <w:t>Variance (Absolute)</w:t>
            </w:r>
          </w:p>
        </w:tc>
        <w:tc>
          <w:tcPr>
            <w:tcW w:w="1500" w:type="pct"/>
            <w:shd w:val="clear" w:color="auto" w:fill="EAF0F9"/>
            <w:tcMar>
              <w:top w:w="100" w:type="dxa"/>
              <w:left w:w="140" w:type="dxa"/>
              <w:bottom w:w="100" w:type="dxa"/>
              <w:right w:w="140" w:type="dxa"/>
            </w:tcMar>
          </w:tcPr>
          <w:p w14:paraId="45830037" w14:textId="77777777" w:rsidR="00C226FF" w:rsidRDefault="0055692E">
            <w:r>
              <w:rPr>
                <w:sz w:val="20"/>
                <w:szCs w:val="20"/>
              </w:rPr>
              <w:t>B − A</w:t>
            </w:r>
          </w:p>
        </w:tc>
        <w:tc>
          <w:tcPr>
            <w:tcW w:w="2250" w:type="pct"/>
            <w:shd w:val="clear" w:color="auto" w:fill="EAF0F9"/>
            <w:tcMar>
              <w:top w:w="100" w:type="dxa"/>
              <w:left w:w="140" w:type="dxa"/>
              <w:bottom w:w="100" w:type="dxa"/>
              <w:right w:w="140" w:type="dxa"/>
            </w:tcMar>
          </w:tcPr>
          <w:p w14:paraId="45830038" w14:textId="77777777" w:rsidR="00C226FF" w:rsidRDefault="0055692E">
            <w:r>
              <w:rPr>
                <w:sz w:val="20"/>
                <w:szCs w:val="20"/>
              </w:rPr>
              <w:t>Absolute difference between B and A</w:t>
            </w:r>
          </w:p>
        </w:tc>
      </w:tr>
      <w:tr w:rsidR="00C226FF" w14:paraId="4583003D" w14:textId="77777777">
        <w:tc>
          <w:tcPr>
            <w:tcW w:w="1250" w:type="pct"/>
            <w:shd w:val="clear" w:color="auto" w:fill="FFFFFF"/>
            <w:tcMar>
              <w:top w:w="100" w:type="dxa"/>
              <w:left w:w="140" w:type="dxa"/>
              <w:bottom w:w="100" w:type="dxa"/>
              <w:right w:w="140" w:type="dxa"/>
            </w:tcMar>
          </w:tcPr>
          <w:p w14:paraId="4583003A" w14:textId="77777777" w:rsidR="00C226FF" w:rsidRDefault="0055692E">
            <w:r>
              <w:rPr>
                <w:sz w:val="20"/>
                <w:szCs w:val="20"/>
              </w:rPr>
              <w:t>Ratio (Percent)</w:t>
            </w:r>
          </w:p>
        </w:tc>
        <w:tc>
          <w:tcPr>
            <w:tcW w:w="1500" w:type="pct"/>
            <w:shd w:val="clear" w:color="auto" w:fill="FFFFFF"/>
            <w:tcMar>
              <w:top w:w="100" w:type="dxa"/>
              <w:left w:w="140" w:type="dxa"/>
              <w:bottom w:w="100" w:type="dxa"/>
              <w:right w:w="140" w:type="dxa"/>
            </w:tcMar>
          </w:tcPr>
          <w:p w14:paraId="4583003B" w14:textId="77777777" w:rsidR="00C226FF" w:rsidRDefault="0055692E">
            <w:r>
              <w:rPr>
                <w:sz w:val="20"/>
                <w:szCs w:val="20"/>
              </w:rPr>
              <w:t>100 × B / A</w:t>
            </w:r>
          </w:p>
        </w:tc>
        <w:tc>
          <w:tcPr>
            <w:tcW w:w="2250" w:type="pct"/>
            <w:shd w:val="clear" w:color="auto" w:fill="FFFFFF"/>
            <w:tcMar>
              <w:top w:w="100" w:type="dxa"/>
              <w:left w:w="140" w:type="dxa"/>
              <w:bottom w:w="100" w:type="dxa"/>
              <w:right w:w="140" w:type="dxa"/>
            </w:tcMar>
          </w:tcPr>
          <w:p w14:paraId="4583003C" w14:textId="77777777" w:rsidR="00C226FF" w:rsidRDefault="0055692E">
            <w:r>
              <w:rPr>
                <w:sz w:val="20"/>
                <w:szCs w:val="20"/>
              </w:rPr>
              <w:t>B as a percentage of A</w:t>
            </w:r>
          </w:p>
        </w:tc>
      </w:tr>
      <w:tr w:rsidR="00C226FF" w14:paraId="45830041" w14:textId="77777777">
        <w:tc>
          <w:tcPr>
            <w:tcW w:w="1250" w:type="pct"/>
            <w:shd w:val="clear" w:color="auto" w:fill="EAF0F9"/>
            <w:tcMar>
              <w:top w:w="100" w:type="dxa"/>
              <w:left w:w="140" w:type="dxa"/>
              <w:bottom w:w="100" w:type="dxa"/>
              <w:right w:w="140" w:type="dxa"/>
            </w:tcMar>
          </w:tcPr>
          <w:p w14:paraId="4583003E" w14:textId="77777777" w:rsidR="00C226FF" w:rsidRDefault="0055692E">
            <w:r>
              <w:rPr>
                <w:sz w:val="20"/>
                <w:szCs w:val="20"/>
              </w:rPr>
              <w:t>Ratio (Absolute)</w:t>
            </w:r>
          </w:p>
        </w:tc>
        <w:tc>
          <w:tcPr>
            <w:tcW w:w="1500" w:type="pct"/>
            <w:shd w:val="clear" w:color="auto" w:fill="EAF0F9"/>
            <w:tcMar>
              <w:top w:w="100" w:type="dxa"/>
              <w:left w:w="140" w:type="dxa"/>
              <w:bottom w:w="100" w:type="dxa"/>
              <w:right w:w="140" w:type="dxa"/>
            </w:tcMar>
          </w:tcPr>
          <w:p w14:paraId="4583003F" w14:textId="77777777" w:rsidR="00C226FF" w:rsidRDefault="0055692E">
            <w:r>
              <w:rPr>
                <w:sz w:val="20"/>
                <w:szCs w:val="20"/>
              </w:rPr>
              <w:t>B / A</w:t>
            </w:r>
          </w:p>
        </w:tc>
        <w:tc>
          <w:tcPr>
            <w:tcW w:w="2250" w:type="pct"/>
            <w:shd w:val="clear" w:color="auto" w:fill="EAF0F9"/>
            <w:tcMar>
              <w:top w:w="100" w:type="dxa"/>
              <w:left w:w="140" w:type="dxa"/>
              <w:bottom w:w="100" w:type="dxa"/>
              <w:right w:w="140" w:type="dxa"/>
            </w:tcMar>
          </w:tcPr>
          <w:p w14:paraId="45830040" w14:textId="77777777" w:rsidR="00C226FF" w:rsidRDefault="0055692E">
            <w:r>
              <w:rPr>
                <w:sz w:val="20"/>
                <w:szCs w:val="20"/>
              </w:rPr>
              <w:t>B as a multiple of A</w:t>
            </w:r>
          </w:p>
        </w:tc>
      </w:tr>
      <w:tr w:rsidR="00C226FF" w14:paraId="45830045" w14:textId="77777777">
        <w:tc>
          <w:tcPr>
            <w:tcW w:w="1250" w:type="pct"/>
            <w:shd w:val="clear" w:color="auto" w:fill="FFFFFF"/>
            <w:tcMar>
              <w:top w:w="100" w:type="dxa"/>
              <w:left w:w="140" w:type="dxa"/>
              <w:bottom w:w="100" w:type="dxa"/>
              <w:right w:w="140" w:type="dxa"/>
            </w:tcMar>
          </w:tcPr>
          <w:p w14:paraId="45830042" w14:textId="77777777" w:rsidR="00C226FF" w:rsidRDefault="0055692E">
            <w:r>
              <w:rPr>
                <w:sz w:val="20"/>
                <w:szCs w:val="20"/>
              </w:rPr>
              <w:t>Sum</w:t>
            </w:r>
          </w:p>
        </w:tc>
        <w:tc>
          <w:tcPr>
            <w:tcW w:w="1500" w:type="pct"/>
            <w:shd w:val="clear" w:color="auto" w:fill="FFFFFF"/>
            <w:tcMar>
              <w:top w:w="100" w:type="dxa"/>
              <w:left w:w="140" w:type="dxa"/>
              <w:bottom w:w="100" w:type="dxa"/>
              <w:right w:w="140" w:type="dxa"/>
            </w:tcMar>
          </w:tcPr>
          <w:p w14:paraId="45830043" w14:textId="77777777" w:rsidR="00C226FF" w:rsidRDefault="0055692E">
            <w:r>
              <w:rPr>
                <w:sz w:val="20"/>
                <w:szCs w:val="20"/>
              </w:rPr>
              <w:t>A + B</w:t>
            </w:r>
          </w:p>
        </w:tc>
        <w:tc>
          <w:tcPr>
            <w:tcW w:w="2250" w:type="pct"/>
            <w:shd w:val="clear" w:color="auto" w:fill="FFFFFF"/>
            <w:tcMar>
              <w:top w:w="100" w:type="dxa"/>
              <w:left w:w="140" w:type="dxa"/>
              <w:bottom w:w="100" w:type="dxa"/>
              <w:right w:w="140" w:type="dxa"/>
            </w:tcMar>
          </w:tcPr>
          <w:p w14:paraId="45830044" w14:textId="77777777" w:rsidR="00C226FF" w:rsidRDefault="0055692E">
            <w:r>
              <w:rPr>
                <w:sz w:val="20"/>
                <w:szCs w:val="20"/>
              </w:rPr>
              <w:t>Combined total of A and B</w:t>
            </w:r>
          </w:p>
        </w:tc>
      </w:tr>
    </w:tbl>
    <w:p w14:paraId="45830046" w14:textId="77777777" w:rsidR="00C226FF" w:rsidRDefault="00C226FF">
      <w:pPr>
        <w:spacing w:after="100"/>
      </w:pPr>
    </w:p>
    <w:tbl>
      <w:tblPr>
        <w:tblW w:w="5000" w:type="pct"/>
        <w:tblBorders>
          <w:top w:val="single" w:sz="6" w:space="0" w:color="E8C48A"/>
          <w:left w:val="single" w:sz="6" w:space="0" w:color="E8C48A"/>
          <w:bottom w:val="single" w:sz="6" w:space="0" w:color="E8C48A"/>
          <w:right w:val="single" w:sz="6" w:space="0" w:color="E8C48A"/>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64"/>
      </w:tblGrid>
      <w:tr w:rsidR="00C226FF" w14:paraId="4583004A" w14:textId="77777777">
        <w:tc>
          <w:tcPr>
            <w:tcW w:w="100" w:type="dxa"/>
            <w:shd w:val="clear" w:color="auto" w:fill="FFF4E5"/>
            <w:tcMar>
              <w:top w:w="160" w:type="dxa"/>
              <w:left w:w="200" w:type="dxa"/>
              <w:bottom w:w="160" w:type="dxa"/>
              <w:right w:w="200" w:type="dxa"/>
            </w:tcMar>
          </w:tcPr>
          <w:p w14:paraId="45830047" w14:textId="77777777" w:rsidR="00C226FF" w:rsidRDefault="0055692E">
            <w:pPr>
              <w:spacing w:after="100"/>
            </w:pPr>
            <w:r>
              <w:rPr>
                <w:b/>
                <w:bCs/>
                <w:color w:val="1F3864"/>
              </w:rPr>
              <w:t>⚠️ KPI Scorecards Don’t Support Unions of Two Comparisons</w:t>
            </w:r>
          </w:p>
          <w:p w14:paraId="45830048" w14:textId="77777777" w:rsidR="00C226FF" w:rsidRDefault="0055692E">
            <w:pPr>
              <w:pStyle w:val="ListParagraph"/>
              <w:numPr>
                <w:ilvl w:val="0"/>
                <w:numId w:val="2"/>
              </w:numPr>
              <w:spacing w:after="90" w:line="260" w:lineRule="auto"/>
            </w:pPr>
            <w:r>
              <w:rPr>
                <w:sz w:val="21"/>
                <w:szCs w:val="21"/>
              </w:rPr>
              <w:t>If a KPI comparison is entered as a row on the KPIs subtab and a date range comparison is also entered on the Date Ranges subtab, the result displays as N/A in the KPI Scorecard portlet — the two comparison mechanisms cannot combine.</w:t>
            </w:r>
          </w:p>
          <w:p w14:paraId="45830049" w14:textId="77777777" w:rsidR="00C226FF" w:rsidRDefault="0055692E">
            <w:pPr>
              <w:pStyle w:val="ListParagraph"/>
              <w:numPr>
                <w:ilvl w:val="0"/>
                <w:numId w:val="2"/>
              </w:numPr>
              <w:spacing w:line="260" w:lineRule="auto"/>
            </w:pPr>
            <w:r>
              <w:rPr>
                <w:sz w:val="21"/>
                <w:szCs w:val="21"/>
              </w:rPr>
              <w:t>The documented workaround is to express the comparison as a Formula instead: rather than entering Quota for KPI, Sales for Compare Value To, and Variance (Percent) for Comparison Type, enter Formula (Percent) for KPI and {SALES}/{QUOTA} for the Formula.</w:t>
            </w:r>
          </w:p>
        </w:tc>
      </w:tr>
    </w:tbl>
    <w:p w14:paraId="4583004B" w14:textId="77777777" w:rsidR="00C226FF" w:rsidRDefault="0055692E">
      <w:pPr>
        <w:pStyle w:val="Heading2"/>
        <w:spacing w:before="320" w:after="140"/>
      </w:pPr>
      <w:r>
        <w:rPr>
          <w:b/>
          <w:bCs/>
          <w:color w:val="2E5395"/>
        </w:rPr>
        <w:t>6.4 Defining Formulas</w:t>
      </w:r>
    </w:p>
    <w:p w14:paraId="4583004C" w14:textId="77777777" w:rsidR="00C226FF" w:rsidRDefault="0055692E">
      <w:pPr>
        <w:spacing w:after="160" w:line="276" w:lineRule="auto"/>
      </w:pPr>
      <w:r>
        <w:t>Formulas behave like Excel expressions, combining KPI IDs and functions, and can be typed directly or built through the Formula popup (opened via the Set Formula icon), which offers a Function dropdown and a KPIs dropdown for inserting KPI IDs.</w:t>
      </w:r>
    </w:p>
    <w:p w14:paraId="4583004D" w14:textId="77777777" w:rsidR="00C226FF" w:rsidRDefault="0055692E">
      <w:pPr>
        <w:pStyle w:val="ListParagraph"/>
        <w:numPr>
          <w:ilvl w:val="0"/>
          <w:numId w:val="2"/>
        </w:numPr>
        <w:spacing w:after="90" w:line="264" w:lineRule="auto"/>
      </w:pPr>
      <w:r>
        <w:t>Choose a formula type on the KPIs subtab: Formula (Currency), Formula (Numeric), or Formula (Percent).</w:t>
      </w:r>
    </w:p>
    <w:p w14:paraId="4583004E" w14:textId="77777777" w:rsidR="00C226FF" w:rsidRDefault="0055692E">
      <w:pPr>
        <w:pStyle w:val="ListParagraph"/>
        <w:numPr>
          <w:ilvl w:val="0"/>
          <w:numId w:val="2"/>
        </w:numPr>
        <w:spacing w:after="90" w:line="264" w:lineRule="auto"/>
      </w:pPr>
      <w:r>
        <w:t>If a custom KPI is referenced inside the formula, map its saved search on the Custom subtab — independent of the KPI portlet’s custom KPI definitions and of the KPI-level custom KPI mappings on the same scorecard.</w:t>
      </w:r>
    </w:p>
    <w:p w14:paraId="4583004F" w14:textId="77777777" w:rsidR="00C226FF" w:rsidRDefault="0055692E">
      <w:pPr>
        <w:pStyle w:val="ListParagraph"/>
        <w:numPr>
          <w:ilvl w:val="0"/>
          <w:numId w:val="2"/>
        </w:numPr>
        <w:spacing w:after="90" w:line="264" w:lineRule="auto"/>
      </w:pPr>
      <w:r>
        <w:t xml:space="preserve">Check Less is More if a lower result is the better outcome for this formula; this flips the up/down arrow </w:t>
      </w:r>
      <w:proofErr w:type="spellStart"/>
      <w:r>
        <w:t>colors</w:t>
      </w:r>
      <w:proofErr w:type="spellEnd"/>
      <w:r>
        <w:t xml:space="preserve"> (green for a decrease instead of the default green-for-increase).</w:t>
      </w:r>
    </w:p>
    <w:p w14:paraId="45830050" w14:textId="77777777" w:rsidR="00C226FF" w:rsidRDefault="0055692E">
      <w:pPr>
        <w:pStyle w:val="ListParagraph"/>
        <w:numPr>
          <w:ilvl w:val="0"/>
          <w:numId w:val="2"/>
        </w:numPr>
        <w:spacing w:after="90" w:line="264" w:lineRule="auto"/>
      </w:pPr>
      <w:r>
        <w:t>Check Hidden to compute a formula without displaying it — useful when the formula exists only to feed another, displayed formula.</w:t>
      </w:r>
    </w:p>
    <w:p w14:paraId="45830051" w14:textId="217B72EB" w:rsidR="00C226FF" w:rsidRDefault="0055692E">
      <w:pPr>
        <w:pStyle w:val="ListParagraph"/>
        <w:numPr>
          <w:ilvl w:val="0"/>
          <w:numId w:val="2"/>
        </w:numPr>
        <w:spacing w:after="90" w:line="264" w:lineRule="auto"/>
      </w:pPr>
      <w:r>
        <w:t>Enter a Label to control the row or column header text shown in the portlet.</w:t>
      </w:r>
    </w:p>
    <w:p w14:paraId="17F46B07" w14:textId="585ACF28" w:rsidR="00013B85" w:rsidRDefault="00013B85" w:rsidP="00013B85">
      <w:pPr>
        <w:spacing w:after="90" w:line="264" w:lineRule="auto"/>
      </w:pPr>
    </w:p>
    <w:p w14:paraId="2ECA0B86" w14:textId="77777777" w:rsidR="00013B85" w:rsidRDefault="00013B85" w:rsidP="00013B85">
      <w:pPr>
        <w:spacing w:after="90" w:line="264" w:lineRule="auto"/>
      </w:pPr>
    </w:p>
    <w:p w14:paraId="45830052" w14:textId="77777777" w:rsidR="00C226FF" w:rsidRDefault="0055692E">
      <w:pPr>
        <w:pStyle w:val="Heading2"/>
        <w:spacing w:before="320" w:after="140"/>
      </w:pPr>
      <w:r>
        <w:rPr>
          <w:b/>
          <w:bCs/>
          <w:color w:val="2E5395"/>
        </w:rPr>
        <w:lastRenderedPageBreak/>
        <w:t>6.5 Date Ranges or Periods</w:t>
      </w:r>
    </w:p>
    <w:p w14:paraId="45830053" w14:textId="77777777" w:rsidR="00C226FF" w:rsidRDefault="0055692E">
      <w:pPr>
        <w:spacing w:after="160" w:line="276" w:lineRule="auto"/>
      </w:pPr>
      <w:r>
        <w:t>On the Date Ranges subtab (renamed Periods if Use Periods is checked), define the ranges applied to all scorecard data, using the same five comparison types as Section 6.3, plus an optional Compare with Previous check to chain a comparison against the row above it. Show Date Row, set in the KPI Scorecard Setup popup on the dashboard, displays the explicit resolved dates alongside relative ranges such as “1 year ago.”</w:t>
      </w:r>
    </w:p>
    <w:p w14:paraId="45830054" w14:textId="77777777" w:rsidR="00C226FF" w:rsidRDefault="00C226FF">
      <w:pPr>
        <w:spacing w:after="60"/>
      </w:pPr>
    </w:p>
    <w:tbl>
      <w:tblPr>
        <w:tblW w:w="5000" w:type="pct"/>
        <w:tblBorders>
          <w:top w:val="single" w:sz="6" w:space="0" w:color="E8C48A"/>
          <w:left w:val="single" w:sz="6" w:space="0" w:color="E8C48A"/>
          <w:bottom w:val="single" w:sz="6" w:space="0" w:color="E8C48A"/>
          <w:right w:val="single" w:sz="6" w:space="0" w:color="E8C48A"/>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64"/>
      </w:tblGrid>
      <w:tr w:rsidR="00C226FF" w14:paraId="45830057" w14:textId="77777777">
        <w:tc>
          <w:tcPr>
            <w:tcW w:w="100" w:type="dxa"/>
            <w:shd w:val="clear" w:color="auto" w:fill="FFF4E5"/>
            <w:tcMar>
              <w:top w:w="160" w:type="dxa"/>
              <w:left w:w="200" w:type="dxa"/>
              <w:bottom w:w="160" w:type="dxa"/>
              <w:right w:w="200" w:type="dxa"/>
            </w:tcMar>
          </w:tcPr>
          <w:p w14:paraId="45830055" w14:textId="77777777" w:rsidR="00C226FF" w:rsidRDefault="0055692E">
            <w:pPr>
              <w:spacing w:after="100"/>
            </w:pPr>
            <w:r>
              <w:rPr>
                <w:b/>
                <w:bCs/>
                <w:color w:val="1F3864"/>
              </w:rPr>
              <w:t>⚠️ Use Periods Cannot Be Unchecked After the Scorecard Is Saved</w:t>
            </w:r>
          </w:p>
          <w:p w14:paraId="45830056" w14:textId="77777777" w:rsidR="00C226FF" w:rsidRDefault="0055692E">
            <w:pPr>
              <w:pStyle w:val="ListParagraph"/>
              <w:numPr>
                <w:ilvl w:val="0"/>
                <w:numId w:val="2"/>
              </w:numPr>
              <w:spacing w:line="260" w:lineRule="auto"/>
            </w:pPr>
            <w:r>
              <w:rPr>
                <w:sz w:val="21"/>
                <w:szCs w:val="21"/>
              </w:rPr>
              <w:t>Once a KPI scorecard is saved with Use Periods checked, that setting is permanent — the Date Ranges subtab becomes Periods for the life of the scorecard, and custom KPIs used in it must carry a Period filter under Available Filters rather than a date filter.</w:t>
            </w:r>
          </w:p>
        </w:tc>
      </w:tr>
    </w:tbl>
    <w:p w14:paraId="45830058" w14:textId="77777777" w:rsidR="00C226FF" w:rsidRDefault="0055692E">
      <w:pPr>
        <w:pStyle w:val="Heading2"/>
        <w:spacing w:before="320" w:after="140"/>
      </w:pPr>
      <w:r>
        <w:rPr>
          <w:b/>
          <w:bCs/>
          <w:color w:val="2E5395"/>
        </w:rPr>
        <w:t>6.6 Adding the Portlet, Display Options, and Sharing</w:t>
      </w:r>
    </w:p>
    <w:p w14:paraId="45830059" w14:textId="77777777" w:rsidR="00C226FF" w:rsidRDefault="0055692E">
      <w:pPr>
        <w:spacing w:after="160" w:line="276" w:lineRule="auto"/>
      </w:pPr>
      <w:r>
        <w:t>Add a KPI Scorecard portlet the same way as any other portlet (Personalize &gt; Standard Content &gt; KPI Scorecard); it only appears once the feature is enabled. In the portlet’s Set Up popup:</w:t>
      </w:r>
    </w:p>
    <w:p w14:paraId="4583005A" w14:textId="77777777" w:rsidR="00C226FF" w:rsidRDefault="0055692E">
      <w:pPr>
        <w:pStyle w:val="ListParagraph"/>
        <w:numPr>
          <w:ilvl w:val="0"/>
          <w:numId w:val="2"/>
        </w:numPr>
        <w:spacing w:after="90" w:line="264" w:lineRule="auto"/>
      </w:pPr>
      <w:r>
        <w:t>KPI Scorecard — choose which saved scorecard definition to display.</w:t>
      </w:r>
    </w:p>
    <w:p w14:paraId="4583005B" w14:textId="77777777" w:rsidR="00C226FF" w:rsidRDefault="0055692E">
      <w:pPr>
        <w:pStyle w:val="ListParagraph"/>
        <w:numPr>
          <w:ilvl w:val="0"/>
          <w:numId w:val="2"/>
        </w:numPr>
        <w:spacing w:after="90" w:line="264" w:lineRule="auto"/>
      </w:pPr>
      <w:r>
        <w:t>Restrict To — All (default, unfiltered), My Team, or Only Mine.</w:t>
      </w:r>
    </w:p>
    <w:p w14:paraId="4583005C" w14:textId="77777777" w:rsidR="00C226FF" w:rsidRDefault="0055692E">
      <w:pPr>
        <w:pStyle w:val="ListParagraph"/>
        <w:numPr>
          <w:ilvl w:val="0"/>
          <w:numId w:val="2"/>
        </w:numPr>
        <w:spacing w:after="90" w:line="264" w:lineRule="auto"/>
      </w:pPr>
      <w:r>
        <w:t>Orientation — KPIs on Left (default: KPI labels down the side, date ranges across the top) or Date Ranges on Left.</w:t>
      </w:r>
    </w:p>
    <w:p w14:paraId="4583005D" w14:textId="77777777" w:rsidR="00C226FF" w:rsidRDefault="0055692E">
      <w:pPr>
        <w:pStyle w:val="ListParagraph"/>
        <w:numPr>
          <w:ilvl w:val="0"/>
          <w:numId w:val="2"/>
        </w:numPr>
        <w:spacing w:after="90" w:line="264" w:lineRule="auto"/>
      </w:pPr>
      <w:r>
        <w:t>Show Trend Graph Icon — enables popup trend graph icons in the portlet.</w:t>
      </w:r>
    </w:p>
    <w:p w14:paraId="4583005E" w14:textId="77777777" w:rsidR="00C226FF" w:rsidRDefault="0055692E">
      <w:pPr>
        <w:pStyle w:val="ListParagraph"/>
        <w:numPr>
          <w:ilvl w:val="0"/>
          <w:numId w:val="2"/>
        </w:numPr>
        <w:spacing w:after="90" w:line="264" w:lineRule="auto"/>
      </w:pPr>
      <w:r>
        <w:t>Show Date Row — displays explicit resolved dates for relative date ranges.</w:t>
      </w:r>
    </w:p>
    <w:p w14:paraId="4583005F" w14:textId="77777777" w:rsidR="00C226FF" w:rsidRDefault="0055692E">
      <w:pPr>
        <w:spacing w:after="160" w:line="276" w:lineRule="auto"/>
      </w:pPr>
      <w:r>
        <w:t>Who can select a given scorecard in their own KPI Scorecard portlet is governed entirely by the Audience subtab set when the scorecard was created or edited (Section 6.2) — by role, department, subsidiary, group, employee, or partner.</w:t>
      </w:r>
    </w:p>
    <w:p w14:paraId="45830060" w14:textId="77777777" w:rsidR="00C226FF" w:rsidRDefault="0055692E">
      <w:pPr>
        <w:pStyle w:val="Heading2"/>
        <w:spacing w:before="320" w:after="140"/>
      </w:pPr>
      <w:r>
        <w:rPr>
          <w:b/>
          <w:bCs/>
          <w:color w:val="2E5395"/>
        </w:rPr>
        <w:t>6.7 The Financial Ratios Scorecard</w:t>
      </w:r>
    </w:p>
    <w:p w14:paraId="45830061" w14:textId="77777777" w:rsidR="00C226FF" w:rsidRDefault="0055692E">
      <w:pPr>
        <w:spacing w:after="160" w:line="276" w:lineRule="auto"/>
      </w:pPr>
      <w:r>
        <w:t>NetSuite ships a prebuilt Financial Ratios scorecard, available out of the box to any user with permission to view the Trial Balance report — useful as a working example of scorecard formula design, and as a ready-made addition to a finance-facing dashboard without building a scorecard from scratch.</w:t>
      </w:r>
    </w:p>
    <w:p w14:paraId="45830062" w14:textId="77777777" w:rsidR="00C226FF" w:rsidRDefault="0055692E">
      <w:pPr>
        <w:pStyle w:val="Heading1"/>
        <w:pageBreakBefore/>
        <w:spacing w:before="120" w:after="200"/>
      </w:pPr>
      <w:r>
        <w:rPr>
          <w:b/>
          <w:bCs/>
          <w:color w:val="1F3864"/>
        </w:rPr>
        <w:lastRenderedPageBreak/>
        <w:t>7. Publishing Dashboards — Governance Across Roles</w:t>
      </w:r>
    </w:p>
    <w:p w14:paraId="45830063" w14:textId="77777777" w:rsidR="00C226FF" w:rsidRDefault="0055692E">
      <w:pPr>
        <w:spacing w:after="160" w:line="276" w:lineRule="auto"/>
      </w:pPr>
      <w:r>
        <w:t>Because dashboards are role-based, an administrator can personalize one set of tabbed pages and publish that layout to every user who shares the relevant role, rather than asking each person to rebuild their own KPI portlet, meters, and scorecards individually. Published dashboards give a team a consistent view of the same data and can save significant setup time when rolling a KPI framework out broadly.</w:t>
      </w:r>
    </w:p>
    <w:p w14:paraId="45830064" w14:textId="77777777" w:rsidR="00C226FF" w:rsidRDefault="0055692E">
      <w:pPr>
        <w:pStyle w:val="Heading2"/>
        <w:spacing w:before="320" w:after="140"/>
      </w:pPr>
      <w:r>
        <w:rPr>
          <w:b/>
          <w:bCs/>
          <w:color w:val="2E5395"/>
        </w:rPr>
        <w:t>7.1 Permissions and Roles</w:t>
      </w:r>
    </w:p>
    <w:p w14:paraId="45830065" w14:textId="77777777" w:rsidR="00C226FF" w:rsidRDefault="0055692E">
      <w:pPr>
        <w:pStyle w:val="ListParagraph"/>
        <w:numPr>
          <w:ilvl w:val="0"/>
          <w:numId w:val="2"/>
        </w:numPr>
        <w:spacing w:after="90" w:line="264" w:lineRule="auto"/>
      </w:pPr>
      <w:r>
        <w:t>Publishing requires the Publish Dashboards permission — a few administrative roles carry it by default, but most roles don’t.</w:t>
      </w:r>
    </w:p>
    <w:p w14:paraId="45830066" w14:textId="77777777" w:rsidR="00C226FF" w:rsidRDefault="0055692E">
      <w:pPr>
        <w:pStyle w:val="ListParagraph"/>
        <w:numPr>
          <w:ilvl w:val="0"/>
          <w:numId w:val="2"/>
        </w:numPr>
        <w:spacing w:after="90" w:line="264" w:lineRule="auto"/>
      </w:pPr>
      <w:r>
        <w:t>A dashboard can only be published to roles tied to the same Center in which it was personalized: a dashboard personalized under Account Administrator (Classic center) can only be published to Classic-center roles; one personalized under Sales Administrator can only reach Sales-center roles.</w:t>
      </w:r>
    </w:p>
    <w:p w14:paraId="45830067" w14:textId="77777777" w:rsidR="00C226FF" w:rsidRDefault="0055692E">
      <w:pPr>
        <w:pStyle w:val="ListParagraph"/>
        <w:numPr>
          <w:ilvl w:val="0"/>
          <w:numId w:val="2"/>
        </w:numPr>
        <w:spacing w:after="90" w:line="264" w:lineRule="auto"/>
      </w:pPr>
      <w:r>
        <w:t>To publish to users across multiple centers, log in with a role in each relevant center and personalize and publish separately for each.</w:t>
      </w:r>
    </w:p>
    <w:p w14:paraId="45830068" w14:textId="77777777" w:rsidR="00C226FF" w:rsidRDefault="0055692E">
      <w:pPr>
        <w:pStyle w:val="Heading2"/>
        <w:spacing w:before="320" w:after="140"/>
      </w:pPr>
      <w:r>
        <w:rPr>
          <w:b/>
          <w:bCs/>
          <w:color w:val="2E5395"/>
        </w:rPr>
        <w:t>7.2 The Two-Step Publishing Process</w:t>
      </w:r>
    </w:p>
    <w:p w14:paraId="45830069" w14:textId="77777777" w:rsidR="00C226FF" w:rsidRDefault="0055692E">
      <w:pPr>
        <w:pStyle w:val="ListParagraph"/>
        <w:numPr>
          <w:ilvl w:val="0"/>
          <w:numId w:val="3"/>
        </w:numPr>
        <w:spacing w:after="100" w:line="264" w:lineRule="auto"/>
      </w:pPr>
      <w:r>
        <w:t>Personalize the dashboard — with the Publish Dashboards permission and the appropriate role, personalize one or more tabbed pages (standard NetSuite tabs or custom tabs) to fit the team’s needs.</w:t>
      </w:r>
    </w:p>
    <w:p w14:paraId="4583006A" w14:textId="77777777" w:rsidR="00C226FF" w:rsidRDefault="0055692E">
      <w:pPr>
        <w:pStyle w:val="ListParagraph"/>
        <w:numPr>
          <w:ilvl w:val="0"/>
          <w:numId w:val="3"/>
        </w:numPr>
        <w:spacing w:after="100" w:line="264" w:lineRule="auto"/>
      </w:pPr>
      <w:r>
        <w:t>Publish the dashboard — choose the roles to publish to, whether it applies to new users only or replaces existing users’ dashboards too, which tabbed pages to include, and the restriction levels for how much users can further personalize their own copy.</w:t>
      </w:r>
    </w:p>
    <w:p w14:paraId="4583006B" w14:textId="77777777" w:rsidR="00C226FF" w:rsidRDefault="00C226FF">
      <w:pPr>
        <w:spacing w:after="80"/>
      </w:pPr>
    </w:p>
    <w:tbl>
      <w:tblPr>
        <w:tblW w:w="5000" w:type="pct"/>
        <w:tblBorders>
          <w:top w:val="single" w:sz="6" w:space="0" w:color="E8C48A"/>
          <w:left w:val="single" w:sz="6" w:space="0" w:color="E8C48A"/>
          <w:bottom w:val="single" w:sz="6" w:space="0" w:color="E8C48A"/>
          <w:right w:val="single" w:sz="6" w:space="0" w:color="E8C48A"/>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64"/>
      </w:tblGrid>
      <w:tr w:rsidR="00C226FF" w14:paraId="4583006F" w14:textId="77777777">
        <w:tc>
          <w:tcPr>
            <w:tcW w:w="100" w:type="dxa"/>
            <w:shd w:val="clear" w:color="auto" w:fill="FFF4E5"/>
            <w:tcMar>
              <w:top w:w="160" w:type="dxa"/>
              <w:left w:w="200" w:type="dxa"/>
              <w:bottom w:w="160" w:type="dxa"/>
              <w:right w:w="200" w:type="dxa"/>
            </w:tcMar>
          </w:tcPr>
          <w:p w14:paraId="4583006C" w14:textId="77777777" w:rsidR="00C226FF" w:rsidRDefault="0055692E">
            <w:pPr>
              <w:spacing w:after="100"/>
            </w:pPr>
            <w:r>
              <w:rPr>
                <w:b/>
                <w:bCs/>
                <w:color w:val="1F3864"/>
              </w:rPr>
              <w:t>⚠️ Some Publishing Choices Can’t Be Changed After the Fact</w:t>
            </w:r>
          </w:p>
          <w:p w14:paraId="4583006D" w14:textId="77777777" w:rsidR="00C226FF" w:rsidRDefault="0055692E">
            <w:pPr>
              <w:pStyle w:val="ListParagraph"/>
              <w:numPr>
                <w:ilvl w:val="0"/>
                <w:numId w:val="2"/>
              </w:numPr>
              <w:spacing w:after="90" w:line="260" w:lineRule="auto"/>
            </w:pPr>
            <w:r>
              <w:rPr>
                <w:sz w:val="21"/>
                <w:szCs w:val="21"/>
              </w:rPr>
              <w:t>The target roles and the new-vs-existing-users choice can both be changed after a dashboard is published.</w:t>
            </w:r>
          </w:p>
          <w:p w14:paraId="4583006E" w14:textId="77777777" w:rsidR="00C226FF" w:rsidRDefault="0055692E">
            <w:pPr>
              <w:pStyle w:val="ListParagraph"/>
              <w:numPr>
                <w:ilvl w:val="0"/>
                <w:numId w:val="2"/>
              </w:numPr>
              <w:spacing w:line="260" w:lineRule="auto"/>
            </w:pPr>
            <w:r>
              <w:rPr>
                <w:sz w:val="21"/>
                <w:szCs w:val="21"/>
              </w:rPr>
              <w:t>The set of tabbed pages included in the published dashboard, and the personalization restriction levels applied to it, cannot be changed after publishing — get both right before the first publish, since correcting them means republishing rather than editing.</w:t>
            </w:r>
          </w:p>
        </w:tc>
      </w:tr>
    </w:tbl>
    <w:p w14:paraId="1349F72E" w14:textId="77777777" w:rsidR="00820B08" w:rsidRDefault="00820B08">
      <w:pPr>
        <w:spacing w:after="160" w:line="276" w:lineRule="auto"/>
      </w:pPr>
    </w:p>
    <w:p w14:paraId="45830070" w14:textId="648D1420" w:rsidR="00C226FF" w:rsidRDefault="0055692E">
      <w:pPr>
        <w:spacing w:after="160" w:line="276" w:lineRule="auto"/>
      </w:pPr>
      <w:r>
        <w:t>After publishing, further changes can be applied to users’ dashboards, and a published dashboard can be copied to another account entirely — useful for promoting a finance or sales dashboard standard from a sandbox into production.</w:t>
      </w:r>
    </w:p>
    <w:p w14:paraId="45830071" w14:textId="77777777" w:rsidR="00C226FF" w:rsidRDefault="0055692E">
      <w:pPr>
        <w:pStyle w:val="Heading1"/>
        <w:pageBreakBefore/>
        <w:spacing w:before="120" w:after="200"/>
      </w:pPr>
      <w:r>
        <w:rPr>
          <w:b/>
          <w:bCs/>
          <w:color w:val="1F3864"/>
        </w:rPr>
        <w:lastRenderedPageBreak/>
        <w:t>8. SuiteScript 2.1 and SDF Access Patterns</w:t>
      </w:r>
    </w:p>
    <w:p w14:paraId="45830072" w14:textId="77777777" w:rsidR="00C226FF" w:rsidRDefault="0055692E">
      <w:pPr>
        <w:spacing w:after="160" w:line="276" w:lineRule="auto"/>
      </w:pPr>
      <w:r>
        <w:t>Dashboards, portlets, and KPI selections are presentation-layer, per-user personalization constructs — they are not general-purpose data records the way a transaction, a budget category, or a saved search is. That distinction shapes what a script or a SuiteCloud project can and cannot reach directly.</w:t>
      </w:r>
    </w:p>
    <w:p w14:paraId="45830073" w14:textId="77777777" w:rsidR="00C226FF" w:rsidRDefault="0055692E">
      <w:pPr>
        <w:pStyle w:val="Heading2"/>
        <w:spacing w:before="320" w:after="140"/>
      </w:pPr>
      <w:r>
        <w:rPr>
          <w:b/>
          <w:bCs/>
          <w:color w:val="2E5395"/>
        </w:rPr>
        <w:t>8.1 What Is Scriptable — the Data Behind the KPI</w:t>
      </w:r>
    </w:p>
    <w:p w14:paraId="45830074" w14:textId="77777777" w:rsidR="00C226FF" w:rsidRDefault="0055692E">
      <w:pPr>
        <w:pStyle w:val="ListParagraph"/>
        <w:numPr>
          <w:ilvl w:val="0"/>
          <w:numId w:val="2"/>
        </w:numPr>
        <w:spacing w:after="90" w:line="264" w:lineRule="auto"/>
      </w:pPr>
      <w:r>
        <w:t>Standard KPIs draw from standard reports and GL/CRM data that are already reachable through ordinary N/search and N/query (SuiteQL) access — there is no separate “KPI” record to load; a script reproduces a standard KPI’s number by querying the same data the underlying report queries.</w:t>
      </w:r>
    </w:p>
    <w:p w14:paraId="45830075" w14:textId="77777777" w:rsidR="00C226FF" w:rsidRDefault="0055692E">
      <w:pPr>
        <w:pStyle w:val="ListParagraph"/>
        <w:numPr>
          <w:ilvl w:val="0"/>
          <w:numId w:val="2"/>
        </w:numPr>
        <w:spacing w:after="90" w:line="264" w:lineRule="auto"/>
      </w:pPr>
      <w:r>
        <w:t xml:space="preserve">Custom KPIs are, by definition, saved searches — and the saved search record is fully scriptable: </w:t>
      </w:r>
      <w:proofErr w:type="gramStart"/>
      <w:r>
        <w:t>search.load</w:t>
      </w:r>
      <w:proofErr w:type="gramEnd"/>
      <w:r>
        <w:t>() and search.run() in N/search, or an equivalent SuiteQL query through N/query, will return the same result set the custom KPI displays. In practice, this is the reliable way for a script or an integration to compute “the same number a custom KPI shows.”</w:t>
      </w:r>
    </w:p>
    <w:p w14:paraId="45830076" w14:textId="77777777" w:rsidR="00C226FF" w:rsidRDefault="0055692E">
      <w:pPr>
        <w:pStyle w:val="ListParagraph"/>
        <w:numPr>
          <w:ilvl w:val="0"/>
          <w:numId w:val="2"/>
        </w:numPr>
        <w:spacing w:after="90" w:line="264" w:lineRule="auto"/>
      </w:pPr>
      <w:r>
        <w:t xml:space="preserve">Because the underlying data is just a saved search, confirm field and join availability for it in the Records </w:t>
      </w:r>
      <w:proofErr w:type="spellStart"/>
      <w:r>
        <w:t>Catalog’s</w:t>
      </w:r>
      <w:proofErr w:type="spellEnd"/>
      <w:r>
        <w:t xml:space="preserve"> SuiteScript and REST Query API view before finalizing the search definition — the KPI depends entirely on that search continuing to satisfy the three-part shape from Section 4.2.</w:t>
      </w:r>
    </w:p>
    <w:tbl>
      <w:tblPr>
        <w:tblW w:w="5000" w:type="pct"/>
        <w:tblBorders>
          <w:top w:val="single" w:sz="2" w:space="0" w:color="1E1E1E"/>
          <w:left w:val="single" w:sz="2" w:space="0" w:color="1E1E1E"/>
          <w:bottom w:val="single" w:sz="2" w:space="0" w:color="1E1E1E"/>
          <w:right w:val="single" w:sz="2" w:space="0" w:color="1E1E1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74"/>
      </w:tblGrid>
      <w:tr w:rsidR="00C226FF" w14:paraId="45830090" w14:textId="77777777">
        <w:tc>
          <w:tcPr>
            <w:tcW w:w="100" w:type="dxa"/>
            <w:shd w:val="clear" w:color="auto" w:fill="1E1E1E"/>
            <w:tcMar>
              <w:top w:w="200" w:type="dxa"/>
              <w:left w:w="240" w:type="dxa"/>
              <w:bottom w:w="200" w:type="dxa"/>
              <w:right w:w="240" w:type="dxa"/>
            </w:tcMar>
          </w:tcPr>
          <w:p w14:paraId="45830077" w14:textId="77777777" w:rsidR="00C226FF" w:rsidRDefault="0055692E">
            <w:pPr>
              <w:spacing w:after="20"/>
            </w:pPr>
            <w:r>
              <w:rPr>
                <w:rFonts w:ascii="Consolas" w:eastAsia="Consolas" w:hAnsi="Consolas" w:cs="Consolas"/>
                <w:color w:val="D4D4D4"/>
                <w:sz w:val="19"/>
                <w:szCs w:val="19"/>
              </w:rPr>
              <w:t>/**</w:t>
            </w:r>
          </w:p>
          <w:p w14:paraId="45830078" w14:textId="77777777" w:rsidR="00C226FF" w:rsidRDefault="0055692E">
            <w:pPr>
              <w:spacing w:after="20"/>
            </w:pPr>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NApiVersion</w:t>
            </w:r>
            <w:proofErr w:type="spellEnd"/>
            <w:r>
              <w:rPr>
                <w:rFonts w:ascii="Consolas" w:eastAsia="Consolas" w:hAnsi="Consolas" w:cs="Consolas"/>
                <w:color w:val="D4D4D4"/>
                <w:sz w:val="19"/>
                <w:szCs w:val="19"/>
              </w:rPr>
              <w:t xml:space="preserve"> 2.1</w:t>
            </w:r>
          </w:p>
          <w:p w14:paraId="45830079" w14:textId="77777777" w:rsidR="00C226FF" w:rsidRDefault="0055692E">
            <w:pPr>
              <w:spacing w:after="20"/>
            </w:pPr>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NScriptType</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ScheduledScript</w:t>
            </w:r>
            <w:proofErr w:type="spellEnd"/>
          </w:p>
          <w:p w14:paraId="4583007A" w14:textId="77777777" w:rsidR="00C226FF" w:rsidRDefault="0055692E">
            <w:pPr>
              <w:spacing w:after="20"/>
            </w:pPr>
            <w:r>
              <w:rPr>
                <w:rFonts w:ascii="Consolas" w:eastAsia="Consolas" w:hAnsi="Consolas" w:cs="Consolas"/>
                <w:color w:val="D4D4D4"/>
                <w:sz w:val="19"/>
                <w:szCs w:val="19"/>
              </w:rPr>
              <w:t xml:space="preserve"> */</w:t>
            </w:r>
          </w:p>
          <w:p w14:paraId="4583007B" w14:textId="77777777" w:rsidR="00C226FF" w:rsidRDefault="0055692E">
            <w:pPr>
              <w:spacing w:after="20"/>
            </w:pPr>
            <w:proofErr w:type="gramStart"/>
            <w:r>
              <w:rPr>
                <w:rFonts w:ascii="Consolas" w:eastAsia="Consolas" w:hAnsi="Consolas" w:cs="Consolas"/>
                <w:color w:val="D4D4D4"/>
                <w:sz w:val="19"/>
                <w:szCs w:val="19"/>
              </w:rPr>
              <w:t>define(</w:t>
            </w:r>
            <w:proofErr w:type="gramEnd"/>
            <w:r>
              <w:rPr>
                <w:rFonts w:ascii="Consolas" w:eastAsia="Consolas" w:hAnsi="Consolas" w:cs="Consolas"/>
                <w:color w:val="D4D4D4"/>
                <w:sz w:val="19"/>
                <w:szCs w:val="19"/>
              </w:rPr>
              <w:t>['N/search', 'N/log'], function (search, log) {</w:t>
            </w:r>
          </w:p>
          <w:p w14:paraId="4583007C" w14:textId="77777777" w:rsidR="00C226FF" w:rsidRDefault="0055692E">
            <w:pPr>
              <w:spacing w:after="20"/>
            </w:pPr>
            <w:r>
              <w:rPr>
                <w:rFonts w:ascii="Consolas" w:eastAsia="Consolas" w:hAnsi="Consolas" w:cs="Consolas"/>
                <w:color w:val="D4D4D4"/>
                <w:sz w:val="19"/>
                <w:szCs w:val="19"/>
              </w:rPr>
              <w:t xml:space="preserve"> </w:t>
            </w:r>
          </w:p>
          <w:p w14:paraId="4583007D" w14:textId="77777777" w:rsidR="00C226FF" w:rsidRDefault="0055692E">
            <w:pPr>
              <w:spacing w:after="20"/>
            </w:pPr>
            <w:r>
              <w:rPr>
                <w:rFonts w:ascii="Consolas" w:eastAsia="Consolas" w:hAnsi="Consolas" w:cs="Consolas"/>
                <w:color w:val="D4D4D4"/>
                <w:sz w:val="19"/>
                <w:szCs w:val="19"/>
              </w:rPr>
              <w:t xml:space="preserve">  function execute(context) {</w:t>
            </w:r>
          </w:p>
          <w:p w14:paraId="4583007E" w14:textId="77777777" w:rsidR="00C226FF" w:rsidRDefault="0055692E">
            <w:pPr>
              <w:spacing w:after="20"/>
            </w:pPr>
            <w:r>
              <w:rPr>
                <w:rFonts w:ascii="Consolas" w:eastAsia="Consolas" w:hAnsi="Consolas" w:cs="Consolas"/>
                <w:color w:val="D4D4D4"/>
                <w:sz w:val="19"/>
                <w:szCs w:val="19"/>
              </w:rPr>
              <w:t xml:space="preserve">    // Reproduce a custom KPI's number by running its underlying</w:t>
            </w:r>
          </w:p>
          <w:p w14:paraId="4583007F" w14:textId="77777777" w:rsidR="00C226FF" w:rsidRDefault="0055692E">
            <w:pPr>
              <w:spacing w:after="20"/>
            </w:pPr>
            <w:r>
              <w:rPr>
                <w:rFonts w:ascii="Consolas" w:eastAsia="Consolas" w:hAnsi="Consolas" w:cs="Consolas"/>
                <w:color w:val="D4D4D4"/>
                <w:sz w:val="19"/>
                <w:szCs w:val="19"/>
              </w:rPr>
              <w:t xml:space="preserve">    // saved search directly — the same search feeding the</w:t>
            </w:r>
          </w:p>
          <w:p w14:paraId="45830080" w14:textId="77777777" w:rsidR="00C226FF" w:rsidRDefault="0055692E">
            <w:pPr>
              <w:spacing w:after="20"/>
            </w:pPr>
            <w:r>
              <w:rPr>
                <w:rFonts w:ascii="Consolas" w:eastAsia="Consolas" w:hAnsi="Consolas" w:cs="Consolas"/>
                <w:color w:val="D4D4D4"/>
                <w:sz w:val="19"/>
                <w:szCs w:val="19"/>
              </w:rPr>
              <w:t xml:space="preserve">    // Key Performance Indicators </w:t>
            </w:r>
            <w:proofErr w:type="gramStart"/>
            <w:r>
              <w:rPr>
                <w:rFonts w:ascii="Consolas" w:eastAsia="Consolas" w:hAnsi="Consolas" w:cs="Consolas"/>
                <w:color w:val="D4D4D4"/>
                <w:sz w:val="19"/>
                <w:szCs w:val="19"/>
              </w:rPr>
              <w:t>portlet's</w:t>
            </w:r>
            <w:proofErr w:type="gramEnd"/>
            <w:r>
              <w:rPr>
                <w:rFonts w:ascii="Consolas" w:eastAsia="Consolas" w:hAnsi="Consolas" w:cs="Consolas"/>
                <w:color w:val="D4D4D4"/>
                <w:sz w:val="19"/>
                <w:szCs w:val="19"/>
              </w:rPr>
              <w:t xml:space="preserve"> Custom KPI slot.</w:t>
            </w:r>
          </w:p>
          <w:p w14:paraId="45830081" w14:textId="77777777" w:rsidR="00C226FF" w:rsidRDefault="0055692E">
            <w:pPr>
              <w:spacing w:after="20"/>
            </w:pPr>
            <w:r>
              <w:rPr>
                <w:rFonts w:ascii="Consolas" w:eastAsia="Consolas" w:hAnsi="Consolas" w:cs="Consolas"/>
                <w:color w:val="D4D4D4"/>
                <w:sz w:val="19"/>
                <w:szCs w:val="19"/>
              </w:rPr>
              <w:t xml:space="preserve">    var </w:t>
            </w:r>
            <w:proofErr w:type="spellStart"/>
            <w:r>
              <w:rPr>
                <w:rFonts w:ascii="Consolas" w:eastAsia="Consolas" w:hAnsi="Consolas" w:cs="Consolas"/>
                <w:color w:val="D4D4D4"/>
                <w:sz w:val="19"/>
                <w:szCs w:val="19"/>
              </w:rPr>
              <w:t>kpiSearch</w:t>
            </w:r>
            <w:proofErr w:type="spellEnd"/>
            <w:r>
              <w:rPr>
                <w:rFonts w:ascii="Consolas" w:eastAsia="Consolas" w:hAnsi="Consolas" w:cs="Consolas"/>
                <w:color w:val="D4D4D4"/>
                <w:sz w:val="19"/>
                <w:szCs w:val="19"/>
              </w:rPr>
              <w:t xml:space="preserve"> = </w:t>
            </w:r>
            <w:proofErr w:type="gramStart"/>
            <w:r>
              <w:rPr>
                <w:rFonts w:ascii="Consolas" w:eastAsia="Consolas" w:hAnsi="Consolas" w:cs="Consolas"/>
                <w:color w:val="D4D4D4"/>
                <w:sz w:val="19"/>
                <w:szCs w:val="19"/>
              </w:rPr>
              <w:t>search.load</w:t>
            </w:r>
            <w:proofErr w:type="gramEnd"/>
            <w:r>
              <w:rPr>
                <w:rFonts w:ascii="Consolas" w:eastAsia="Consolas" w:hAnsi="Consolas" w:cs="Consolas"/>
                <w:color w:val="D4D4D4"/>
                <w:sz w:val="19"/>
                <w:szCs w:val="19"/>
              </w:rPr>
              <w:t>({ id: '</w:t>
            </w:r>
            <w:proofErr w:type="spellStart"/>
            <w:r>
              <w:rPr>
                <w:rFonts w:ascii="Consolas" w:eastAsia="Consolas" w:hAnsi="Consolas" w:cs="Consolas"/>
                <w:color w:val="D4D4D4"/>
                <w:sz w:val="19"/>
                <w:szCs w:val="19"/>
              </w:rPr>
              <w:t>customsearch_open_support_cases_kpi</w:t>
            </w:r>
            <w:proofErr w:type="spellEnd"/>
            <w:r>
              <w:rPr>
                <w:rFonts w:ascii="Consolas" w:eastAsia="Consolas" w:hAnsi="Consolas" w:cs="Consolas"/>
                <w:color w:val="D4D4D4"/>
                <w:sz w:val="19"/>
                <w:szCs w:val="19"/>
              </w:rPr>
              <w:t>' });</w:t>
            </w:r>
          </w:p>
          <w:p w14:paraId="45830082" w14:textId="77777777" w:rsidR="00C226FF" w:rsidRDefault="0055692E">
            <w:pPr>
              <w:spacing w:after="20"/>
            </w:pPr>
            <w:r>
              <w:rPr>
                <w:rFonts w:ascii="Consolas" w:eastAsia="Consolas" w:hAnsi="Consolas" w:cs="Consolas"/>
                <w:color w:val="D4D4D4"/>
                <w:sz w:val="19"/>
                <w:szCs w:val="19"/>
              </w:rPr>
              <w:t xml:space="preserve"> </w:t>
            </w:r>
          </w:p>
          <w:p w14:paraId="45830083" w14:textId="77777777" w:rsidR="00C226FF" w:rsidRDefault="0055692E">
            <w:pPr>
              <w:spacing w:after="20"/>
            </w:pPr>
            <w:r>
              <w:rPr>
                <w:rFonts w:ascii="Consolas" w:eastAsia="Consolas" w:hAnsi="Consolas" w:cs="Consolas"/>
                <w:color w:val="D4D4D4"/>
                <w:sz w:val="19"/>
                <w:szCs w:val="19"/>
              </w:rPr>
              <w:t xml:space="preserve">    var total = 0;</w:t>
            </w:r>
          </w:p>
          <w:p w14:paraId="45830084" w14:textId="77777777" w:rsidR="00C226FF" w:rsidRDefault="0055692E">
            <w:pPr>
              <w:spacing w:after="2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kpiSearch.run</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).each(function (result) {</w:t>
            </w:r>
          </w:p>
          <w:p w14:paraId="45830085" w14:textId="77777777" w:rsidR="00C226FF" w:rsidRDefault="0055692E">
            <w:pPr>
              <w:spacing w:after="20"/>
            </w:pPr>
            <w:r>
              <w:rPr>
                <w:rFonts w:ascii="Consolas" w:eastAsia="Consolas" w:hAnsi="Consolas" w:cs="Consolas"/>
                <w:color w:val="D4D4D4"/>
                <w:sz w:val="19"/>
                <w:szCs w:val="19"/>
              </w:rPr>
              <w:t xml:space="preserve">      // The search must carry exactly one summarized Results</w:t>
            </w:r>
          </w:p>
          <w:p w14:paraId="45830086" w14:textId="77777777" w:rsidR="00C226FF" w:rsidRDefault="0055692E">
            <w:pPr>
              <w:spacing w:after="20"/>
            </w:pPr>
            <w:r>
              <w:rPr>
                <w:rFonts w:ascii="Consolas" w:eastAsia="Consolas" w:hAnsi="Consolas" w:cs="Consolas"/>
                <w:color w:val="D4D4D4"/>
                <w:sz w:val="19"/>
                <w:szCs w:val="19"/>
              </w:rPr>
              <w:t xml:space="preserve">      // field per Section 4.2 — that field is read here.</w:t>
            </w:r>
          </w:p>
          <w:p w14:paraId="45830087" w14:textId="77777777" w:rsidR="00C226FF" w:rsidRDefault="0055692E">
            <w:pPr>
              <w:spacing w:after="20"/>
            </w:pPr>
            <w:r>
              <w:rPr>
                <w:rFonts w:ascii="Consolas" w:eastAsia="Consolas" w:hAnsi="Consolas" w:cs="Consolas"/>
                <w:color w:val="D4D4D4"/>
                <w:sz w:val="19"/>
                <w:szCs w:val="19"/>
              </w:rPr>
              <w:t xml:space="preserve">      total = </w:t>
            </w:r>
            <w:proofErr w:type="gramStart"/>
            <w:r>
              <w:rPr>
                <w:rFonts w:ascii="Consolas" w:eastAsia="Consolas" w:hAnsi="Consolas" w:cs="Consolas"/>
                <w:color w:val="D4D4D4"/>
                <w:sz w:val="19"/>
                <w:szCs w:val="19"/>
              </w:rPr>
              <w:t>result.getValue</w:t>
            </w:r>
            <w:proofErr w:type="gramEnd"/>
            <w:r>
              <w:rPr>
                <w:rFonts w:ascii="Consolas" w:eastAsia="Consolas" w:hAnsi="Consolas" w:cs="Consolas"/>
                <w:color w:val="D4D4D4"/>
                <w:sz w:val="19"/>
                <w:szCs w:val="19"/>
              </w:rPr>
              <w:t>({ name: 'internalid', summary: 'COUNT' });</w:t>
            </w:r>
          </w:p>
          <w:p w14:paraId="45830088" w14:textId="77777777" w:rsidR="00C226FF" w:rsidRDefault="0055692E">
            <w:pPr>
              <w:spacing w:after="20"/>
            </w:pPr>
            <w:r>
              <w:rPr>
                <w:rFonts w:ascii="Consolas" w:eastAsia="Consolas" w:hAnsi="Consolas" w:cs="Consolas"/>
                <w:color w:val="D4D4D4"/>
                <w:sz w:val="19"/>
                <w:szCs w:val="19"/>
              </w:rPr>
              <w:t xml:space="preserve">      return true;</w:t>
            </w:r>
          </w:p>
          <w:p w14:paraId="45830089" w14:textId="77777777" w:rsidR="00C226FF" w:rsidRDefault="0055692E">
            <w:pPr>
              <w:spacing w:after="20"/>
            </w:pPr>
            <w:r>
              <w:rPr>
                <w:rFonts w:ascii="Consolas" w:eastAsia="Consolas" w:hAnsi="Consolas" w:cs="Consolas"/>
                <w:color w:val="D4D4D4"/>
                <w:sz w:val="19"/>
                <w:szCs w:val="19"/>
              </w:rPr>
              <w:t xml:space="preserve">    });</w:t>
            </w:r>
          </w:p>
          <w:p w14:paraId="4583008A" w14:textId="77777777" w:rsidR="00C226FF" w:rsidRDefault="0055692E">
            <w:pPr>
              <w:spacing w:after="20"/>
            </w:pPr>
            <w:r>
              <w:rPr>
                <w:rFonts w:ascii="Consolas" w:eastAsia="Consolas" w:hAnsi="Consolas" w:cs="Consolas"/>
                <w:color w:val="D4D4D4"/>
                <w:sz w:val="19"/>
                <w:szCs w:val="19"/>
              </w:rPr>
              <w:t xml:space="preserve"> </w:t>
            </w:r>
          </w:p>
          <w:p w14:paraId="4583008B" w14:textId="77777777" w:rsidR="00C226FF" w:rsidRDefault="0055692E">
            <w:pPr>
              <w:spacing w:after="2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log.audit</w:t>
            </w:r>
            <w:proofErr w:type="spellEnd"/>
            <w:proofErr w:type="gramEnd"/>
            <w:r>
              <w:rPr>
                <w:rFonts w:ascii="Consolas" w:eastAsia="Consolas" w:hAnsi="Consolas" w:cs="Consolas"/>
                <w:color w:val="D4D4D4"/>
                <w:sz w:val="19"/>
                <w:szCs w:val="19"/>
              </w:rPr>
              <w:t>('Open Cases (matches KPI)', total);</w:t>
            </w:r>
          </w:p>
          <w:p w14:paraId="4583008C" w14:textId="77777777" w:rsidR="00C226FF" w:rsidRDefault="0055692E">
            <w:pPr>
              <w:spacing w:after="20"/>
            </w:pPr>
            <w:r>
              <w:rPr>
                <w:rFonts w:ascii="Consolas" w:eastAsia="Consolas" w:hAnsi="Consolas" w:cs="Consolas"/>
                <w:color w:val="D4D4D4"/>
                <w:sz w:val="19"/>
                <w:szCs w:val="19"/>
              </w:rPr>
              <w:t xml:space="preserve">  }</w:t>
            </w:r>
          </w:p>
          <w:p w14:paraId="4583008D" w14:textId="77777777" w:rsidR="00C226FF" w:rsidRDefault="0055692E">
            <w:pPr>
              <w:spacing w:after="20"/>
            </w:pPr>
            <w:r>
              <w:rPr>
                <w:rFonts w:ascii="Consolas" w:eastAsia="Consolas" w:hAnsi="Consolas" w:cs="Consolas"/>
                <w:color w:val="D4D4D4"/>
                <w:sz w:val="19"/>
                <w:szCs w:val="19"/>
              </w:rPr>
              <w:t xml:space="preserve"> </w:t>
            </w:r>
          </w:p>
          <w:p w14:paraId="4583008E" w14:textId="77777777" w:rsidR="00C226FF" w:rsidRDefault="0055692E">
            <w:pPr>
              <w:spacing w:after="20"/>
            </w:pPr>
            <w:r>
              <w:rPr>
                <w:rFonts w:ascii="Consolas" w:eastAsia="Consolas" w:hAnsi="Consolas" w:cs="Consolas"/>
                <w:color w:val="D4D4D4"/>
                <w:sz w:val="19"/>
                <w:szCs w:val="19"/>
              </w:rPr>
              <w:t xml:space="preserve">  return </w:t>
            </w:r>
            <w:proofErr w:type="gramStart"/>
            <w:r>
              <w:rPr>
                <w:rFonts w:ascii="Consolas" w:eastAsia="Consolas" w:hAnsi="Consolas" w:cs="Consolas"/>
                <w:color w:val="D4D4D4"/>
                <w:sz w:val="19"/>
                <w:szCs w:val="19"/>
              </w:rPr>
              <w:t>{ execute</w:t>
            </w:r>
            <w:proofErr w:type="gramEnd"/>
            <w:r>
              <w:rPr>
                <w:rFonts w:ascii="Consolas" w:eastAsia="Consolas" w:hAnsi="Consolas" w:cs="Consolas"/>
                <w:color w:val="D4D4D4"/>
                <w:sz w:val="19"/>
                <w:szCs w:val="19"/>
              </w:rPr>
              <w:t>: execute };</w:t>
            </w:r>
          </w:p>
          <w:p w14:paraId="4583008F" w14:textId="77777777" w:rsidR="00C226FF" w:rsidRDefault="0055692E">
            <w:pPr>
              <w:spacing w:after="20"/>
            </w:pPr>
            <w:r>
              <w:rPr>
                <w:rFonts w:ascii="Consolas" w:eastAsia="Consolas" w:hAnsi="Consolas" w:cs="Consolas"/>
                <w:color w:val="D4D4D4"/>
                <w:sz w:val="19"/>
                <w:szCs w:val="19"/>
              </w:rPr>
              <w:t>});</w:t>
            </w:r>
          </w:p>
        </w:tc>
      </w:tr>
    </w:tbl>
    <w:p w14:paraId="6B947AD0" w14:textId="77777777" w:rsidR="00857DA8" w:rsidRDefault="00857DA8" w:rsidP="00FD6980">
      <w:pPr>
        <w:pStyle w:val="Heading2"/>
        <w:spacing w:before="320" w:after="140"/>
        <w:rPr>
          <w:b/>
          <w:bCs/>
          <w:color w:val="2E5395"/>
        </w:rPr>
      </w:pPr>
    </w:p>
    <w:p w14:paraId="293ECA25" w14:textId="768F1E90" w:rsidR="00FD6980" w:rsidRDefault="0055692E" w:rsidP="00FD6980">
      <w:pPr>
        <w:pStyle w:val="Heading2"/>
        <w:spacing w:before="320" w:after="140"/>
        <w:rPr>
          <w:b/>
          <w:bCs/>
          <w:color w:val="2E5395"/>
        </w:rPr>
      </w:pPr>
      <w:r>
        <w:rPr>
          <w:b/>
          <w:bCs/>
          <w:color w:val="2E5395"/>
        </w:rPr>
        <w:lastRenderedPageBreak/>
        <w:t>8.2 What Is Manageable via SDF — KPI Scorecards</w:t>
      </w:r>
    </w:p>
    <w:p w14:paraId="45830092" w14:textId="368909E1" w:rsidR="00C226FF" w:rsidRDefault="0055692E" w:rsidP="00FD6980">
      <w:pPr>
        <w:pStyle w:val="Heading2"/>
        <w:spacing w:before="320" w:after="140"/>
        <w:rPr>
          <w:color w:val="404040"/>
          <w:sz w:val="22"/>
          <w:szCs w:val="22"/>
        </w:rPr>
      </w:pPr>
      <w:r>
        <w:rPr>
          <w:color w:val="404040"/>
          <w:sz w:val="22"/>
          <w:szCs w:val="22"/>
        </w:rPr>
        <w:t xml:space="preserve">KPI Scorecards are the one object in this layer with a documented SDF representation: they can be </w:t>
      </w:r>
      <w:proofErr w:type="spellStart"/>
      <w:r>
        <w:rPr>
          <w:color w:val="404040"/>
          <w:sz w:val="22"/>
          <w:szCs w:val="22"/>
        </w:rPr>
        <w:t>modeled</w:t>
      </w:r>
      <w:proofErr w:type="spellEnd"/>
      <w:r>
        <w:rPr>
          <w:color w:val="404040"/>
          <w:sz w:val="22"/>
          <w:szCs w:val="22"/>
        </w:rPr>
        <w:t xml:space="preserve"> as XML custom objects and deployed through a SuiteCloud project, using the </w:t>
      </w:r>
      <w:proofErr w:type="spellStart"/>
      <w:r>
        <w:rPr>
          <w:color w:val="404040"/>
          <w:sz w:val="22"/>
          <w:szCs w:val="22"/>
        </w:rPr>
        <w:t>kpiscorecard</w:t>
      </w:r>
      <w:proofErr w:type="spellEnd"/>
      <w:r>
        <w:rPr>
          <w:color w:val="404040"/>
          <w:sz w:val="22"/>
          <w:szCs w:val="22"/>
        </w:rPr>
        <w:t xml:space="preserve"> root element and a script ID. The definition supports up to 10 custom KPI references (kpi1 through kpi10, each pointing to a saved search ID) and an optional audience structure defining which roles can select the scorecard.</w:t>
      </w:r>
    </w:p>
    <w:p w14:paraId="424CBF5A" w14:textId="77777777" w:rsidR="005E5E2D" w:rsidRDefault="005E5E2D" w:rsidP="00FD6980">
      <w:pPr>
        <w:pStyle w:val="Heading2"/>
        <w:spacing w:before="320" w:after="140"/>
      </w:pPr>
    </w:p>
    <w:tbl>
      <w:tblPr>
        <w:tblW w:w="5000" w:type="pct"/>
        <w:tblBorders>
          <w:top w:val="single" w:sz="2" w:space="0" w:color="1E1E1E"/>
          <w:left w:val="single" w:sz="2" w:space="0" w:color="1E1E1E"/>
          <w:bottom w:val="single" w:sz="2" w:space="0" w:color="1E1E1E"/>
          <w:right w:val="single" w:sz="2" w:space="0" w:color="1E1E1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74"/>
      </w:tblGrid>
      <w:tr w:rsidR="00C226FF" w14:paraId="458300A1" w14:textId="77777777">
        <w:tc>
          <w:tcPr>
            <w:tcW w:w="100" w:type="dxa"/>
            <w:shd w:val="clear" w:color="auto" w:fill="1E1E1E"/>
            <w:tcMar>
              <w:top w:w="200" w:type="dxa"/>
              <w:left w:w="240" w:type="dxa"/>
              <w:bottom w:w="200" w:type="dxa"/>
              <w:right w:w="240" w:type="dxa"/>
            </w:tcMar>
          </w:tcPr>
          <w:p w14:paraId="45830093" w14:textId="77777777" w:rsidR="00C226FF" w:rsidRDefault="0055692E">
            <w:pPr>
              <w:spacing w:after="20"/>
            </w:pPr>
            <w:r>
              <w:rPr>
                <w:rFonts w:ascii="Consolas" w:eastAsia="Consolas" w:hAnsi="Consolas" w:cs="Consolas"/>
                <w:color w:val="D4D4D4"/>
                <w:sz w:val="19"/>
                <w:szCs w:val="19"/>
              </w:rPr>
              <w:t>&lt;</w:t>
            </w:r>
            <w:proofErr w:type="spellStart"/>
            <w:r>
              <w:rPr>
                <w:rFonts w:ascii="Consolas" w:eastAsia="Consolas" w:hAnsi="Consolas" w:cs="Consolas"/>
                <w:color w:val="D4D4D4"/>
                <w:sz w:val="19"/>
                <w:szCs w:val="19"/>
              </w:rPr>
              <w:t>kpiscorecard</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scriptid</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custkpiscorecard_finance_summary</w:t>
            </w:r>
            <w:proofErr w:type="spellEnd"/>
            <w:r>
              <w:rPr>
                <w:rFonts w:ascii="Consolas" w:eastAsia="Consolas" w:hAnsi="Consolas" w:cs="Consolas"/>
                <w:color w:val="D4D4D4"/>
                <w:sz w:val="19"/>
                <w:szCs w:val="19"/>
              </w:rPr>
              <w:t>"&gt;</w:t>
            </w:r>
          </w:p>
          <w:p w14:paraId="45830094" w14:textId="77777777" w:rsidR="00C226FF" w:rsidRDefault="0055692E">
            <w:pPr>
              <w:spacing w:after="20"/>
            </w:pPr>
            <w:r>
              <w:rPr>
                <w:rFonts w:ascii="Consolas" w:eastAsia="Consolas" w:hAnsi="Consolas" w:cs="Consolas"/>
                <w:color w:val="D4D4D4"/>
                <w:sz w:val="19"/>
                <w:szCs w:val="19"/>
              </w:rPr>
              <w:t xml:space="preserve">  &lt;name&gt;Finance Summary Scorecard&lt;/name&gt;</w:t>
            </w:r>
          </w:p>
          <w:p w14:paraId="45830095" w14:textId="77777777" w:rsidR="00C226FF" w:rsidRDefault="0055692E">
            <w:pPr>
              <w:spacing w:after="20"/>
            </w:pPr>
            <w:r>
              <w:rPr>
                <w:rFonts w:ascii="Consolas" w:eastAsia="Consolas" w:hAnsi="Consolas" w:cs="Consolas"/>
                <w:color w:val="D4D4D4"/>
                <w:sz w:val="19"/>
                <w:szCs w:val="19"/>
              </w:rPr>
              <w:t xml:space="preserve">  &lt;</w:t>
            </w:r>
            <w:proofErr w:type="spellStart"/>
            <w:r>
              <w:rPr>
                <w:rFonts w:ascii="Consolas" w:eastAsia="Consolas" w:hAnsi="Consolas" w:cs="Consolas"/>
                <w:color w:val="D4D4D4"/>
                <w:sz w:val="19"/>
                <w:szCs w:val="19"/>
              </w:rPr>
              <w:t>usePeriods</w:t>
            </w:r>
            <w:proofErr w:type="spellEnd"/>
            <w:r>
              <w:rPr>
                <w:rFonts w:ascii="Consolas" w:eastAsia="Consolas" w:hAnsi="Consolas" w:cs="Consolas"/>
                <w:color w:val="D4D4D4"/>
                <w:sz w:val="19"/>
                <w:szCs w:val="19"/>
              </w:rPr>
              <w:t>&gt;T&lt;/</w:t>
            </w:r>
            <w:proofErr w:type="spellStart"/>
            <w:r>
              <w:rPr>
                <w:rFonts w:ascii="Consolas" w:eastAsia="Consolas" w:hAnsi="Consolas" w:cs="Consolas"/>
                <w:color w:val="D4D4D4"/>
                <w:sz w:val="19"/>
                <w:szCs w:val="19"/>
              </w:rPr>
              <w:t>usePeriods</w:t>
            </w:r>
            <w:proofErr w:type="spellEnd"/>
            <w:r>
              <w:rPr>
                <w:rFonts w:ascii="Consolas" w:eastAsia="Consolas" w:hAnsi="Consolas" w:cs="Consolas"/>
                <w:color w:val="D4D4D4"/>
                <w:sz w:val="19"/>
                <w:szCs w:val="19"/>
              </w:rPr>
              <w:t>&gt;</w:t>
            </w:r>
          </w:p>
          <w:p w14:paraId="45830096" w14:textId="77777777" w:rsidR="00C226FF" w:rsidRDefault="0055692E">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&lt;!--</w:t>
            </w:r>
            <w:proofErr w:type="gramEnd"/>
            <w:r>
              <w:rPr>
                <w:rFonts w:ascii="Consolas" w:eastAsia="Consolas" w:hAnsi="Consolas" w:cs="Consolas"/>
                <w:color w:val="D4D4D4"/>
                <w:sz w:val="19"/>
                <w:szCs w:val="19"/>
              </w:rPr>
              <w:t xml:space="preserve"> kpi1..kpi10 map custom KPI slots to saved search IDs --&gt;</w:t>
            </w:r>
          </w:p>
          <w:p w14:paraId="45830097" w14:textId="77777777" w:rsidR="00C226FF" w:rsidRDefault="0055692E">
            <w:pPr>
              <w:spacing w:after="20"/>
            </w:pPr>
            <w:r>
              <w:rPr>
                <w:rFonts w:ascii="Consolas" w:eastAsia="Consolas" w:hAnsi="Consolas" w:cs="Consolas"/>
                <w:color w:val="D4D4D4"/>
                <w:sz w:val="19"/>
                <w:szCs w:val="19"/>
              </w:rPr>
              <w:t xml:space="preserve">  &lt;custom&gt;</w:t>
            </w:r>
          </w:p>
          <w:p w14:paraId="45830098" w14:textId="77777777" w:rsidR="00C226FF" w:rsidRDefault="0055692E">
            <w:pPr>
              <w:spacing w:after="20"/>
            </w:pPr>
            <w:r>
              <w:rPr>
                <w:rFonts w:ascii="Consolas" w:eastAsia="Consolas" w:hAnsi="Consolas" w:cs="Consolas"/>
                <w:color w:val="D4D4D4"/>
                <w:sz w:val="19"/>
                <w:szCs w:val="19"/>
              </w:rPr>
              <w:t xml:space="preserve">    &lt;kpi1&gt;</w:t>
            </w:r>
            <w:proofErr w:type="spellStart"/>
            <w:r>
              <w:rPr>
                <w:rFonts w:ascii="Consolas" w:eastAsia="Consolas" w:hAnsi="Consolas" w:cs="Consolas"/>
                <w:color w:val="D4D4D4"/>
                <w:sz w:val="19"/>
                <w:szCs w:val="19"/>
              </w:rPr>
              <w:t>customsearch_open_support_cases_kpi</w:t>
            </w:r>
            <w:proofErr w:type="spellEnd"/>
            <w:r>
              <w:rPr>
                <w:rFonts w:ascii="Consolas" w:eastAsia="Consolas" w:hAnsi="Consolas" w:cs="Consolas"/>
                <w:color w:val="D4D4D4"/>
                <w:sz w:val="19"/>
                <w:szCs w:val="19"/>
              </w:rPr>
              <w:t>&lt;/kpi1&gt;</w:t>
            </w:r>
          </w:p>
          <w:p w14:paraId="45830099" w14:textId="77777777" w:rsidR="00C226FF" w:rsidRDefault="0055692E">
            <w:pPr>
              <w:spacing w:after="20"/>
            </w:pPr>
            <w:r>
              <w:rPr>
                <w:rFonts w:ascii="Consolas" w:eastAsia="Consolas" w:hAnsi="Consolas" w:cs="Consolas"/>
                <w:color w:val="D4D4D4"/>
                <w:sz w:val="19"/>
                <w:szCs w:val="19"/>
              </w:rPr>
              <w:t xml:space="preserve">  &lt;/custom&gt;</w:t>
            </w:r>
          </w:p>
          <w:p w14:paraId="4583009A" w14:textId="77777777" w:rsidR="00C226FF" w:rsidRDefault="0055692E">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&lt;!--</w:t>
            </w:r>
            <w:proofErr w:type="gramEnd"/>
            <w:r>
              <w:rPr>
                <w:rFonts w:ascii="Consolas" w:eastAsia="Consolas" w:hAnsi="Consolas" w:cs="Consolas"/>
                <w:color w:val="D4D4D4"/>
                <w:sz w:val="19"/>
                <w:szCs w:val="19"/>
              </w:rPr>
              <w:t xml:space="preserve"> optional: restrict which roles can add this scorecard --&gt;</w:t>
            </w:r>
          </w:p>
          <w:p w14:paraId="4583009B" w14:textId="77777777" w:rsidR="00C226FF" w:rsidRDefault="0055692E">
            <w:pPr>
              <w:spacing w:after="20"/>
            </w:pPr>
            <w:r>
              <w:rPr>
                <w:rFonts w:ascii="Consolas" w:eastAsia="Consolas" w:hAnsi="Consolas" w:cs="Consolas"/>
                <w:color w:val="D4D4D4"/>
                <w:sz w:val="19"/>
                <w:szCs w:val="19"/>
              </w:rPr>
              <w:t xml:space="preserve">  &lt;audience&gt;</w:t>
            </w:r>
          </w:p>
          <w:p w14:paraId="4583009C" w14:textId="77777777" w:rsidR="00C226FF" w:rsidRDefault="0055692E">
            <w:pPr>
              <w:spacing w:after="20"/>
            </w:pPr>
            <w:r>
              <w:rPr>
                <w:rFonts w:ascii="Consolas" w:eastAsia="Consolas" w:hAnsi="Consolas" w:cs="Consolas"/>
                <w:color w:val="D4D4D4"/>
                <w:sz w:val="19"/>
                <w:szCs w:val="19"/>
              </w:rPr>
              <w:t xml:space="preserve">    &lt;roles&gt;</w:t>
            </w:r>
          </w:p>
          <w:p w14:paraId="4583009D" w14:textId="77777777" w:rsidR="00C226FF" w:rsidRDefault="0055692E">
            <w:pPr>
              <w:spacing w:after="20"/>
            </w:pPr>
            <w:r>
              <w:rPr>
                <w:rFonts w:ascii="Consolas" w:eastAsia="Consolas" w:hAnsi="Consolas" w:cs="Consolas"/>
                <w:color w:val="D4D4D4"/>
                <w:sz w:val="19"/>
                <w:szCs w:val="19"/>
              </w:rPr>
              <w:t xml:space="preserve">      &lt;role&gt;</w:t>
            </w:r>
            <w:proofErr w:type="spellStart"/>
            <w:r>
              <w:rPr>
                <w:rFonts w:ascii="Consolas" w:eastAsia="Consolas" w:hAnsi="Consolas" w:cs="Consolas"/>
                <w:color w:val="D4D4D4"/>
                <w:sz w:val="19"/>
                <w:szCs w:val="19"/>
              </w:rPr>
              <w:t>customrole_finance_manager</w:t>
            </w:r>
            <w:proofErr w:type="spellEnd"/>
            <w:r>
              <w:rPr>
                <w:rFonts w:ascii="Consolas" w:eastAsia="Consolas" w:hAnsi="Consolas" w:cs="Consolas"/>
                <w:color w:val="D4D4D4"/>
                <w:sz w:val="19"/>
                <w:szCs w:val="19"/>
              </w:rPr>
              <w:t>&lt;/role&gt;</w:t>
            </w:r>
          </w:p>
          <w:p w14:paraId="4583009E" w14:textId="77777777" w:rsidR="00C226FF" w:rsidRDefault="0055692E">
            <w:pPr>
              <w:spacing w:after="20"/>
            </w:pPr>
            <w:r>
              <w:rPr>
                <w:rFonts w:ascii="Consolas" w:eastAsia="Consolas" w:hAnsi="Consolas" w:cs="Consolas"/>
                <w:color w:val="D4D4D4"/>
                <w:sz w:val="19"/>
                <w:szCs w:val="19"/>
              </w:rPr>
              <w:t xml:space="preserve">    &lt;/roles&gt;</w:t>
            </w:r>
          </w:p>
          <w:p w14:paraId="4583009F" w14:textId="77777777" w:rsidR="00C226FF" w:rsidRDefault="0055692E">
            <w:pPr>
              <w:spacing w:after="20"/>
            </w:pPr>
            <w:r>
              <w:rPr>
                <w:rFonts w:ascii="Consolas" w:eastAsia="Consolas" w:hAnsi="Consolas" w:cs="Consolas"/>
                <w:color w:val="D4D4D4"/>
                <w:sz w:val="19"/>
                <w:szCs w:val="19"/>
              </w:rPr>
              <w:t xml:space="preserve">  &lt;/audience&gt;</w:t>
            </w:r>
          </w:p>
          <w:p w14:paraId="458300A0" w14:textId="77777777" w:rsidR="00C226FF" w:rsidRDefault="0055692E">
            <w:pPr>
              <w:spacing w:after="20"/>
            </w:pPr>
            <w:r>
              <w:rPr>
                <w:rFonts w:ascii="Consolas" w:eastAsia="Consolas" w:hAnsi="Consolas" w:cs="Consolas"/>
                <w:color w:val="D4D4D4"/>
                <w:sz w:val="19"/>
                <w:szCs w:val="19"/>
              </w:rPr>
              <w:t>&lt;/</w:t>
            </w:r>
            <w:proofErr w:type="spellStart"/>
            <w:r>
              <w:rPr>
                <w:rFonts w:ascii="Consolas" w:eastAsia="Consolas" w:hAnsi="Consolas" w:cs="Consolas"/>
                <w:color w:val="D4D4D4"/>
                <w:sz w:val="19"/>
                <w:szCs w:val="19"/>
              </w:rPr>
              <w:t>kpiscorecard</w:t>
            </w:r>
            <w:proofErr w:type="spellEnd"/>
            <w:r>
              <w:rPr>
                <w:rFonts w:ascii="Consolas" w:eastAsia="Consolas" w:hAnsi="Consolas" w:cs="Consolas"/>
                <w:color w:val="D4D4D4"/>
                <w:sz w:val="19"/>
                <w:szCs w:val="19"/>
              </w:rPr>
              <w:t>&gt;</w:t>
            </w:r>
          </w:p>
        </w:tc>
      </w:tr>
    </w:tbl>
    <w:p w14:paraId="458300A2" w14:textId="77777777" w:rsidR="00C226FF" w:rsidRDefault="00C226FF">
      <w:pPr>
        <w:spacing w:after="80"/>
      </w:pPr>
    </w:p>
    <w:tbl>
      <w:tblPr>
        <w:tblW w:w="5000" w:type="pct"/>
        <w:tblBorders>
          <w:top w:val="single" w:sz="6" w:space="0" w:color="E8C48A"/>
          <w:left w:val="single" w:sz="6" w:space="0" w:color="E8C48A"/>
          <w:bottom w:val="single" w:sz="6" w:space="0" w:color="E8C48A"/>
          <w:right w:val="single" w:sz="6" w:space="0" w:color="E8C48A"/>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64"/>
      </w:tblGrid>
      <w:tr w:rsidR="00C226FF" w14:paraId="458300A6" w14:textId="77777777">
        <w:tc>
          <w:tcPr>
            <w:tcW w:w="100" w:type="dxa"/>
            <w:shd w:val="clear" w:color="auto" w:fill="FFF4E5"/>
            <w:tcMar>
              <w:top w:w="160" w:type="dxa"/>
              <w:left w:w="200" w:type="dxa"/>
              <w:bottom w:w="160" w:type="dxa"/>
              <w:right w:w="200" w:type="dxa"/>
            </w:tcMar>
          </w:tcPr>
          <w:p w14:paraId="458300A3" w14:textId="77777777" w:rsidR="00C226FF" w:rsidRDefault="0055692E">
            <w:pPr>
              <w:spacing w:after="100"/>
            </w:pPr>
            <w:r>
              <w:rPr>
                <w:b/>
                <w:bCs/>
                <w:color w:val="1F3864"/>
              </w:rPr>
              <w:t xml:space="preserve">⚠️ An SDF-Managed Scorecard Still Has to Be Wired </w:t>
            </w:r>
            <w:proofErr w:type="gramStart"/>
            <w:r>
              <w:rPr>
                <w:b/>
                <w:bCs/>
                <w:color w:val="1F3864"/>
              </w:rPr>
              <w:t>In</w:t>
            </w:r>
            <w:proofErr w:type="gramEnd"/>
            <w:r>
              <w:rPr>
                <w:b/>
                <w:bCs/>
                <w:color w:val="1F3864"/>
              </w:rPr>
              <w:t xml:space="preserve"> Through the UI</w:t>
            </w:r>
          </w:p>
          <w:p w14:paraId="458300A4" w14:textId="77777777" w:rsidR="00C226FF" w:rsidRDefault="0055692E">
            <w:pPr>
              <w:pStyle w:val="ListParagraph"/>
              <w:numPr>
                <w:ilvl w:val="0"/>
                <w:numId w:val="2"/>
              </w:numPr>
              <w:spacing w:after="90" w:line="260" w:lineRule="auto"/>
            </w:pPr>
            <w:r>
              <w:rPr>
                <w:sz w:val="21"/>
                <w:szCs w:val="21"/>
              </w:rPr>
              <w:t>KPI scorecard objects deployed via a SuiteCloud project cannot be referenced or configured for use in any published dashboard object that is also managed through a SuiteCloud project.</w:t>
            </w:r>
          </w:p>
          <w:p w14:paraId="458300A5" w14:textId="77777777" w:rsidR="00C226FF" w:rsidRDefault="0055692E">
            <w:pPr>
              <w:pStyle w:val="ListParagraph"/>
              <w:numPr>
                <w:ilvl w:val="0"/>
                <w:numId w:val="2"/>
              </w:numPr>
              <w:spacing w:line="260" w:lineRule="auto"/>
            </w:pPr>
            <w:r>
              <w:rPr>
                <w:sz w:val="21"/>
                <w:szCs w:val="21"/>
              </w:rPr>
              <w:t>In practice: the scorecard's definition (KPIs, formulas, date ranges, audience) can be source-controlled and deployed across environments, but attaching it to a specific role's published dashboard as a KPI Scorecard portlet still has to happen through Personalize Dashboard &gt; Set Up in the NetSuite UI — that link is not itself an SDF-deployable artifact.</w:t>
            </w:r>
          </w:p>
        </w:tc>
      </w:tr>
    </w:tbl>
    <w:p w14:paraId="62CC5A07" w14:textId="77777777" w:rsidR="0011306D" w:rsidRDefault="0011306D">
      <w:pPr>
        <w:pStyle w:val="Heading2"/>
        <w:spacing w:before="320" w:after="140"/>
        <w:rPr>
          <w:b/>
          <w:bCs/>
          <w:color w:val="2E5395"/>
        </w:rPr>
      </w:pPr>
    </w:p>
    <w:p w14:paraId="194A1595" w14:textId="77777777" w:rsidR="0011306D" w:rsidRDefault="0011306D">
      <w:pPr>
        <w:pStyle w:val="Heading2"/>
        <w:spacing w:before="320" w:after="140"/>
        <w:rPr>
          <w:b/>
          <w:bCs/>
          <w:color w:val="2E5395"/>
        </w:rPr>
      </w:pPr>
    </w:p>
    <w:p w14:paraId="63873D7A" w14:textId="77777777" w:rsidR="0011306D" w:rsidRDefault="0011306D">
      <w:pPr>
        <w:pStyle w:val="Heading2"/>
        <w:spacing w:before="320" w:after="140"/>
        <w:rPr>
          <w:b/>
          <w:bCs/>
          <w:color w:val="2E5395"/>
        </w:rPr>
      </w:pPr>
    </w:p>
    <w:p w14:paraId="165B21E9" w14:textId="77777777" w:rsidR="0011306D" w:rsidRDefault="0011306D">
      <w:pPr>
        <w:pStyle w:val="Heading2"/>
        <w:spacing w:before="320" w:after="140"/>
        <w:rPr>
          <w:b/>
          <w:bCs/>
          <w:color w:val="2E5395"/>
        </w:rPr>
      </w:pPr>
    </w:p>
    <w:p w14:paraId="04875A3A" w14:textId="77777777" w:rsidR="0011306D" w:rsidRDefault="0011306D">
      <w:pPr>
        <w:pStyle w:val="Heading2"/>
        <w:spacing w:before="320" w:after="140"/>
        <w:rPr>
          <w:b/>
          <w:bCs/>
          <w:color w:val="2E5395"/>
        </w:rPr>
      </w:pPr>
    </w:p>
    <w:p w14:paraId="3E9F5FBE" w14:textId="77777777" w:rsidR="0011306D" w:rsidRDefault="0011306D">
      <w:pPr>
        <w:pStyle w:val="Heading2"/>
        <w:spacing w:before="320" w:after="140"/>
        <w:rPr>
          <w:b/>
          <w:bCs/>
          <w:color w:val="2E5395"/>
        </w:rPr>
      </w:pPr>
    </w:p>
    <w:p w14:paraId="458300A7" w14:textId="0328C6BB" w:rsidR="00C226FF" w:rsidRDefault="0055692E">
      <w:pPr>
        <w:pStyle w:val="Heading2"/>
        <w:spacing w:before="320" w:after="140"/>
      </w:pPr>
      <w:r>
        <w:rPr>
          <w:b/>
          <w:bCs/>
          <w:color w:val="2E5395"/>
        </w:rPr>
        <w:lastRenderedPageBreak/>
        <w:t>8.3 What Is Not a General SDF Object — Dashboards and Portlet Layout</w:t>
      </w:r>
    </w:p>
    <w:p w14:paraId="458300A8" w14:textId="77777777" w:rsidR="00C226FF" w:rsidRDefault="0055692E">
      <w:pPr>
        <w:spacing w:after="160" w:line="276" w:lineRule="auto"/>
      </w:pPr>
      <w:r>
        <w:t>Outside of the KPI scorecard definition itself, dashboard layout, portlet selection, and publishing are governed as a permissions-and-UI workflow (the Publish Dashboards permission, Section 7), not as a deployable custom object comparable to a custom record type or a workflow. Treat rolling out a standard KPI dashboard across environments as a two-part exercise: version-control the KPI scorecard definition (and any custom KPI saved searches it depends on) through SDF, and re-apply the dashboard personalization and publish step manually, or through documented setup steps, in each target account.</w:t>
      </w:r>
    </w:p>
    <w:p w14:paraId="458300A9" w14:textId="77777777" w:rsidR="00C226FF" w:rsidRDefault="00C226FF">
      <w:pPr>
        <w:spacing w:after="60"/>
      </w:pPr>
    </w:p>
    <w:tbl>
      <w:tblPr>
        <w:tblW w:w="5000" w:type="pct"/>
        <w:tblBorders>
          <w:top w:val="single" w:sz="6" w:space="0" w:color="C9D6EA"/>
          <w:left w:val="single" w:sz="6" w:space="0" w:color="C9D6EA"/>
          <w:bottom w:val="single" w:sz="6" w:space="0" w:color="C9D6EA"/>
          <w:right w:val="single" w:sz="6" w:space="0" w:color="C9D6EA"/>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64"/>
      </w:tblGrid>
      <w:tr w:rsidR="00C226FF" w14:paraId="458300AC" w14:textId="77777777">
        <w:tc>
          <w:tcPr>
            <w:tcW w:w="100" w:type="dxa"/>
            <w:shd w:val="clear" w:color="auto" w:fill="F5F7FB"/>
            <w:tcMar>
              <w:top w:w="160" w:type="dxa"/>
              <w:left w:w="200" w:type="dxa"/>
              <w:bottom w:w="160" w:type="dxa"/>
              <w:right w:w="200" w:type="dxa"/>
            </w:tcMar>
          </w:tcPr>
          <w:p w14:paraId="458300AA" w14:textId="77777777" w:rsidR="00C226FF" w:rsidRDefault="0055692E">
            <w:pPr>
              <w:spacing w:after="100"/>
            </w:pPr>
            <w:r>
              <w:rPr>
                <w:b/>
                <w:bCs/>
                <w:color w:val="1F3864"/>
              </w:rPr>
              <w:t>📌 One Metric, Configured Multiple Times</w:t>
            </w:r>
          </w:p>
          <w:p w14:paraId="458300AB" w14:textId="77777777" w:rsidR="00C226FF" w:rsidRDefault="0055692E">
            <w:pPr>
              <w:pStyle w:val="ListParagraph"/>
              <w:numPr>
                <w:ilvl w:val="0"/>
                <w:numId w:val="2"/>
              </w:numPr>
              <w:spacing w:line="260" w:lineRule="auto"/>
            </w:pPr>
            <w:r>
              <w:rPr>
                <w:sz w:val="21"/>
                <w:szCs w:val="21"/>
              </w:rPr>
              <w:t>Because a saved search feeding a custom KPI is attached independently to the KPI portlet, KPI Meter, Trend Graph portlet, and each KPI Scorecard’s Custom subtab (Section 4.3), a later change to that search’s Results or Available Filters shape can silently break just the attachments that no longer satisfy Section 4.2’s rule, not all of them uniformly — worth checking every surface, not just the one that was reported broken.</w:t>
            </w:r>
          </w:p>
        </w:tc>
      </w:tr>
    </w:tbl>
    <w:p w14:paraId="458300AD" w14:textId="77777777" w:rsidR="00C226FF" w:rsidRDefault="0055692E">
      <w:pPr>
        <w:pStyle w:val="Heading1"/>
        <w:pageBreakBefore/>
        <w:spacing w:before="120" w:after="200"/>
      </w:pPr>
      <w:r>
        <w:rPr>
          <w:b/>
          <w:bCs/>
          <w:color w:val="1F3864"/>
        </w:rPr>
        <w:lastRenderedPageBreak/>
        <w:t>9. Architect’s Quick Reference — KPI &amp; Dashboard Decision Framework</w:t>
      </w:r>
    </w:p>
    <w:tbl>
      <w:tblPr>
        <w:tblW w:w="5000" w:type="pct"/>
        <w:tblBorders>
          <w:top w:val="single" w:sz="4" w:space="0" w:color="B9C7DE"/>
          <w:left w:val="single" w:sz="4" w:space="0" w:color="B9C7DE"/>
          <w:bottom w:val="single" w:sz="4" w:space="0" w:color="B9C7DE"/>
          <w:right w:val="single" w:sz="4" w:space="0" w:color="B9C7DE"/>
          <w:insideH w:val="single" w:sz="2" w:space="0" w:color="B9C7DE"/>
          <w:insideV w:val="single" w:sz="2" w:space="0" w:color="B9C7DE"/>
        </w:tblBorders>
        <w:tblLayout w:type="fixed"/>
        <w:tblCellMar>
          <w:left w:w="10" w:type="dxa"/>
          <w:right w:w="10" w:type="dxa"/>
        </w:tblCellMar>
        <w:tblLook w:val="04A0" w:firstRow="1" w:lastRow="0" w:firstColumn="1" w:lastColumn="0" w:noHBand="0" w:noVBand="1"/>
      </w:tblPr>
      <w:tblGrid>
        <w:gridCol w:w="3021"/>
        <w:gridCol w:w="7049"/>
      </w:tblGrid>
      <w:tr w:rsidR="00C226FF" w:rsidRPr="00E2211F" w14:paraId="458300B0" w14:textId="77777777">
        <w:trPr>
          <w:tblHeader/>
        </w:trPr>
        <w:tc>
          <w:tcPr>
            <w:tcW w:w="1500" w:type="pct"/>
            <w:shd w:val="clear" w:color="auto" w:fill="1F3864"/>
            <w:tcMar>
              <w:top w:w="100" w:type="dxa"/>
              <w:left w:w="140" w:type="dxa"/>
              <w:bottom w:w="100" w:type="dxa"/>
              <w:right w:w="140" w:type="dxa"/>
            </w:tcMar>
            <w:vAlign w:val="center"/>
          </w:tcPr>
          <w:p w14:paraId="458300AE" w14:textId="77777777" w:rsidR="00C226FF" w:rsidRPr="00E2211F" w:rsidRDefault="0055692E">
            <w:pPr>
              <w:rPr>
                <w:sz w:val="24"/>
              </w:rPr>
            </w:pPr>
            <w:r w:rsidRPr="00E2211F">
              <w:rPr>
                <w:b/>
                <w:bCs/>
                <w:color w:val="FFFFFF"/>
                <w:sz w:val="24"/>
                <w:szCs w:val="20"/>
              </w:rPr>
              <w:t>Design Decision</w:t>
            </w:r>
          </w:p>
        </w:tc>
        <w:tc>
          <w:tcPr>
            <w:tcW w:w="3500" w:type="pct"/>
            <w:shd w:val="clear" w:color="auto" w:fill="1F3864"/>
            <w:tcMar>
              <w:top w:w="100" w:type="dxa"/>
              <w:left w:w="140" w:type="dxa"/>
              <w:bottom w:w="100" w:type="dxa"/>
              <w:right w:w="140" w:type="dxa"/>
            </w:tcMar>
            <w:vAlign w:val="center"/>
          </w:tcPr>
          <w:p w14:paraId="458300AF" w14:textId="77777777" w:rsidR="00C226FF" w:rsidRPr="00E2211F" w:rsidRDefault="0055692E">
            <w:pPr>
              <w:rPr>
                <w:sz w:val="24"/>
              </w:rPr>
            </w:pPr>
            <w:r w:rsidRPr="00E2211F">
              <w:rPr>
                <w:b/>
                <w:bCs/>
                <w:color w:val="FFFFFF"/>
                <w:sz w:val="24"/>
                <w:szCs w:val="20"/>
              </w:rPr>
              <w:t>Recommended Approach</w:t>
            </w:r>
          </w:p>
        </w:tc>
      </w:tr>
      <w:tr w:rsidR="00C226FF" w14:paraId="458300B3" w14:textId="77777777">
        <w:tc>
          <w:tcPr>
            <w:tcW w:w="1500" w:type="pct"/>
            <w:shd w:val="clear" w:color="auto" w:fill="FFFFFF"/>
            <w:tcMar>
              <w:top w:w="100" w:type="dxa"/>
              <w:left w:w="140" w:type="dxa"/>
              <w:bottom w:w="100" w:type="dxa"/>
              <w:right w:w="140" w:type="dxa"/>
            </w:tcMar>
          </w:tcPr>
          <w:p w14:paraId="458300B1" w14:textId="77777777" w:rsidR="00C226FF" w:rsidRDefault="0055692E">
            <w:r>
              <w:rPr>
                <w:sz w:val="20"/>
                <w:szCs w:val="20"/>
              </w:rPr>
              <w:t>Need a metric that isn’t one of the 75+ standard KPIs</w:t>
            </w:r>
          </w:p>
        </w:tc>
        <w:tc>
          <w:tcPr>
            <w:tcW w:w="3500" w:type="pct"/>
            <w:shd w:val="clear" w:color="auto" w:fill="FFFFFF"/>
            <w:tcMar>
              <w:top w:w="100" w:type="dxa"/>
              <w:left w:w="140" w:type="dxa"/>
              <w:bottom w:w="100" w:type="dxa"/>
              <w:right w:w="140" w:type="dxa"/>
            </w:tcMar>
          </w:tcPr>
          <w:p w14:paraId="458300B2" w14:textId="77777777" w:rsidR="00C226FF" w:rsidRDefault="0055692E">
            <w:r>
              <w:rPr>
                <w:sz w:val="20"/>
                <w:szCs w:val="20"/>
              </w:rPr>
              <w:t>Build or reuse a saved search that satisfies the three-part shape (no date criteria filter, exactly one summarized Results field, a date Available Filter) and expose it as a Custom KPI, rather than trying to bend a standard KPI’s underlying report to fit.</w:t>
            </w:r>
          </w:p>
        </w:tc>
      </w:tr>
      <w:tr w:rsidR="00C226FF" w14:paraId="458300B6" w14:textId="77777777">
        <w:tc>
          <w:tcPr>
            <w:tcW w:w="1500" w:type="pct"/>
            <w:shd w:val="clear" w:color="auto" w:fill="EAF0F9"/>
            <w:tcMar>
              <w:top w:w="100" w:type="dxa"/>
              <w:left w:w="140" w:type="dxa"/>
              <w:bottom w:w="100" w:type="dxa"/>
              <w:right w:w="140" w:type="dxa"/>
            </w:tcMar>
          </w:tcPr>
          <w:p w14:paraId="458300B4" w14:textId="77777777" w:rsidR="00C226FF" w:rsidRDefault="0055692E">
            <w:r>
              <w:rPr>
                <w:sz w:val="20"/>
                <w:szCs w:val="20"/>
              </w:rPr>
              <w:t>Want one metric to show as a headline, a gauge, a trend line, and a scorecard row</w:t>
            </w:r>
          </w:p>
        </w:tc>
        <w:tc>
          <w:tcPr>
            <w:tcW w:w="3500" w:type="pct"/>
            <w:shd w:val="clear" w:color="auto" w:fill="EAF0F9"/>
            <w:tcMar>
              <w:top w:w="100" w:type="dxa"/>
              <w:left w:w="140" w:type="dxa"/>
              <w:bottom w:w="100" w:type="dxa"/>
              <w:right w:w="140" w:type="dxa"/>
            </w:tcMar>
          </w:tcPr>
          <w:p w14:paraId="458300B5" w14:textId="77777777" w:rsidR="00C226FF" w:rsidRDefault="0055692E">
            <w:r>
              <w:rPr>
                <w:sz w:val="20"/>
                <w:szCs w:val="20"/>
              </w:rPr>
              <w:t>Plan to configure it independently in up to four places — KPI portlet, KPI Meter, Trend Graph portlet, and KPI Scorecard Custom subtab — there is no single “attach everywhere” toggle.</w:t>
            </w:r>
          </w:p>
        </w:tc>
      </w:tr>
      <w:tr w:rsidR="00C226FF" w14:paraId="458300B9" w14:textId="77777777">
        <w:tc>
          <w:tcPr>
            <w:tcW w:w="1500" w:type="pct"/>
            <w:shd w:val="clear" w:color="auto" w:fill="FFFFFF"/>
            <w:tcMar>
              <w:top w:w="100" w:type="dxa"/>
              <w:left w:w="140" w:type="dxa"/>
              <w:bottom w:w="100" w:type="dxa"/>
              <w:right w:w="140" w:type="dxa"/>
            </w:tcMar>
          </w:tcPr>
          <w:p w14:paraId="458300B7" w14:textId="77777777" w:rsidR="00C226FF" w:rsidRDefault="0055692E">
            <w:r>
              <w:rPr>
                <w:sz w:val="20"/>
                <w:szCs w:val="20"/>
              </w:rPr>
              <w:t>A KPI Scorecard row returns N/A</w:t>
            </w:r>
          </w:p>
        </w:tc>
        <w:tc>
          <w:tcPr>
            <w:tcW w:w="3500" w:type="pct"/>
            <w:shd w:val="clear" w:color="auto" w:fill="FFFFFF"/>
            <w:tcMar>
              <w:top w:w="100" w:type="dxa"/>
              <w:left w:w="140" w:type="dxa"/>
              <w:bottom w:w="100" w:type="dxa"/>
              <w:right w:w="140" w:type="dxa"/>
            </w:tcMar>
          </w:tcPr>
          <w:p w14:paraId="458300B8" w14:textId="77777777" w:rsidR="00C226FF" w:rsidRDefault="0055692E">
            <w:r>
              <w:rPr>
                <w:sz w:val="20"/>
                <w:szCs w:val="20"/>
              </w:rPr>
              <w:t>Check for a stacked KPI-subtab comparison plus a Date Ranges-subtab comparison first; convert the comparison to a Formula (Percent/Absolute/Currency) instead of trying to combine two comparison mechanisms.</w:t>
            </w:r>
          </w:p>
        </w:tc>
      </w:tr>
      <w:tr w:rsidR="00C226FF" w14:paraId="458300BC" w14:textId="77777777">
        <w:tc>
          <w:tcPr>
            <w:tcW w:w="1500" w:type="pct"/>
            <w:shd w:val="clear" w:color="auto" w:fill="EAF0F9"/>
            <w:tcMar>
              <w:top w:w="100" w:type="dxa"/>
              <w:left w:w="140" w:type="dxa"/>
              <w:bottom w:w="100" w:type="dxa"/>
              <w:right w:w="140" w:type="dxa"/>
            </w:tcMar>
          </w:tcPr>
          <w:p w14:paraId="458300BA" w14:textId="77777777" w:rsidR="00C226FF" w:rsidRDefault="0055692E">
            <w:r>
              <w:rPr>
                <w:sz w:val="20"/>
                <w:szCs w:val="20"/>
              </w:rPr>
              <w:t>Rolling the same dashboard out to a whole team</w:t>
            </w:r>
          </w:p>
        </w:tc>
        <w:tc>
          <w:tcPr>
            <w:tcW w:w="3500" w:type="pct"/>
            <w:shd w:val="clear" w:color="auto" w:fill="EAF0F9"/>
            <w:tcMar>
              <w:top w:w="100" w:type="dxa"/>
              <w:left w:w="140" w:type="dxa"/>
              <w:bottom w:w="100" w:type="dxa"/>
              <w:right w:w="140" w:type="dxa"/>
            </w:tcMar>
          </w:tcPr>
          <w:p w14:paraId="458300BB" w14:textId="77777777" w:rsidR="00C226FF" w:rsidRDefault="0055692E">
            <w:r>
              <w:rPr>
                <w:sz w:val="20"/>
                <w:szCs w:val="20"/>
              </w:rPr>
              <w:t>Personalize once with the Publish Dashboards permission and publish to the roles tied to that Center, rather than asking every user to rebuild their own KPI portlet and scorecards.</w:t>
            </w:r>
          </w:p>
        </w:tc>
      </w:tr>
      <w:tr w:rsidR="00C226FF" w14:paraId="458300BF" w14:textId="77777777">
        <w:tc>
          <w:tcPr>
            <w:tcW w:w="1500" w:type="pct"/>
            <w:shd w:val="clear" w:color="auto" w:fill="FFFFFF"/>
            <w:tcMar>
              <w:top w:w="100" w:type="dxa"/>
              <w:left w:w="140" w:type="dxa"/>
              <w:bottom w:w="100" w:type="dxa"/>
              <w:right w:w="140" w:type="dxa"/>
            </w:tcMar>
          </w:tcPr>
          <w:p w14:paraId="458300BD" w14:textId="77777777" w:rsidR="00C226FF" w:rsidRDefault="0055692E">
            <w:r>
              <w:rPr>
                <w:sz w:val="20"/>
                <w:szCs w:val="20"/>
              </w:rPr>
              <w:t>Version-controlling a KPI scorecard across sandbox and production</w:t>
            </w:r>
          </w:p>
        </w:tc>
        <w:tc>
          <w:tcPr>
            <w:tcW w:w="3500" w:type="pct"/>
            <w:shd w:val="clear" w:color="auto" w:fill="FFFFFF"/>
            <w:tcMar>
              <w:top w:w="100" w:type="dxa"/>
              <w:left w:w="140" w:type="dxa"/>
              <w:bottom w:w="100" w:type="dxa"/>
              <w:right w:w="140" w:type="dxa"/>
            </w:tcMar>
          </w:tcPr>
          <w:p w14:paraId="458300BE" w14:textId="77777777" w:rsidR="00C226FF" w:rsidRDefault="0055692E">
            <w:r>
              <w:rPr>
                <w:sz w:val="20"/>
                <w:szCs w:val="20"/>
              </w:rPr>
              <w:t xml:space="preserve">Model it as an SDF </w:t>
            </w:r>
            <w:proofErr w:type="spellStart"/>
            <w:r>
              <w:rPr>
                <w:sz w:val="20"/>
                <w:szCs w:val="20"/>
              </w:rPr>
              <w:t>kpiscorecard</w:t>
            </w:r>
            <w:proofErr w:type="spellEnd"/>
            <w:r>
              <w:rPr>
                <w:sz w:val="20"/>
                <w:szCs w:val="20"/>
              </w:rPr>
              <w:t xml:space="preserve"> custom object and deploy via a SuiteCloud project, but plan a manual (or scripted setup) step to attach it to each role’s published dashboard — that link isn’t itself SDF-managed.</w:t>
            </w:r>
          </w:p>
        </w:tc>
      </w:tr>
      <w:tr w:rsidR="00C226FF" w14:paraId="458300C2" w14:textId="77777777">
        <w:tc>
          <w:tcPr>
            <w:tcW w:w="1500" w:type="pct"/>
            <w:shd w:val="clear" w:color="auto" w:fill="EAF0F9"/>
            <w:tcMar>
              <w:top w:w="100" w:type="dxa"/>
              <w:left w:w="140" w:type="dxa"/>
              <w:bottom w:w="100" w:type="dxa"/>
              <w:right w:w="140" w:type="dxa"/>
            </w:tcMar>
          </w:tcPr>
          <w:p w14:paraId="458300C0" w14:textId="77777777" w:rsidR="00C226FF" w:rsidRDefault="0055692E">
            <w:r>
              <w:rPr>
                <w:sz w:val="20"/>
                <w:szCs w:val="20"/>
              </w:rPr>
              <w:t>Choosing Actual vs. Forecast or a similar KPI Meter ratio option</w:t>
            </w:r>
          </w:p>
        </w:tc>
        <w:tc>
          <w:tcPr>
            <w:tcW w:w="3500" w:type="pct"/>
            <w:shd w:val="clear" w:color="auto" w:fill="EAF0F9"/>
            <w:tcMar>
              <w:top w:w="100" w:type="dxa"/>
              <w:left w:w="140" w:type="dxa"/>
              <w:bottom w:w="100" w:type="dxa"/>
              <w:right w:w="140" w:type="dxa"/>
            </w:tcMar>
          </w:tcPr>
          <w:p w14:paraId="458300C1" w14:textId="77777777" w:rsidR="00C226FF" w:rsidRDefault="0055692E">
            <w:r>
              <w:rPr>
                <w:sz w:val="20"/>
                <w:szCs w:val="20"/>
              </w:rPr>
              <w:t>Add both underlying KPIs (e.g., Sales and Forecast (Alt. Sales)) to the Key Performance Indicators portlet first — the meter reads from that portlet’s existing selections and shows “No data available” otherwise.</w:t>
            </w:r>
          </w:p>
        </w:tc>
      </w:tr>
      <w:tr w:rsidR="00C226FF" w14:paraId="458300C5" w14:textId="77777777">
        <w:tc>
          <w:tcPr>
            <w:tcW w:w="1500" w:type="pct"/>
            <w:shd w:val="clear" w:color="auto" w:fill="FFFFFF"/>
            <w:tcMar>
              <w:top w:w="100" w:type="dxa"/>
              <w:left w:w="140" w:type="dxa"/>
              <w:bottom w:w="100" w:type="dxa"/>
              <w:right w:w="140" w:type="dxa"/>
            </w:tcMar>
          </w:tcPr>
          <w:p w14:paraId="458300C3" w14:textId="77777777" w:rsidR="00C226FF" w:rsidRDefault="0055692E">
            <w:r>
              <w:rPr>
                <w:sz w:val="20"/>
                <w:szCs w:val="20"/>
              </w:rPr>
              <w:t>A custom KPI’s comparison, highlight, or trend graph “isn’t showing right”</w:t>
            </w:r>
          </w:p>
        </w:tc>
        <w:tc>
          <w:tcPr>
            <w:tcW w:w="3500" w:type="pct"/>
            <w:shd w:val="clear" w:color="auto" w:fill="FFFFFF"/>
            <w:tcMar>
              <w:top w:w="100" w:type="dxa"/>
              <w:left w:w="140" w:type="dxa"/>
              <w:bottom w:w="100" w:type="dxa"/>
              <w:right w:w="140" w:type="dxa"/>
            </w:tcMar>
          </w:tcPr>
          <w:p w14:paraId="458300C4" w14:textId="77777777" w:rsidR="00C226FF" w:rsidRDefault="0055692E">
            <w:r>
              <w:rPr>
                <w:sz w:val="20"/>
                <w:szCs w:val="20"/>
              </w:rPr>
              <w:t>Check the underlying saved search against the three-part structural shape before assuming a portlet configuration bug — this is the most common root cause.</w:t>
            </w:r>
          </w:p>
        </w:tc>
      </w:tr>
      <w:tr w:rsidR="00C226FF" w14:paraId="458300C8" w14:textId="77777777">
        <w:tc>
          <w:tcPr>
            <w:tcW w:w="1500" w:type="pct"/>
            <w:shd w:val="clear" w:color="auto" w:fill="EAF0F9"/>
            <w:tcMar>
              <w:top w:w="100" w:type="dxa"/>
              <w:left w:w="140" w:type="dxa"/>
              <w:bottom w:w="100" w:type="dxa"/>
              <w:right w:w="140" w:type="dxa"/>
            </w:tcMar>
          </w:tcPr>
          <w:p w14:paraId="458300C6" w14:textId="77777777" w:rsidR="00C226FF" w:rsidRDefault="0055692E">
            <w:r>
              <w:rPr>
                <w:sz w:val="20"/>
                <w:szCs w:val="20"/>
              </w:rPr>
              <w:t>Reading KPI data from a script or integration</w:t>
            </w:r>
          </w:p>
        </w:tc>
        <w:tc>
          <w:tcPr>
            <w:tcW w:w="3500" w:type="pct"/>
            <w:shd w:val="clear" w:color="auto" w:fill="EAF0F9"/>
            <w:tcMar>
              <w:top w:w="100" w:type="dxa"/>
              <w:left w:w="140" w:type="dxa"/>
              <w:bottom w:w="100" w:type="dxa"/>
              <w:right w:w="140" w:type="dxa"/>
            </w:tcMar>
          </w:tcPr>
          <w:p w14:paraId="458300C7" w14:textId="77777777" w:rsidR="00C226FF" w:rsidRDefault="0055692E">
            <w:r>
              <w:rPr>
                <w:sz w:val="20"/>
                <w:szCs w:val="20"/>
              </w:rPr>
              <w:t>Query the same data the KPI reads from — N/search or SuiteQL (N/query) against the custom KPI’s saved search, or against the standard report’s underlying data for a standard KPI — rather than looking for a dedicated KPI record type, which doesn’t exist.</w:t>
            </w:r>
          </w:p>
        </w:tc>
      </w:tr>
    </w:tbl>
    <w:p w14:paraId="458300C9" w14:textId="07C07747" w:rsidR="00C226FF" w:rsidRDefault="00C226FF">
      <w:pPr>
        <w:spacing w:after="200"/>
      </w:pPr>
    </w:p>
    <w:p w14:paraId="7DACA273" w14:textId="62E116CD" w:rsidR="00E2211F" w:rsidRDefault="00E2211F">
      <w:pPr>
        <w:spacing w:after="200"/>
      </w:pPr>
    </w:p>
    <w:p w14:paraId="7034AE95" w14:textId="301A6A7D" w:rsidR="00E2211F" w:rsidRDefault="00E2211F">
      <w:pPr>
        <w:spacing w:after="200"/>
      </w:pPr>
    </w:p>
    <w:p w14:paraId="007407AB" w14:textId="7E56DED1" w:rsidR="00E2211F" w:rsidRDefault="00E2211F">
      <w:pPr>
        <w:spacing w:after="200"/>
      </w:pPr>
    </w:p>
    <w:p w14:paraId="65AF04DD" w14:textId="065A914B" w:rsidR="00E2211F" w:rsidRDefault="00E2211F">
      <w:pPr>
        <w:spacing w:after="200"/>
      </w:pPr>
    </w:p>
    <w:p w14:paraId="5B849926" w14:textId="08F43BC5" w:rsidR="00E2211F" w:rsidRDefault="00E2211F">
      <w:pPr>
        <w:spacing w:after="200"/>
      </w:pPr>
    </w:p>
    <w:p w14:paraId="1CA5BCCD" w14:textId="1D48BBD9" w:rsidR="00E2211F" w:rsidRDefault="00E2211F">
      <w:pPr>
        <w:spacing w:after="200"/>
      </w:pPr>
    </w:p>
    <w:p w14:paraId="0A5B303A" w14:textId="6755E3FB" w:rsidR="00E2211F" w:rsidRDefault="00E2211F">
      <w:pPr>
        <w:spacing w:after="200"/>
      </w:pPr>
    </w:p>
    <w:p w14:paraId="6517F5E3" w14:textId="77777777" w:rsidR="00E2211F" w:rsidRDefault="00E2211F">
      <w:pPr>
        <w:spacing w:after="200"/>
      </w:pPr>
    </w:p>
    <w:tbl>
      <w:tblPr>
        <w:tblW w:w="5000" w:type="pct"/>
        <w:tblBorders>
          <w:top w:val="single" w:sz="6" w:space="0" w:color="C9D6EA"/>
          <w:left w:val="single" w:sz="6" w:space="0" w:color="C9D6EA"/>
          <w:bottom w:val="single" w:sz="6" w:space="0" w:color="C9D6EA"/>
          <w:right w:val="single" w:sz="6" w:space="0" w:color="C9D6EA"/>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64"/>
      </w:tblGrid>
      <w:tr w:rsidR="00C226FF" w14:paraId="458300D2" w14:textId="77777777">
        <w:tc>
          <w:tcPr>
            <w:tcW w:w="100" w:type="dxa"/>
            <w:shd w:val="clear" w:color="auto" w:fill="F5F7FB"/>
            <w:tcMar>
              <w:top w:w="160" w:type="dxa"/>
              <w:left w:w="200" w:type="dxa"/>
              <w:bottom w:w="160" w:type="dxa"/>
              <w:right w:w="200" w:type="dxa"/>
            </w:tcMar>
          </w:tcPr>
          <w:p w14:paraId="458300CA" w14:textId="77777777" w:rsidR="00C226FF" w:rsidRPr="0055692E" w:rsidRDefault="0055692E">
            <w:pPr>
              <w:spacing w:after="100"/>
              <w:rPr>
                <w:sz w:val="28"/>
              </w:rPr>
            </w:pPr>
            <w:r w:rsidRPr="0055692E">
              <w:rPr>
                <w:b/>
                <w:bCs/>
                <w:color w:val="1F3864"/>
                <w:sz w:val="28"/>
              </w:rPr>
              <w:lastRenderedPageBreak/>
              <w:t>📌 Week 26 Learning Summary — KPI Framework &amp; Executive Dashboards</w:t>
            </w:r>
          </w:p>
          <w:p w14:paraId="458300CB" w14:textId="77777777" w:rsidR="00C226FF" w:rsidRDefault="0055692E">
            <w:pPr>
              <w:pStyle w:val="ListParagraph"/>
              <w:numPr>
                <w:ilvl w:val="0"/>
                <w:numId w:val="2"/>
              </w:numPr>
              <w:spacing w:after="90" w:line="260" w:lineRule="auto"/>
            </w:pPr>
            <w:r>
              <w:rPr>
                <w:sz w:val="21"/>
                <w:szCs w:val="21"/>
              </w:rPr>
              <w:t>NetSuite’s dashboard layer is: Center (role-based tabbed pages) → Dashboard (a personalized, publishable set of portlets) → Portlet (KPI, KPI Meter, Trend Graph, or KPI Scorecard) → KPI (one of 75+ standard KPIs, or a Custom KPI built from a saved search).</w:t>
            </w:r>
          </w:p>
          <w:p w14:paraId="458300CC" w14:textId="77777777" w:rsidR="00C226FF" w:rsidRDefault="0055692E">
            <w:pPr>
              <w:pStyle w:val="ListParagraph"/>
              <w:numPr>
                <w:ilvl w:val="0"/>
                <w:numId w:val="2"/>
              </w:numPr>
              <w:spacing w:after="90" w:line="260" w:lineRule="auto"/>
            </w:pPr>
            <w:r>
              <w:rPr>
                <w:sz w:val="21"/>
                <w:szCs w:val="21"/>
              </w:rPr>
              <w:t>A Custom KPI is only valid when its saved search has no date criteria filter, exactly one summarized Results field, and a date Available Filter — this exact shape is reused, unchanged, across the KPI portlet, KPI Meter, and Trend Graph, with a Periods-based exception for KPI Scorecards.</w:t>
            </w:r>
          </w:p>
          <w:p w14:paraId="458300CD" w14:textId="77777777" w:rsidR="00C226FF" w:rsidRDefault="0055692E">
            <w:pPr>
              <w:pStyle w:val="ListParagraph"/>
              <w:numPr>
                <w:ilvl w:val="0"/>
                <w:numId w:val="2"/>
              </w:numPr>
              <w:spacing w:after="90" w:line="260" w:lineRule="auto"/>
            </w:pPr>
            <w:r>
              <w:rPr>
                <w:sz w:val="21"/>
                <w:szCs w:val="21"/>
              </w:rPr>
              <w:t>KPI Meters (max 3) and Trend Graphs (max 5 portlets, plus popups) both draw from KPIs already defined in the Key Performance Indicators portlet; KPI Meters additionally support four ratio-based options (Actual vs. Forecast, Actual vs. Quota, and their Alt. Sales equivalents) once both underlying KPIs are present.</w:t>
            </w:r>
          </w:p>
          <w:p w14:paraId="458300CE" w14:textId="77777777" w:rsidR="00C226FF" w:rsidRDefault="0055692E">
            <w:pPr>
              <w:pStyle w:val="ListParagraph"/>
              <w:numPr>
                <w:ilvl w:val="0"/>
                <w:numId w:val="2"/>
              </w:numPr>
              <w:spacing w:after="90" w:line="260" w:lineRule="auto"/>
            </w:pPr>
            <w:r>
              <w:rPr>
                <w:sz w:val="21"/>
                <w:szCs w:val="21"/>
              </w:rPr>
              <w:t>KPI Scorecards add multi-KPI, multi-date-range comparisons and Excel-like formulas on top of standard and custom KPIs, but cannot combine a KPI-level comparison with a date-range-level comparison on the same row — that combination must be expressed as a formula instead.</w:t>
            </w:r>
          </w:p>
          <w:p w14:paraId="458300CF" w14:textId="77777777" w:rsidR="00C226FF" w:rsidRDefault="0055692E">
            <w:pPr>
              <w:pStyle w:val="ListParagraph"/>
              <w:numPr>
                <w:ilvl w:val="0"/>
                <w:numId w:val="2"/>
              </w:numPr>
              <w:spacing w:after="90" w:line="260" w:lineRule="auto"/>
            </w:pPr>
            <w:r>
              <w:rPr>
                <w:sz w:val="21"/>
                <w:szCs w:val="21"/>
              </w:rPr>
              <w:t>Publishing a dashboard is a two-step, permission-gated process (personalize, then publish) scoped to a single Center at a time; the tabbed pages included and the personalization restriction level are locked in at publish time and can’t be changed afterward.</w:t>
            </w:r>
          </w:p>
          <w:p w14:paraId="458300D0" w14:textId="77777777" w:rsidR="00C226FF" w:rsidRDefault="0055692E">
            <w:pPr>
              <w:pStyle w:val="ListParagraph"/>
              <w:numPr>
                <w:ilvl w:val="0"/>
                <w:numId w:val="2"/>
              </w:numPr>
              <w:spacing w:after="90" w:line="260" w:lineRule="auto"/>
            </w:pPr>
            <w:r>
              <w:rPr>
                <w:sz w:val="21"/>
                <w:szCs w:val="21"/>
              </w:rPr>
              <w:t xml:space="preserve">KPI Scorecards are the one object in this layer with a documented SDF representation (the </w:t>
            </w:r>
            <w:proofErr w:type="spellStart"/>
            <w:r>
              <w:rPr>
                <w:sz w:val="21"/>
                <w:szCs w:val="21"/>
              </w:rPr>
              <w:t>kpiscorecard</w:t>
            </w:r>
            <w:proofErr w:type="spellEnd"/>
            <w:r>
              <w:rPr>
                <w:sz w:val="21"/>
                <w:szCs w:val="21"/>
              </w:rPr>
              <w:t xml:space="preserve"> custom object), but an SDF-deployed scorecard still cannot be wired into a published dashboard through the same SuiteCloud project — that attachment step remains a manual UI action.</w:t>
            </w:r>
          </w:p>
          <w:p w14:paraId="458300D1" w14:textId="77777777" w:rsidR="00C226FF" w:rsidRDefault="0055692E">
            <w:pPr>
              <w:pStyle w:val="ListParagraph"/>
              <w:numPr>
                <w:ilvl w:val="0"/>
                <w:numId w:val="2"/>
              </w:numPr>
              <w:spacing w:line="260" w:lineRule="auto"/>
            </w:pPr>
            <w:r>
              <w:rPr>
                <w:sz w:val="21"/>
                <w:szCs w:val="21"/>
              </w:rPr>
              <w:t>This document intentionally keeps to the publicly documented Oracle NetSuite KPI and Dashboard architecture and does not reference any organization-specific configuration.</w:t>
            </w:r>
          </w:p>
        </w:tc>
      </w:tr>
    </w:tbl>
    <w:p w14:paraId="458300D3" w14:textId="77777777" w:rsidR="007F6F10" w:rsidRDefault="007F6F10"/>
    <w:sectPr w:rsidR="007F6F10" w:rsidSect="001926B9">
      <w:headerReference w:type="even" r:id="rId8"/>
      <w:headerReference w:type="default" r:id="rId9"/>
      <w:footerReference w:type="default" r:id="rId10"/>
      <w:headerReference w:type="first" r:id="rId11"/>
      <w:pgSz w:w="12240" w:h="15840"/>
      <w:pgMar w:top="1080" w:right="1080" w:bottom="1080" w:left="108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E3E2D2" w14:textId="77777777" w:rsidR="000318C1" w:rsidRDefault="000318C1" w:rsidP="000318C1">
      <w:r>
        <w:separator/>
      </w:r>
    </w:p>
  </w:endnote>
  <w:endnote w:type="continuationSeparator" w:id="0">
    <w:p w14:paraId="602CD47C" w14:textId="77777777" w:rsidR="000318C1" w:rsidRDefault="000318C1" w:rsidP="00031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8B8572" w14:textId="77777777" w:rsidR="007D6877" w:rsidRDefault="007D6877">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8E8EE33" w14:textId="77777777" w:rsidR="000318C1" w:rsidRDefault="000318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88C0F6" w14:textId="77777777" w:rsidR="000318C1" w:rsidRDefault="000318C1" w:rsidP="000318C1">
      <w:r>
        <w:separator/>
      </w:r>
    </w:p>
  </w:footnote>
  <w:footnote w:type="continuationSeparator" w:id="0">
    <w:p w14:paraId="438CE82B" w14:textId="77777777" w:rsidR="000318C1" w:rsidRDefault="000318C1" w:rsidP="000318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BD70EE" w14:textId="613F84A2" w:rsidR="000318C1" w:rsidRDefault="00885345">
    <w:pPr>
      <w:pStyle w:val="Header"/>
    </w:pPr>
    <w:r>
      <w:rPr>
        <w:noProof/>
      </w:rPr>
      <w:pict w14:anchorId="4F5093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9363876" o:spid="_x0000_s2050" type="#_x0000_t136" style="position:absolute;margin-left:0;margin-top:0;width:596pt;height:159.5pt;rotation:315;z-index:-251655168;mso-position-horizontal:center;mso-position-horizontal-relative:margin;mso-position-vertical:center;mso-position-vertical-relative:margin" o:allowincell="f" fillcolor="silver" stroked="f">
          <v:fill opacity=".5"/>
          <v:textpath style="font-family:&quot;Times New Roman&quot;;font-size:2in" string="WEEK 26"/>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382C32" w14:textId="5D932894" w:rsidR="000318C1" w:rsidRDefault="00425F6B">
    <w:pPr>
      <w:pStyle w:val="Header"/>
    </w:pPr>
    <w:r>
      <w:rPr>
        <w:noProof/>
      </w:rPr>
      <w:drawing>
        <wp:inline distT="0" distB="0" distL="0" distR="0" wp14:anchorId="008E7330" wp14:editId="73E598BB">
          <wp:extent cx="1342857" cy="24761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42857" cy="247619"/>
                  </a:xfrm>
                  <a:prstGeom prst="rect">
                    <a:avLst/>
                  </a:prstGeom>
                </pic:spPr>
              </pic:pic>
            </a:graphicData>
          </a:graphic>
        </wp:inline>
      </w:drawing>
    </w:r>
    <w:r>
      <w:rPr>
        <w:noProof/>
      </w:rPr>
      <w:t xml:space="preserve">                                                                                                         </w:t>
    </w:r>
    <w:r>
      <w:rPr>
        <w:noProof/>
      </w:rPr>
      <w:drawing>
        <wp:inline distT="0" distB="0" distL="0" distR="0" wp14:anchorId="16E1BB16" wp14:editId="6CD30B9D">
          <wp:extent cx="1723810" cy="285714"/>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723810" cy="285714"/>
                  </a:xfrm>
                  <a:prstGeom prst="rect">
                    <a:avLst/>
                  </a:prstGeom>
                </pic:spPr>
              </pic:pic>
            </a:graphicData>
          </a:graphic>
        </wp:inline>
      </w:drawing>
    </w:r>
    <w:r w:rsidR="00885345">
      <w:rPr>
        <w:noProof/>
      </w:rPr>
      <w:pict w14:anchorId="0F65E9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9363877" o:spid="_x0000_s2051" type="#_x0000_t136" style="position:absolute;margin-left:0;margin-top:0;width:596pt;height:159.5pt;rotation:315;z-index:-251653120;mso-position-horizontal:center;mso-position-horizontal-relative:margin;mso-position-vertical:center;mso-position-vertical-relative:margin" o:allowincell="f" fillcolor="silver" stroked="f">
          <v:fill opacity=".5"/>
          <v:textpath style="font-family:&quot;Times New Roman&quot;;font-size:2in" string="WEEK 26"/>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B2BD91" w14:textId="149D988B" w:rsidR="000318C1" w:rsidRDefault="00885345">
    <w:pPr>
      <w:pStyle w:val="Header"/>
    </w:pPr>
    <w:r>
      <w:rPr>
        <w:noProof/>
      </w:rPr>
      <w:pict w14:anchorId="6DACAE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9363875" o:spid="_x0000_s2049" type="#_x0000_t136" style="position:absolute;margin-left:0;margin-top:0;width:596pt;height:159.5pt;rotation:315;z-index:-251657216;mso-position-horizontal:center;mso-position-horizontal-relative:margin;mso-position-vertical:center;mso-position-vertical-relative:margin" o:allowincell="f" fillcolor="silver" stroked="f">
          <v:fill opacity=".5"/>
          <v:textpath style="font-family:&quot;Times New Roman&quot;;font-size:2in" string="WEEK 26"/>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01B2A"/>
    <w:multiLevelType w:val="hybridMultilevel"/>
    <w:tmpl w:val="B1F69E64"/>
    <w:lvl w:ilvl="0" w:tplc="F7CAA31E">
      <w:start w:val="1"/>
      <w:numFmt w:val="decimal"/>
      <w:lvlText w:val="%1."/>
      <w:lvlJc w:val="left"/>
      <w:pPr>
        <w:ind w:left="420" w:hanging="300"/>
      </w:pPr>
    </w:lvl>
    <w:lvl w:ilvl="1" w:tplc="4F5C0BC0">
      <w:numFmt w:val="decimal"/>
      <w:lvlText w:val=""/>
      <w:lvlJc w:val="left"/>
    </w:lvl>
    <w:lvl w:ilvl="2" w:tplc="2C809C50">
      <w:numFmt w:val="decimal"/>
      <w:lvlText w:val=""/>
      <w:lvlJc w:val="left"/>
    </w:lvl>
    <w:lvl w:ilvl="3" w:tplc="578E5206">
      <w:numFmt w:val="decimal"/>
      <w:lvlText w:val=""/>
      <w:lvlJc w:val="left"/>
    </w:lvl>
    <w:lvl w:ilvl="4" w:tplc="0B82B5C0">
      <w:numFmt w:val="decimal"/>
      <w:lvlText w:val=""/>
      <w:lvlJc w:val="left"/>
    </w:lvl>
    <w:lvl w:ilvl="5" w:tplc="395E5554">
      <w:numFmt w:val="decimal"/>
      <w:lvlText w:val=""/>
      <w:lvlJc w:val="left"/>
    </w:lvl>
    <w:lvl w:ilvl="6" w:tplc="FEC8E7DA">
      <w:numFmt w:val="decimal"/>
      <w:lvlText w:val=""/>
      <w:lvlJc w:val="left"/>
    </w:lvl>
    <w:lvl w:ilvl="7" w:tplc="4B848ACE">
      <w:numFmt w:val="decimal"/>
      <w:lvlText w:val=""/>
      <w:lvlJc w:val="left"/>
    </w:lvl>
    <w:lvl w:ilvl="8" w:tplc="975074EA">
      <w:numFmt w:val="decimal"/>
      <w:lvlText w:val=""/>
      <w:lvlJc w:val="left"/>
    </w:lvl>
  </w:abstractNum>
  <w:abstractNum w:abstractNumId="1" w15:restartNumberingAfterBreak="0">
    <w:nsid w:val="1DFD1960"/>
    <w:multiLevelType w:val="hybridMultilevel"/>
    <w:tmpl w:val="3DEE4040"/>
    <w:lvl w:ilvl="0" w:tplc="32F2CE32">
      <w:start w:val="1"/>
      <w:numFmt w:val="bullet"/>
      <w:lvlText w:val="•"/>
      <w:lvlJc w:val="left"/>
      <w:pPr>
        <w:ind w:left="420" w:hanging="260"/>
      </w:pPr>
    </w:lvl>
    <w:lvl w:ilvl="1" w:tplc="0122E810">
      <w:start w:val="1"/>
      <w:numFmt w:val="bullet"/>
      <w:lvlText w:val="◦"/>
      <w:lvlJc w:val="left"/>
      <w:pPr>
        <w:ind w:left="820" w:hanging="260"/>
      </w:pPr>
    </w:lvl>
    <w:lvl w:ilvl="2" w:tplc="4BE8996A">
      <w:numFmt w:val="decimal"/>
      <w:lvlText w:val=""/>
      <w:lvlJc w:val="left"/>
    </w:lvl>
    <w:lvl w:ilvl="3" w:tplc="DF6499D0">
      <w:numFmt w:val="decimal"/>
      <w:lvlText w:val=""/>
      <w:lvlJc w:val="left"/>
    </w:lvl>
    <w:lvl w:ilvl="4" w:tplc="2B6899E4">
      <w:numFmt w:val="decimal"/>
      <w:lvlText w:val=""/>
      <w:lvlJc w:val="left"/>
    </w:lvl>
    <w:lvl w:ilvl="5" w:tplc="5E566B7A">
      <w:numFmt w:val="decimal"/>
      <w:lvlText w:val=""/>
      <w:lvlJc w:val="left"/>
    </w:lvl>
    <w:lvl w:ilvl="6" w:tplc="B712A2D2">
      <w:numFmt w:val="decimal"/>
      <w:lvlText w:val=""/>
      <w:lvlJc w:val="left"/>
    </w:lvl>
    <w:lvl w:ilvl="7" w:tplc="CD12B3A0">
      <w:numFmt w:val="decimal"/>
      <w:lvlText w:val=""/>
      <w:lvlJc w:val="left"/>
    </w:lvl>
    <w:lvl w:ilvl="8" w:tplc="741E0124">
      <w:numFmt w:val="decimal"/>
      <w:lvlText w:val=""/>
      <w:lvlJc w:val="left"/>
    </w:lvl>
  </w:abstractNum>
  <w:abstractNum w:abstractNumId="2" w15:restartNumberingAfterBreak="0">
    <w:nsid w:val="4D8E0020"/>
    <w:multiLevelType w:val="hybridMultilevel"/>
    <w:tmpl w:val="02861974"/>
    <w:lvl w:ilvl="0" w:tplc="D56ABF28">
      <w:start w:val="1"/>
      <w:numFmt w:val="bullet"/>
      <w:lvlText w:val="●"/>
      <w:lvlJc w:val="left"/>
      <w:pPr>
        <w:ind w:left="720" w:hanging="360"/>
      </w:pPr>
    </w:lvl>
    <w:lvl w:ilvl="1" w:tplc="1CD45B60">
      <w:start w:val="1"/>
      <w:numFmt w:val="bullet"/>
      <w:lvlText w:val="○"/>
      <w:lvlJc w:val="left"/>
      <w:pPr>
        <w:ind w:left="1440" w:hanging="360"/>
      </w:pPr>
    </w:lvl>
    <w:lvl w:ilvl="2" w:tplc="F0521D6C">
      <w:start w:val="1"/>
      <w:numFmt w:val="bullet"/>
      <w:lvlText w:val="■"/>
      <w:lvlJc w:val="left"/>
      <w:pPr>
        <w:ind w:left="2160" w:hanging="360"/>
      </w:pPr>
    </w:lvl>
    <w:lvl w:ilvl="3" w:tplc="FC501CB0">
      <w:start w:val="1"/>
      <w:numFmt w:val="bullet"/>
      <w:lvlText w:val="●"/>
      <w:lvlJc w:val="left"/>
      <w:pPr>
        <w:ind w:left="2880" w:hanging="360"/>
      </w:pPr>
    </w:lvl>
    <w:lvl w:ilvl="4" w:tplc="D1A2DCD8">
      <w:start w:val="1"/>
      <w:numFmt w:val="bullet"/>
      <w:lvlText w:val="○"/>
      <w:lvlJc w:val="left"/>
      <w:pPr>
        <w:ind w:left="3600" w:hanging="360"/>
      </w:pPr>
    </w:lvl>
    <w:lvl w:ilvl="5" w:tplc="C8CE134C">
      <w:start w:val="1"/>
      <w:numFmt w:val="bullet"/>
      <w:lvlText w:val="■"/>
      <w:lvlJc w:val="left"/>
      <w:pPr>
        <w:ind w:left="4320" w:hanging="360"/>
      </w:pPr>
    </w:lvl>
    <w:lvl w:ilvl="6" w:tplc="C346E79A">
      <w:start w:val="1"/>
      <w:numFmt w:val="bullet"/>
      <w:lvlText w:val="●"/>
      <w:lvlJc w:val="left"/>
      <w:pPr>
        <w:ind w:left="5040" w:hanging="360"/>
      </w:pPr>
    </w:lvl>
    <w:lvl w:ilvl="7" w:tplc="7B2A9080">
      <w:start w:val="1"/>
      <w:numFmt w:val="bullet"/>
      <w:lvlText w:val="●"/>
      <w:lvlJc w:val="left"/>
      <w:pPr>
        <w:ind w:left="5760" w:hanging="360"/>
      </w:pPr>
    </w:lvl>
    <w:lvl w:ilvl="8" w:tplc="15DAC1B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6FF"/>
    <w:rsid w:val="00013B85"/>
    <w:rsid w:val="000318C1"/>
    <w:rsid w:val="00076764"/>
    <w:rsid w:val="0011306D"/>
    <w:rsid w:val="001926B9"/>
    <w:rsid w:val="00204568"/>
    <w:rsid w:val="002232F8"/>
    <w:rsid w:val="00383663"/>
    <w:rsid w:val="003A5687"/>
    <w:rsid w:val="003D5233"/>
    <w:rsid w:val="004231EB"/>
    <w:rsid w:val="00425F6B"/>
    <w:rsid w:val="004404F4"/>
    <w:rsid w:val="0055692E"/>
    <w:rsid w:val="005E5E2D"/>
    <w:rsid w:val="007D6877"/>
    <w:rsid w:val="007F3B9A"/>
    <w:rsid w:val="007F6F10"/>
    <w:rsid w:val="00820B08"/>
    <w:rsid w:val="00857DA8"/>
    <w:rsid w:val="00885345"/>
    <w:rsid w:val="009C088E"/>
    <w:rsid w:val="009E3478"/>
    <w:rsid w:val="00A56BF3"/>
    <w:rsid w:val="00A94ECA"/>
    <w:rsid w:val="00AB37E0"/>
    <w:rsid w:val="00AF3847"/>
    <w:rsid w:val="00C226FF"/>
    <w:rsid w:val="00C3588F"/>
    <w:rsid w:val="00D75559"/>
    <w:rsid w:val="00D943D7"/>
    <w:rsid w:val="00DB0454"/>
    <w:rsid w:val="00E2211F"/>
    <w:rsid w:val="00E613D9"/>
    <w:rsid w:val="00E62E7C"/>
    <w:rsid w:val="00F22D9F"/>
    <w:rsid w:val="00FD69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582FF75"/>
  <w15:docId w15:val="{BB43D996-7F93-4CF1-8B75-12A55B381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404040"/>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318C1"/>
    <w:pPr>
      <w:tabs>
        <w:tab w:val="center" w:pos="4513"/>
        <w:tab w:val="right" w:pos="9026"/>
      </w:tabs>
    </w:pPr>
  </w:style>
  <w:style w:type="character" w:customStyle="1" w:styleId="HeaderChar">
    <w:name w:val="Header Char"/>
    <w:basedOn w:val="DefaultParagraphFont"/>
    <w:link w:val="Header"/>
    <w:uiPriority w:val="99"/>
    <w:rsid w:val="000318C1"/>
  </w:style>
  <w:style w:type="paragraph" w:styleId="Footer">
    <w:name w:val="footer"/>
    <w:basedOn w:val="Normal"/>
    <w:link w:val="FooterChar"/>
    <w:uiPriority w:val="99"/>
    <w:unhideWhenUsed/>
    <w:rsid w:val="000318C1"/>
    <w:pPr>
      <w:tabs>
        <w:tab w:val="center" w:pos="4513"/>
        <w:tab w:val="right" w:pos="9026"/>
      </w:tabs>
    </w:pPr>
  </w:style>
  <w:style w:type="character" w:customStyle="1" w:styleId="FooterChar">
    <w:name w:val="Footer Char"/>
    <w:basedOn w:val="DefaultParagraphFont"/>
    <w:link w:val="Footer"/>
    <w:uiPriority w:val="99"/>
    <w:rsid w:val="00031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17</Pages>
  <Words>5030</Words>
  <Characters>28671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Mohite</cp:lastModifiedBy>
  <cp:revision>50</cp:revision>
  <dcterms:created xsi:type="dcterms:W3CDTF">2026-08-15T06:55:00Z</dcterms:created>
  <dcterms:modified xsi:type="dcterms:W3CDTF">2026-08-15T07:23:00Z</dcterms:modified>
</cp:coreProperties>
</file>