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horzAnchor="margin" w:tblpY="640"/>
        <w:tblW w:w="5000" w:type="pct"/>
        <w:tblBorders>
          <w:top w:val="single" w:sz="4" w:space="0" w:color="1F3864"/>
          <w:left w:val="single" w:sz="4" w:space="0" w:color="1F3864"/>
          <w:bottom w:val="single" w:sz="4" w:space="0" w:color="1F3864"/>
          <w:right w:val="single" w:sz="4"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CE3C80" w:rsidRPr="00C62C01" w14:paraId="60FB58F1" w14:textId="77777777" w:rsidTr="006F13F4">
        <w:tc>
          <w:tcPr>
            <w:tcW w:w="0" w:type="auto"/>
            <w:shd w:val="clear" w:color="auto" w:fill="1F3864"/>
            <w:tcMar>
              <w:top w:w="300" w:type="dxa"/>
              <w:left w:w="300" w:type="dxa"/>
              <w:bottom w:w="300" w:type="dxa"/>
              <w:right w:w="300" w:type="dxa"/>
            </w:tcMar>
          </w:tcPr>
          <w:p w14:paraId="60FB58EE" w14:textId="77777777" w:rsidR="00CE3C80" w:rsidRPr="00C62C01" w:rsidRDefault="001F3DB0" w:rsidP="006F13F4">
            <w:pPr>
              <w:spacing w:after="120"/>
              <w:jc w:val="center"/>
              <w:rPr>
                <w:rFonts w:asciiTheme="minorHAnsi" w:hAnsiTheme="minorHAnsi" w:cstheme="minorHAnsi"/>
              </w:rPr>
            </w:pPr>
            <w:r w:rsidRPr="00C62C01">
              <w:rPr>
                <w:rFonts w:asciiTheme="minorHAnsi" w:eastAsia="Calibri" w:hAnsiTheme="minorHAnsi" w:cstheme="minorHAnsi"/>
                <w:b/>
                <w:bCs/>
                <w:color w:val="FFFFFF"/>
                <w:sz w:val="34"/>
                <w:szCs w:val="34"/>
              </w:rPr>
              <w:t>Accounting Period Control &amp; Closing Process in NetSuite</w:t>
            </w:r>
          </w:p>
          <w:p w14:paraId="60FB58EF" w14:textId="77777777" w:rsidR="00CE3C80" w:rsidRPr="00417DDA" w:rsidRDefault="001F3DB0" w:rsidP="006F13F4">
            <w:pPr>
              <w:spacing w:after="160"/>
              <w:jc w:val="center"/>
              <w:rPr>
                <w:rFonts w:asciiTheme="minorHAnsi" w:hAnsiTheme="minorHAnsi" w:cstheme="minorHAnsi"/>
                <w:sz w:val="22"/>
              </w:rPr>
            </w:pPr>
            <w:r w:rsidRPr="00417DDA">
              <w:rPr>
                <w:rFonts w:asciiTheme="minorHAnsi" w:eastAsia="Calibri" w:hAnsiTheme="minorHAnsi" w:cstheme="minorHAnsi"/>
                <w:iCs/>
                <w:color w:val="DDEBF7"/>
                <w:sz w:val="24"/>
                <w:szCs w:val="22"/>
              </w:rPr>
              <w:t xml:space="preserve">Accounting Periods, Locking vs. Closing, the Period Close Checklist, Quick Close, Reopening Periods, Year-End Closing, and </w:t>
            </w:r>
            <w:proofErr w:type="spellStart"/>
            <w:r w:rsidRPr="00417DDA">
              <w:rPr>
                <w:rFonts w:asciiTheme="minorHAnsi" w:eastAsia="Calibri" w:hAnsiTheme="minorHAnsi" w:cstheme="minorHAnsi"/>
                <w:iCs/>
                <w:color w:val="DDEBF7"/>
                <w:sz w:val="24"/>
                <w:szCs w:val="22"/>
              </w:rPr>
              <w:t>SuiteScript</w:t>
            </w:r>
            <w:proofErr w:type="spellEnd"/>
            <w:r w:rsidRPr="00417DDA">
              <w:rPr>
                <w:rFonts w:asciiTheme="minorHAnsi" w:eastAsia="Calibri" w:hAnsiTheme="minorHAnsi" w:cstheme="minorHAnsi"/>
                <w:iCs/>
                <w:color w:val="DDEBF7"/>
                <w:sz w:val="24"/>
                <w:szCs w:val="22"/>
              </w:rPr>
              <w:t xml:space="preserve"> Access to Period Status</w:t>
            </w:r>
          </w:p>
          <w:p w14:paraId="60FB58F0" w14:textId="77777777" w:rsidR="00CE3C80" w:rsidRPr="00C62C01" w:rsidRDefault="001F3DB0" w:rsidP="006F13F4">
            <w:pPr>
              <w:jc w:val="center"/>
              <w:rPr>
                <w:rFonts w:asciiTheme="minorHAnsi" w:hAnsiTheme="minorHAnsi" w:cstheme="minorHAnsi"/>
              </w:rPr>
            </w:pPr>
            <w:r w:rsidRPr="00A84176">
              <w:rPr>
                <w:rFonts w:asciiTheme="minorHAnsi" w:eastAsia="Calibri" w:hAnsiTheme="minorHAnsi" w:cstheme="minorHAnsi"/>
                <w:b/>
                <w:bCs/>
                <w:color w:val="FFFFFF"/>
                <w:sz w:val="28"/>
                <w:szCs w:val="24"/>
              </w:rPr>
              <w:t>Weekly Learning Series — Week 24</w:t>
            </w:r>
          </w:p>
        </w:tc>
      </w:tr>
    </w:tbl>
    <w:p w14:paraId="60FB58F2" w14:textId="77777777" w:rsidR="00CE3C80" w:rsidRPr="00C62C01" w:rsidRDefault="00CE3C80">
      <w:pPr>
        <w:spacing w:after="200"/>
        <w:rPr>
          <w:rFonts w:asciiTheme="minorHAnsi" w:hAnsiTheme="minorHAnsi" w:cstheme="minorHAnsi"/>
        </w:rPr>
      </w:pPr>
    </w:p>
    <w:p w14:paraId="4E35A501" w14:textId="328E12D2" w:rsidR="00824912" w:rsidRDefault="00824912">
      <w:pPr>
        <w:pStyle w:val="Heading1"/>
        <w:spacing w:before="360" w:after="200"/>
        <w:rPr>
          <w:rFonts w:asciiTheme="minorHAnsi" w:hAnsiTheme="minorHAnsi" w:cstheme="minorHAnsi"/>
          <w:b/>
          <w:bCs/>
          <w:color w:val="1F3864"/>
          <w:sz w:val="30"/>
          <w:szCs w:val="30"/>
        </w:rPr>
      </w:pPr>
    </w:p>
    <w:p w14:paraId="0F74C01C" w14:textId="29CB5ADE" w:rsidR="00824912" w:rsidRDefault="00824912">
      <w:pPr>
        <w:pStyle w:val="Heading1"/>
        <w:spacing w:before="360" w:after="200"/>
        <w:rPr>
          <w:rFonts w:asciiTheme="minorHAnsi" w:hAnsiTheme="minorHAnsi" w:cstheme="minorHAnsi"/>
          <w:b/>
          <w:bCs/>
          <w:color w:val="1F3864"/>
          <w:sz w:val="30"/>
          <w:szCs w:val="30"/>
        </w:rPr>
      </w:pPr>
      <w:r>
        <w:rPr>
          <w:noProof/>
        </w:rPr>
        <w:drawing>
          <wp:inline distT="0" distB="0" distL="0" distR="0" wp14:anchorId="383C3C8C" wp14:editId="34F573C0">
            <wp:extent cx="6375082" cy="4489450"/>
            <wp:effectExtent l="19050" t="19050" r="26035" b="254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76351" cy="4490344"/>
                    </a:xfrm>
                    <a:prstGeom prst="rect">
                      <a:avLst/>
                    </a:prstGeom>
                    <a:noFill/>
                    <a:ln w="19050">
                      <a:solidFill>
                        <a:schemeClr val="tx1"/>
                      </a:solidFill>
                    </a:ln>
                  </pic:spPr>
                </pic:pic>
              </a:graphicData>
            </a:graphic>
          </wp:inline>
        </w:drawing>
      </w:r>
    </w:p>
    <w:p w14:paraId="78E2DEE6" w14:textId="47664F83" w:rsidR="00824912" w:rsidRDefault="00824912">
      <w:pPr>
        <w:pStyle w:val="Heading1"/>
        <w:spacing w:before="360" w:after="200"/>
        <w:rPr>
          <w:rFonts w:asciiTheme="minorHAnsi" w:hAnsiTheme="minorHAnsi" w:cstheme="minorHAnsi"/>
          <w:b/>
          <w:bCs/>
          <w:color w:val="1F3864"/>
          <w:sz w:val="30"/>
          <w:szCs w:val="30"/>
        </w:rPr>
      </w:pPr>
    </w:p>
    <w:p w14:paraId="3B05285C" w14:textId="4FEA2E1C" w:rsidR="00824912" w:rsidRDefault="00824912">
      <w:pPr>
        <w:pStyle w:val="Heading1"/>
        <w:spacing w:before="360" w:after="200"/>
        <w:rPr>
          <w:rFonts w:asciiTheme="minorHAnsi" w:hAnsiTheme="minorHAnsi" w:cstheme="minorHAnsi"/>
          <w:b/>
          <w:bCs/>
          <w:color w:val="1F3864"/>
          <w:sz w:val="30"/>
          <w:szCs w:val="30"/>
        </w:rPr>
      </w:pPr>
    </w:p>
    <w:p w14:paraId="65F7B618" w14:textId="77777777" w:rsidR="00824912" w:rsidRDefault="00824912">
      <w:pPr>
        <w:pStyle w:val="Heading1"/>
        <w:spacing w:before="360" w:after="200"/>
        <w:rPr>
          <w:rFonts w:asciiTheme="minorHAnsi" w:hAnsiTheme="minorHAnsi" w:cstheme="minorHAnsi"/>
          <w:b/>
          <w:bCs/>
          <w:color w:val="1F3864"/>
          <w:sz w:val="30"/>
          <w:szCs w:val="30"/>
        </w:rPr>
      </w:pPr>
    </w:p>
    <w:p w14:paraId="60FB58F3" w14:textId="7B07E4D6" w:rsidR="00CE3C80" w:rsidRPr="00C62C01" w:rsidRDefault="001F3DB0">
      <w:pPr>
        <w:pStyle w:val="Heading1"/>
        <w:spacing w:before="360" w:after="200"/>
        <w:rPr>
          <w:rFonts w:asciiTheme="minorHAnsi" w:hAnsiTheme="minorHAnsi" w:cstheme="minorHAnsi"/>
        </w:rPr>
      </w:pPr>
      <w:r w:rsidRPr="00C62C01">
        <w:rPr>
          <w:rFonts w:asciiTheme="minorHAnsi" w:hAnsiTheme="minorHAnsi" w:cstheme="minorHAnsi"/>
          <w:b/>
          <w:bCs/>
          <w:color w:val="1F3864"/>
          <w:sz w:val="30"/>
          <w:szCs w:val="30"/>
        </w:rPr>
        <w:lastRenderedPageBreak/>
        <w:t>1. Introduction</w:t>
      </w:r>
    </w:p>
    <w:p w14:paraId="60FB58F4" w14:textId="77777777" w:rsidR="00CE3C80" w:rsidRPr="00C62C01" w:rsidRDefault="001F3DB0">
      <w:pPr>
        <w:spacing w:after="200" w:line="300" w:lineRule="auto"/>
        <w:rPr>
          <w:rFonts w:asciiTheme="minorHAnsi" w:hAnsiTheme="minorHAnsi" w:cstheme="minorHAnsi"/>
        </w:rPr>
      </w:pPr>
      <w:r w:rsidRPr="00C62C01">
        <w:rPr>
          <w:rFonts w:asciiTheme="minorHAnsi" w:eastAsia="Calibri" w:hAnsiTheme="minorHAnsi" w:cstheme="minorHAnsi"/>
          <w:sz w:val="22"/>
          <w:szCs w:val="22"/>
        </w:rPr>
        <w:t>Week 23 looked at Multi-Currency and Foreign Currency Revaluation — a cross-cutting layer of NetSuite Accounting that becomes a required, manually triggered task at month end. That naturally raises the question this week answers: what actually governs when a month is “at month end,” who is allowed to still post to it, and what stops a closed month from ever being touched again? The answer is the Accounting Periods feature, together with the Period Close Checklist that drives every period from open, through progressively locked, to fully closed.</w:t>
      </w:r>
    </w:p>
    <w:p w14:paraId="60FB58F5" w14:textId="77777777" w:rsidR="00CE3C80" w:rsidRPr="00C62C01" w:rsidRDefault="001F3DB0">
      <w:pPr>
        <w:spacing w:after="200" w:line="300" w:lineRule="auto"/>
        <w:rPr>
          <w:rFonts w:asciiTheme="minorHAnsi" w:hAnsiTheme="minorHAnsi" w:cstheme="minorHAnsi"/>
        </w:rPr>
      </w:pPr>
      <w:r w:rsidRPr="00C62C01">
        <w:rPr>
          <w:rFonts w:asciiTheme="minorHAnsi" w:eastAsia="Calibri" w:hAnsiTheme="minorHAnsi" w:cstheme="minorHAnsi"/>
          <w:sz w:val="22"/>
          <w:szCs w:val="22"/>
        </w:rPr>
        <w:t xml:space="preserve">Accounting Periods are the structural backbone every other close-process feature plugs into — currency revaluation, intercompany elimination, consolidated exchange rates, revenue recognition, and GL audit numbering are all Period Close Checklist tasks that ride on top of the period record itself. This document covers how periods are set up and locked, the distinction between locking and closing, how the Period Close Checklist sequences the required tasks, Quick Close, reopening a closed period, year-end closing, and how </w:t>
      </w:r>
      <w:proofErr w:type="spellStart"/>
      <w:r w:rsidRPr="00C62C01">
        <w:rPr>
          <w:rFonts w:asciiTheme="minorHAnsi" w:eastAsia="Calibri" w:hAnsiTheme="minorHAnsi" w:cstheme="minorHAnsi"/>
          <w:sz w:val="22"/>
          <w:szCs w:val="22"/>
        </w:rPr>
        <w:t>SuiteScript</w:t>
      </w:r>
      <w:proofErr w:type="spellEnd"/>
      <w:r w:rsidRPr="00C62C01">
        <w:rPr>
          <w:rFonts w:asciiTheme="minorHAnsi" w:eastAsia="Calibri" w:hAnsiTheme="minorHAnsi" w:cstheme="minorHAnsi"/>
          <w:sz w:val="22"/>
          <w:szCs w:val="22"/>
        </w:rPr>
        <w:t xml:space="preserve"> 2.1 can read period status to gate scheduled processing.</w:t>
      </w:r>
    </w:p>
    <w:p w14:paraId="60FB58F6" w14:textId="77777777" w:rsidR="00CE3C80" w:rsidRPr="00C62C01" w:rsidRDefault="00CE3C80">
      <w:pPr>
        <w:spacing w:after="60"/>
        <w:rPr>
          <w:rFonts w:asciiTheme="minorHAnsi" w:hAnsiTheme="minorHAnsi" w:cstheme="minorHAnsi"/>
        </w:rPr>
      </w:pP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CE3C80" w:rsidRPr="00C62C01" w14:paraId="60FB58FB" w14:textId="77777777">
        <w:tc>
          <w:tcPr>
            <w:tcW w:w="0" w:type="auto"/>
            <w:shd w:val="clear" w:color="auto" w:fill="DDEBF7"/>
            <w:tcMar>
              <w:top w:w="160" w:type="dxa"/>
              <w:left w:w="200" w:type="dxa"/>
              <w:bottom w:w="160" w:type="dxa"/>
              <w:right w:w="200" w:type="dxa"/>
            </w:tcMar>
          </w:tcPr>
          <w:p w14:paraId="60FB58F7" w14:textId="77777777" w:rsidR="00CE3C80" w:rsidRPr="00C62C01" w:rsidRDefault="001F3DB0">
            <w:pPr>
              <w:spacing w:after="140"/>
              <w:rPr>
                <w:rFonts w:asciiTheme="minorHAnsi" w:hAnsiTheme="minorHAnsi" w:cstheme="minorHAnsi"/>
              </w:rPr>
            </w:pPr>
            <w:r w:rsidRPr="00C62C01">
              <w:rPr>
                <w:rFonts w:ascii="Segoe UI Emoji" w:eastAsia="Calibri" w:hAnsi="Segoe UI Emoji" w:cs="Segoe UI Emoji"/>
                <w:b/>
                <w:bCs/>
                <w:color w:val="1F3864"/>
                <w:sz w:val="22"/>
                <w:szCs w:val="22"/>
              </w:rPr>
              <w:t>📌</w:t>
            </w:r>
            <w:r w:rsidRPr="00C62C01">
              <w:rPr>
                <w:rFonts w:asciiTheme="minorHAnsi" w:eastAsia="Calibri" w:hAnsiTheme="minorHAnsi" w:cstheme="minorHAnsi"/>
                <w:b/>
                <w:bCs/>
                <w:color w:val="1F3864"/>
                <w:sz w:val="22"/>
                <w:szCs w:val="22"/>
              </w:rPr>
              <w:t xml:space="preserve"> Why Period Control Isn't Just a Month-End Checkbox</w:t>
            </w:r>
          </w:p>
          <w:p w14:paraId="60FB58F8" w14:textId="77777777" w:rsidR="00CE3C80" w:rsidRPr="00C62C01" w:rsidRDefault="001F3DB0">
            <w:pPr>
              <w:pStyle w:val="ListParagraph"/>
              <w:numPr>
                <w:ilvl w:val="0"/>
                <w:numId w:val="1"/>
              </w:numPr>
              <w:spacing w:after="100" w:line="270" w:lineRule="auto"/>
              <w:rPr>
                <w:rFonts w:asciiTheme="minorHAnsi" w:hAnsiTheme="minorHAnsi" w:cstheme="minorHAnsi"/>
              </w:rPr>
            </w:pPr>
            <w:r w:rsidRPr="00C62C01">
              <w:rPr>
                <w:rFonts w:asciiTheme="minorHAnsi" w:eastAsia="Calibri" w:hAnsiTheme="minorHAnsi" w:cstheme="minorHAnsi"/>
                <w:sz w:val="21"/>
                <w:szCs w:val="21"/>
              </w:rPr>
              <w:t>Locking and closing are two different controls: locking (A/P, A/R, Payroll, or All) is a preliminary, reversible restriction that only blocks ordinary users, while closing is the final step that blocks posting for anyone, including administrators, until the period is explicitly reopened.</w:t>
            </w:r>
          </w:p>
          <w:p w14:paraId="60FB58F9" w14:textId="77777777" w:rsidR="00CE3C80" w:rsidRPr="00C62C01" w:rsidRDefault="001F3DB0">
            <w:pPr>
              <w:pStyle w:val="ListParagraph"/>
              <w:numPr>
                <w:ilvl w:val="0"/>
                <w:numId w:val="1"/>
              </w:numPr>
              <w:spacing w:after="100" w:line="270" w:lineRule="auto"/>
              <w:rPr>
                <w:rFonts w:asciiTheme="minorHAnsi" w:hAnsiTheme="minorHAnsi" w:cstheme="minorHAnsi"/>
              </w:rPr>
            </w:pPr>
            <w:r w:rsidRPr="00C62C01">
              <w:rPr>
                <w:rFonts w:asciiTheme="minorHAnsi" w:eastAsia="Calibri" w:hAnsiTheme="minorHAnsi" w:cstheme="minorHAnsi"/>
                <w:sz w:val="21"/>
                <w:szCs w:val="21"/>
              </w:rPr>
              <w:t xml:space="preserve">The Period Close Checklist isn't a static form — its task list changes based on which features are enabled (Multiple Currencies, </w:t>
            </w:r>
            <w:proofErr w:type="spellStart"/>
            <w:r w:rsidRPr="00C62C01">
              <w:rPr>
                <w:rFonts w:asciiTheme="minorHAnsi" w:eastAsia="Calibri" w:hAnsiTheme="minorHAnsi" w:cstheme="minorHAnsi"/>
                <w:sz w:val="21"/>
                <w:szCs w:val="21"/>
              </w:rPr>
              <w:t>OneWorld</w:t>
            </w:r>
            <w:proofErr w:type="spellEnd"/>
            <w:r w:rsidRPr="00C62C01">
              <w:rPr>
                <w:rFonts w:asciiTheme="minorHAnsi" w:eastAsia="Calibri" w:hAnsiTheme="minorHAnsi" w:cstheme="minorHAnsi"/>
                <w:sz w:val="21"/>
                <w:szCs w:val="21"/>
              </w:rPr>
              <w:t>, Advanced Revenue Management, GL Audit Numbering, Multi-Book Accounting), and every previous period must already be closed before the current one can be.</w:t>
            </w:r>
          </w:p>
          <w:p w14:paraId="60FB58FA" w14:textId="77777777" w:rsidR="00CE3C80" w:rsidRPr="00C62C01" w:rsidRDefault="001F3DB0">
            <w:pPr>
              <w:pStyle w:val="ListParagraph"/>
              <w:numPr>
                <w:ilvl w:val="0"/>
                <w:numId w:val="1"/>
              </w:numPr>
              <w:spacing w:after="100" w:line="270" w:lineRule="auto"/>
              <w:rPr>
                <w:rFonts w:asciiTheme="minorHAnsi" w:hAnsiTheme="minorHAnsi" w:cstheme="minorHAnsi"/>
              </w:rPr>
            </w:pPr>
            <w:r w:rsidRPr="00C62C01">
              <w:rPr>
                <w:rFonts w:asciiTheme="minorHAnsi" w:eastAsia="Calibri" w:hAnsiTheme="minorHAnsi" w:cstheme="minorHAnsi"/>
                <w:sz w:val="21"/>
                <w:szCs w:val="21"/>
              </w:rPr>
              <w:t>Reopening a closed period is not an isolated action — it automatically reopens every later period that was already closed, all of which then need their checklist tasks redone before they can close again.</w:t>
            </w:r>
          </w:p>
        </w:tc>
      </w:tr>
    </w:tbl>
    <w:p w14:paraId="60FB58FC" w14:textId="32EBB276" w:rsidR="00CE3C80" w:rsidRDefault="00CE3C80">
      <w:pPr>
        <w:spacing w:after="100"/>
        <w:rPr>
          <w:rFonts w:asciiTheme="minorHAnsi" w:hAnsiTheme="minorHAnsi" w:cstheme="minorHAnsi"/>
        </w:rPr>
      </w:pPr>
    </w:p>
    <w:p w14:paraId="172A2C7D" w14:textId="47F98629" w:rsidR="00A73C47" w:rsidRDefault="00A73C47">
      <w:pPr>
        <w:spacing w:after="100"/>
        <w:rPr>
          <w:rFonts w:asciiTheme="minorHAnsi" w:hAnsiTheme="minorHAnsi" w:cstheme="minorHAnsi"/>
        </w:rPr>
      </w:pPr>
    </w:p>
    <w:p w14:paraId="4A9CA910" w14:textId="770EA04D" w:rsidR="00A73C47" w:rsidRDefault="00A73C47">
      <w:pPr>
        <w:spacing w:after="100"/>
        <w:rPr>
          <w:rFonts w:asciiTheme="minorHAnsi" w:hAnsiTheme="minorHAnsi" w:cstheme="minorHAnsi"/>
        </w:rPr>
      </w:pPr>
    </w:p>
    <w:p w14:paraId="0728B3D8" w14:textId="3F882156" w:rsidR="00A73C47" w:rsidRDefault="00A73C47">
      <w:pPr>
        <w:spacing w:after="100"/>
        <w:rPr>
          <w:rFonts w:asciiTheme="minorHAnsi" w:hAnsiTheme="minorHAnsi" w:cstheme="minorHAnsi"/>
        </w:rPr>
      </w:pPr>
    </w:p>
    <w:p w14:paraId="6473BF19" w14:textId="477720A3" w:rsidR="00A73C47" w:rsidRDefault="00A73C47">
      <w:pPr>
        <w:spacing w:after="100"/>
        <w:rPr>
          <w:rFonts w:asciiTheme="minorHAnsi" w:hAnsiTheme="minorHAnsi" w:cstheme="minorHAnsi"/>
        </w:rPr>
      </w:pPr>
    </w:p>
    <w:p w14:paraId="402BDF09" w14:textId="6E184398" w:rsidR="00A73C47" w:rsidRDefault="00A73C47">
      <w:pPr>
        <w:spacing w:after="100"/>
        <w:rPr>
          <w:rFonts w:asciiTheme="minorHAnsi" w:hAnsiTheme="minorHAnsi" w:cstheme="minorHAnsi"/>
        </w:rPr>
      </w:pPr>
    </w:p>
    <w:p w14:paraId="33E60A91" w14:textId="1B302954" w:rsidR="00A73C47" w:rsidRDefault="00A73C47">
      <w:pPr>
        <w:spacing w:after="100"/>
        <w:rPr>
          <w:rFonts w:asciiTheme="minorHAnsi" w:hAnsiTheme="minorHAnsi" w:cstheme="minorHAnsi"/>
        </w:rPr>
      </w:pPr>
    </w:p>
    <w:p w14:paraId="21AE4E63" w14:textId="370201C2" w:rsidR="00A73C47" w:rsidRDefault="00A73C47">
      <w:pPr>
        <w:spacing w:after="100"/>
        <w:rPr>
          <w:rFonts w:asciiTheme="minorHAnsi" w:hAnsiTheme="minorHAnsi" w:cstheme="minorHAnsi"/>
        </w:rPr>
      </w:pPr>
    </w:p>
    <w:p w14:paraId="630A487D" w14:textId="1C8BDB86" w:rsidR="00A73C47" w:rsidRDefault="00A73C47">
      <w:pPr>
        <w:spacing w:after="100"/>
        <w:rPr>
          <w:rFonts w:asciiTheme="minorHAnsi" w:hAnsiTheme="minorHAnsi" w:cstheme="minorHAnsi"/>
        </w:rPr>
      </w:pPr>
    </w:p>
    <w:p w14:paraId="3C715DAD" w14:textId="64237FF3" w:rsidR="00A73C47" w:rsidRDefault="00A73C47">
      <w:pPr>
        <w:spacing w:after="100"/>
        <w:rPr>
          <w:rFonts w:asciiTheme="minorHAnsi" w:hAnsiTheme="minorHAnsi" w:cstheme="minorHAnsi"/>
        </w:rPr>
      </w:pPr>
    </w:p>
    <w:p w14:paraId="40F07FC5" w14:textId="65627105" w:rsidR="00A73C47" w:rsidRDefault="00A73C47">
      <w:pPr>
        <w:spacing w:after="100"/>
        <w:rPr>
          <w:rFonts w:asciiTheme="minorHAnsi" w:hAnsiTheme="minorHAnsi" w:cstheme="minorHAnsi"/>
        </w:rPr>
      </w:pPr>
    </w:p>
    <w:p w14:paraId="0C96BF76" w14:textId="0E3BC1E6" w:rsidR="00A73C47" w:rsidRDefault="00A73C47">
      <w:pPr>
        <w:spacing w:after="100"/>
        <w:rPr>
          <w:rFonts w:asciiTheme="minorHAnsi" w:hAnsiTheme="minorHAnsi" w:cstheme="minorHAnsi"/>
        </w:rPr>
      </w:pPr>
    </w:p>
    <w:p w14:paraId="258A5897" w14:textId="77777777" w:rsidR="00A73C47" w:rsidRPr="00C62C01" w:rsidRDefault="00A73C47">
      <w:pPr>
        <w:spacing w:after="100"/>
        <w:rPr>
          <w:rFonts w:asciiTheme="minorHAnsi" w:hAnsiTheme="minorHAnsi" w:cstheme="minorHAnsi"/>
        </w:rPr>
      </w:pPr>
    </w:p>
    <w:p w14:paraId="60FB58FD" w14:textId="77777777" w:rsidR="00CE3C80" w:rsidRPr="00C62C01" w:rsidRDefault="001F3DB0">
      <w:pPr>
        <w:pStyle w:val="Heading1"/>
        <w:spacing w:before="360" w:after="200"/>
        <w:rPr>
          <w:rFonts w:asciiTheme="minorHAnsi" w:hAnsiTheme="minorHAnsi" w:cstheme="minorHAnsi"/>
        </w:rPr>
      </w:pPr>
      <w:r w:rsidRPr="00C62C01">
        <w:rPr>
          <w:rFonts w:asciiTheme="minorHAnsi" w:hAnsiTheme="minorHAnsi" w:cstheme="minorHAnsi"/>
          <w:b/>
          <w:bCs/>
          <w:color w:val="1F3864"/>
          <w:sz w:val="30"/>
          <w:szCs w:val="30"/>
        </w:rPr>
        <w:lastRenderedPageBreak/>
        <w:t>2. Accounting Period Fundamentals — Setup, Hierarchy, and Permissions</w:t>
      </w:r>
    </w:p>
    <w:p w14:paraId="60FB58FE" w14:textId="77777777" w:rsidR="00CE3C80" w:rsidRPr="00C62C01" w:rsidRDefault="001F3DB0">
      <w:pPr>
        <w:spacing w:after="200" w:line="300" w:lineRule="auto"/>
        <w:rPr>
          <w:rFonts w:asciiTheme="minorHAnsi" w:hAnsiTheme="minorHAnsi" w:cstheme="minorHAnsi"/>
        </w:rPr>
      </w:pPr>
      <w:r w:rsidRPr="00C62C01">
        <w:rPr>
          <w:rFonts w:asciiTheme="minorHAnsi" w:eastAsia="Calibri" w:hAnsiTheme="minorHAnsi" w:cstheme="minorHAnsi"/>
          <w:sz w:val="22"/>
          <w:szCs w:val="22"/>
        </w:rPr>
        <w:t>When the Accounting Periods feature is disabled, NetSuite transactions post to the general ledger in real time with no period-level control. Enabling the feature lets users select a past or future posting period on each transaction and lets accounting staff monitor and control the status of periods as a discipline in itself. If historical data already exists, the feature can still be enabled — an accounting period is then created for the past quarter or month, and NetSuite automatically assigns existing transactions dated within that range to it.</w:t>
      </w:r>
    </w:p>
    <w:p w14:paraId="0ECEB35F" w14:textId="617E9622" w:rsidR="00CD34BC" w:rsidRPr="00510730" w:rsidRDefault="001F3DB0">
      <w:pPr>
        <w:pStyle w:val="Heading2"/>
        <w:spacing w:before="300" w:after="160"/>
        <w:rPr>
          <w:rFonts w:asciiTheme="minorHAnsi" w:hAnsiTheme="minorHAnsi" w:cstheme="minorHAnsi"/>
          <w:b/>
          <w:bCs/>
          <w:color w:val="1F3864"/>
        </w:rPr>
      </w:pPr>
      <w:r w:rsidRPr="00C62C01">
        <w:rPr>
          <w:rFonts w:asciiTheme="minorHAnsi" w:hAnsiTheme="minorHAnsi" w:cstheme="minorHAnsi"/>
          <w:b/>
          <w:bCs/>
          <w:color w:val="1F3864"/>
        </w:rPr>
        <w:t>2.1 Enabling the Feature and Building the Period Hierarchy</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4"/>
        <w:gridCol w:w="3678"/>
        <w:gridCol w:w="3678"/>
      </w:tblGrid>
      <w:tr w:rsidR="00CE3C80" w:rsidRPr="009F670D" w14:paraId="60FB5903" w14:textId="77777777">
        <w:trPr>
          <w:tblHeader/>
        </w:trPr>
        <w:tc>
          <w:tcPr>
            <w:tcW w:w="2400" w:type="dxa"/>
            <w:shd w:val="clear" w:color="auto" w:fill="1F3864"/>
            <w:tcMar>
              <w:top w:w="100" w:type="dxa"/>
              <w:left w:w="120" w:type="dxa"/>
              <w:bottom w:w="100" w:type="dxa"/>
              <w:right w:w="120" w:type="dxa"/>
            </w:tcMar>
            <w:vAlign w:val="center"/>
          </w:tcPr>
          <w:p w14:paraId="60FB5900" w14:textId="77777777" w:rsidR="00CE3C80" w:rsidRPr="009F670D" w:rsidRDefault="001F3DB0">
            <w:pPr>
              <w:rPr>
                <w:rFonts w:asciiTheme="minorHAnsi" w:hAnsiTheme="minorHAnsi" w:cstheme="minorHAnsi"/>
                <w:sz w:val="24"/>
              </w:rPr>
            </w:pPr>
            <w:r w:rsidRPr="009F670D">
              <w:rPr>
                <w:rFonts w:asciiTheme="minorHAnsi" w:eastAsia="Calibri" w:hAnsiTheme="minorHAnsi" w:cstheme="minorHAnsi"/>
                <w:b/>
                <w:bCs/>
                <w:color w:val="FFFFFF"/>
                <w:sz w:val="24"/>
              </w:rPr>
              <w:t>Step</w:t>
            </w:r>
          </w:p>
        </w:tc>
        <w:tc>
          <w:tcPr>
            <w:tcW w:w="3300" w:type="dxa"/>
            <w:shd w:val="clear" w:color="auto" w:fill="1F3864"/>
            <w:tcMar>
              <w:top w:w="100" w:type="dxa"/>
              <w:left w:w="120" w:type="dxa"/>
              <w:bottom w:w="100" w:type="dxa"/>
              <w:right w:w="120" w:type="dxa"/>
            </w:tcMar>
            <w:vAlign w:val="center"/>
          </w:tcPr>
          <w:p w14:paraId="60FB5901" w14:textId="77777777" w:rsidR="00CE3C80" w:rsidRPr="009F670D" w:rsidRDefault="001F3DB0">
            <w:pPr>
              <w:rPr>
                <w:rFonts w:asciiTheme="minorHAnsi" w:hAnsiTheme="minorHAnsi" w:cstheme="minorHAnsi"/>
                <w:sz w:val="24"/>
              </w:rPr>
            </w:pPr>
            <w:r w:rsidRPr="009F670D">
              <w:rPr>
                <w:rFonts w:asciiTheme="minorHAnsi" w:eastAsia="Calibri" w:hAnsiTheme="minorHAnsi" w:cstheme="minorHAnsi"/>
                <w:b/>
                <w:bCs/>
                <w:color w:val="FFFFFF"/>
                <w:sz w:val="24"/>
              </w:rPr>
              <w:t>Where</w:t>
            </w:r>
          </w:p>
        </w:tc>
        <w:tc>
          <w:tcPr>
            <w:tcW w:w="3300" w:type="dxa"/>
            <w:shd w:val="clear" w:color="auto" w:fill="1F3864"/>
            <w:tcMar>
              <w:top w:w="100" w:type="dxa"/>
              <w:left w:w="120" w:type="dxa"/>
              <w:bottom w:w="100" w:type="dxa"/>
              <w:right w:w="120" w:type="dxa"/>
            </w:tcMar>
            <w:vAlign w:val="center"/>
          </w:tcPr>
          <w:p w14:paraId="60FB5902" w14:textId="77777777" w:rsidR="00CE3C80" w:rsidRPr="009F670D" w:rsidRDefault="001F3DB0">
            <w:pPr>
              <w:rPr>
                <w:rFonts w:asciiTheme="minorHAnsi" w:hAnsiTheme="minorHAnsi" w:cstheme="minorHAnsi"/>
                <w:sz w:val="24"/>
              </w:rPr>
            </w:pPr>
            <w:r w:rsidRPr="009F670D">
              <w:rPr>
                <w:rFonts w:asciiTheme="minorHAnsi" w:eastAsia="Calibri" w:hAnsiTheme="minorHAnsi" w:cstheme="minorHAnsi"/>
                <w:b/>
                <w:bCs/>
                <w:color w:val="FFFFFF"/>
                <w:sz w:val="24"/>
              </w:rPr>
              <w:t>Notes</w:t>
            </w:r>
          </w:p>
        </w:tc>
      </w:tr>
      <w:tr w:rsidR="00CE3C80" w:rsidRPr="009F670D" w14:paraId="60FB5907" w14:textId="77777777">
        <w:tc>
          <w:tcPr>
            <w:tcW w:w="2400" w:type="dxa"/>
            <w:tcMar>
              <w:top w:w="90" w:type="dxa"/>
              <w:left w:w="120" w:type="dxa"/>
              <w:bottom w:w="90" w:type="dxa"/>
              <w:right w:w="120" w:type="dxa"/>
            </w:tcMar>
            <w:vAlign w:val="center"/>
          </w:tcPr>
          <w:p w14:paraId="60FB5904" w14:textId="77777777" w:rsidR="00CE3C80" w:rsidRPr="00BB523F" w:rsidRDefault="001F3DB0">
            <w:pPr>
              <w:rPr>
                <w:rFonts w:asciiTheme="minorHAnsi" w:hAnsiTheme="minorHAnsi" w:cstheme="minorHAnsi"/>
              </w:rPr>
            </w:pPr>
            <w:r w:rsidRPr="00BB523F">
              <w:rPr>
                <w:rFonts w:asciiTheme="minorHAnsi" w:eastAsia="Calibri" w:hAnsiTheme="minorHAnsi" w:cstheme="minorHAnsi"/>
              </w:rPr>
              <w:t>Enable Accounting Periods</w:t>
            </w:r>
          </w:p>
        </w:tc>
        <w:tc>
          <w:tcPr>
            <w:tcW w:w="3300" w:type="dxa"/>
            <w:tcMar>
              <w:top w:w="90" w:type="dxa"/>
              <w:left w:w="120" w:type="dxa"/>
              <w:bottom w:w="90" w:type="dxa"/>
              <w:right w:w="120" w:type="dxa"/>
            </w:tcMar>
            <w:vAlign w:val="center"/>
          </w:tcPr>
          <w:p w14:paraId="60FB5905" w14:textId="77777777" w:rsidR="00CE3C80" w:rsidRPr="00BB523F" w:rsidRDefault="001F3DB0">
            <w:pPr>
              <w:rPr>
                <w:rFonts w:asciiTheme="minorHAnsi" w:hAnsiTheme="minorHAnsi" w:cstheme="minorHAnsi"/>
              </w:rPr>
            </w:pPr>
            <w:r w:rsidRPr="00BB523F">
              <w:rPr>
                <w:rFonts w:asciiTheme="minorHAnsi" w:eastAsia="Calibri" w:hAnsiTheme="minorHAnsi" w:cstheme="minorHAnsi"/>
              </w:rPr>
              <w:t>Setup &gt; Company &gt; Enable Features, Accounting subtab</w:t>
            </w:r>
          </w:p>
        </w:tc>
        <w:tc>
          <w:tcPr>
            <w:tcW w:w="3300" w:type="dxa"/>
            <w:tcMar>
              <w:top w:w="90" w:type="dxa"/>
              <w:left w:w="120" w:type="dxa"/>
              <w:bottom w:w="90" w:type="dxa"/>
              <w:right w:w="120" w:type="dxa"/>
            </w:tcMar>
            <w:vAlign w:val="center"/>
          </w:tcPr>
          <w:p w14:paraId="60FB5906" w14:textId="77777777" w:rsidR="00CE3C80" w:rsidRPr="00BB523F" w:rsidRDefault="001F3DB0">
            <w:pPr>
              <w:rPr>
                <w:rFonts w:asciiTheme="minorHAnsi" w:hAnsiTheme="minorHAnsi" w:cstheme="minorHAnsi"/>
              </w:rPr>
            </w:pPr>
            <w:r w:rsidRPr="00BB523F">
              <w:rPr>
                <w:rFonts w:asciiTheme="minorHAnsi" w:eastAsia="Calibri" w:hAnsiTheme="minorHAnsi" w:cstheme="minorHAnsi"/>
              </w:rPr>
              <w:t xml:space="preserve">Requires the Enable Features permission. If you don't use </w:t>
            </w:r>
            <w:proofErr w:type="spellStart"/>
            <w:r w:rsidRPr="00BB523F">
              <w:rPr>
                <w:rFonts w:asciiTheme="minorHAnsi" w:eastAsia="Calibri" w:hAnsiTheme="minorHAnsi" w:cstheme="minorHAnsi"/>
              </w:rPr>
              <w:t>OneWorld</w:t>
            </w:r>
            <w:proofErr w:type="spellEnd"/>
            <w:r w:rsidRPr="00BB523F">
              <w:rPr>
                <w:rFonts w:asciiTheme="minorHAnsi" w:eastAsia="Calibri" w:hAnsiTheme="minorHAnsi" w:cstheme="minorHAnsi"/>
              </w:rPr>
              <w:t>, the feature can't be disabled once an accounting period exists — every created period must be deleted first.</w:t>
            </w:r>
          </w:p>
        </w:tc>
      </w:tr>
      <w:tr w:rsidR="00CE3C80" w:rsidRPr="009F670D" w14:paraId="60FB590B" w14:textId="77777777">
        <w:tc>
          <w:tcPr>
            <w:tcW w:w="2400" w:type="dxa"/>
            <w:tcMar>
              <w:top w:w="90" w:type="dxa"/>
              <w:left w:w="120" w:type="dxa"/>
              <w:bottom w:w="90" w:type="dxa"/>
              <w:right w:w="120" w:type="dxa"/>
            </w:tcMar>
            <w:vAlign w:val="center"/>
          </w:tcPr>
          <w:p w14:paraId="60FB5908" w14:textId="77777777" w:rsidR="00CE3C80" w:rsidRPr="00BB523F" w:rsidRDefault="001F3DB0">
            <w:pPr>
              <w:rPr>
                <w:rFonts w:asciiTheme="minorHAnsi" w:hAnsiTheme="minorHAnsi" w:cstheme="minorHAnsi"/>
              </w:rPr>
            </w:pPr>
            <w:r w:rsidRPr="00BB523F">
              <w:rPr>
                <w:rFonts w:asciiTheme="minorHAnsi" w:eastAsia="Calibri" w:hAnsiTheme="minorHAnsi" w:cstheme="minorHAnsi"/>
              </w:rPr>
              <w:t>Set up a full fiscal year</w:t>
            </w:r>
          </w:p>
        </w:tc>
        <w:tc>
          <w:tcPr>
            <w:tcW w:w="3300" w:type="dxa"/>
            <w:tcMar>
              <w:top w:w="90" w:type="dxa"/>
              <w:left w:w="120" w:type="dxa"/>
              <w:bottom w:w="90" w:type="dxa"/>
              <w:right w:w="120" w:type="dxa"/>
            </w:tcMar>
            <w:vAlign w:val="center"/>
          </w:tcPr>
          <w:p w14:paraId="60FB5909" w14:textId="77777777" w:rsidR="00CE3C80" w:rsidRPr="00BB523F" w:rsidRDefault="001F3DB0">
            <w:pPr>
              <w:rPr>
                <w:rFonts w:asciiTheme="minorHAnsi" w:hAnsiTheme="minorHAnsi" w:cstheme="minorHAnsi"/>
              </w:rPr>
            </w:pPr>
            <w:r w:rsidRPr="00BB523F">
              <w:rPr>
                <w:rFonts w:asciiTheme="minorHAnsi" w:eastAsia="Calibri" w:hAnsiTheme="minorHAnsi" w:cstheme="minorHAnsi"/>
              </w:rPr>
              <w:t>Setup &gt; Accounting &gt; Manage G/L &gt; Manage Accounting Periods &gt; Set Up Full Year</w:t>
            </w:r>
          </w:p>
        </w:tc>
        <w:tc>
          <w:tcPr>
            <w:tcW w:w="3300" w:type="dxa"/>
            <w:tcMar>
              <w:top w:w="90" w:type="dxa"/>
              <w:left w:w="120" w:type="dxa"/>
              <w:bottom w:w="90" w:type="dxa"/>
              <w:right w:w="120" w:type="dxa"/>
            </w:tcMar>
            <w:vAlign w:val="center"/>
          </w:tcPr>
          <w:p w14:paraId="60FB590A" w14:textId="77777777" w:rsidR="00CE3C80" w:rsidRPr="00BB523F" w:rsidRDefault="001F3DB0">
            <w:pPr>
              <w:rPr>
                <w:rFonts w:asciiTheme="minorHAnsi" w:hAnsiTheme="minorHAnsi" w:cstheme="minorHAnsi"/>
              </w:rPr>
            </w:pPr>
            <w:r w:rsidRPr="00BB523F">
              <w:rPr>
                <w:rFonts w:asciiTheme="minorHAnsi" w:eastAsia="Calibri" w:hAnsiTheme="minorHAnsi" w:cstheme="minorHAnsi"/>
              </w:rPr>
              <w:t>Best-practice path — generates the year, its quarters, and its months as one rollup in a single pass, using Calendar Months, 4 Weeks, or 4-4-5 Weeks.</w:t>
            </w:r>
          </w:p>
        </w:tc>
      </w:tr>
      <w:tr w:rsidR="00CE3C80" w:rsidRPr="009F670D" w14:paraId="60FB590F" w14:textId="77777777">
        <w:tc>
          <w:tcPr>
            <w:tcW w:w="2400" w:type="dxa"/>
            <w:tcMar>
              <w:top w:w="90" w:type="dxa"/>
              <w:left w:w="120" w:type="dxa"/>
              <w:bottom w:w="90" w:type="dxa"/>
              <w:right w:w="120" w:type="dxa"/>
            </w:tcMar>
            <w:vAlign w:val="center"/>
          </w:tcPr>
          <w:p w14:paraId="60FB590C" w14:textId="77777777" w:rsidR="00CE3C80" w:rsidRPr="00BB523F" w:rsidRDefault="001F3DB0">
            <w:pPr>
              <w:rPr>
                <w:rFonts w:asciiTheme="minorHAnsi" w:hAnsiTheme="minorHAnsi" w:cstheme="minorHAnsi"/>
              </w:rPr>
            </w:pPr>
            <w:r w:rsidRPr="00BB523F">
              <w:rPr>
                <w:rFonts w:asciiTheme="minorHAnsi" w:eastAsia="Calibri" w:hAnsiTheme="minorHAnsi" w:cstheme="minorHAnsi"/>
              </w:rPr>
              <w:t>Set up periods manually</w:t>
            </w:r>
          </w:p>
        </w:tc>
        <w:tc>
          <w:tcPr>
            <w:tcW w:w="3300" w:type="dxa"/>
            <w:tcMar>
              <w:top w:w="90" w:type="dxa"/>
              <w:left w:w="120" w:type="dxa"/>
              <w:bottom w:w="90" w:type="dxa"/>
              <w:right w:w="120" w:type="dxa"/>
            </w:tcMar>
            <w:vAlign w:val="center"/>
          </w:tcPr>
          <w:p w14:paraId="60FB590D" w14:textId="77777777" w:rsidR="00CE3C80" w:rsidRPr="00BB523F" w:rsidRDefault="001F3DB0">
            <w:pPr>
              <w:rPr>
                <w:rFonts w:asciiTheme="minorHAnsi" w:hAnsiTheme="minorHAnsi" w:cstheme="minorHAnsi"/>
              </w:rPr>
            </w:pPr>
            <w:r w:rsidRPr="00BB523F">
              <w:rPr>
                <w:rFonts w:asciiTheme="minorHAnsi" w:eastAsia="Calibri" w:hAnsiTheme="minorHAnsi" w:cstheme="minorHAnsi"/>
              </w:rPr>
              <w:t>Manage Accounting Periods &gt; New Year Only / New Quarter Only / Base Period</w:t>
            </w:r>
          </w:p>
        </w:tc>
        <w:tc>
          <w:tcPr>
            <w:tcW w:w="3300" w:type="dxa"/>
            <w:tcMar>
              <w:top w:w="90" w:type="dxa"/>
              <w:left w:w="120" w:type="dxa"/>
              <w:bottom w:w="90" w:type="dxa"/>
              <w:right w:w="120" w:type="dxa"/>
            </w:tcMar>
            <w:vAlign w:val="center"/>
          </w:tcPr>
          <w:p w14:paraId="60FB590E" w14:textId="77777777" w:rsidR="00CE3C80" w:rsidRPr="00BB523F" w:rsidRDefault="001F3DB0">
            <w:pPr>
              <w:rPr>
                <w:rFonts w:asciiTheme="minorHAnsi" w:hAnsiTheme="minorHAnsi" w:cstheme="minorHAnsi"/>
              </w:rPr>
            </w:pPr>
            <w:r w:rsidRPr="00BB523F">
              <w:rPr>
                <w:rFonts w:asciiTheme="minorHAnsi" w:eastAsia="Calibri" w:hAnsiTheme="minorHAnsi" w:cstheme="minorHAnsi"/>
              </w:rPr>
              <w:t>The year period must be created first (it's the top of the rollup), then its subperiods — every day must belong to a period for reporting accuracy.</w:t>
            </w:r>
          </w:p>
        </w:tc>
      </w:tr>
      <w:tr w:rsidR="00CE3C80" w:rsidRPr="009F670D" w14:paraId="60FB5913" w14:textId="77777777">
        <w:tc>
          <w:tcPr>
            <w:tcW w:w="2400" w:type="dxa"/>
            <w:tcMar>
              <w:top w:w="90" w:type="dxa"/>
              <w:left w:w="120" w:type="dxa"/>
              <w:bottom w:w="90" w:type="dxa"/>
              <w:right w:w="120" w:type="dxa"/>
            </w:tcMar>
            <w:vAlign w:val="center"/>
          </w:tcPr>
          <w:p w14:paraId="60FB5910" w14:textId="77777777" w:rsidR="00CE3C80" w:rsidRPr="00BB523F" w:rsidRDefault="001F3DB0">
            <w:pPr>
              <w:rPr>
                <w:rFonts w:asciiTheme="minorHAnsi" w:hAnsiTheme="minorHAnsi" w:cstheme="minorHAnsi"/>
              </w:rPr>
            </w:pPr>
            <w:r w:rsidRPr="00BB523F">
              <w:rPr>
                <w:rFonts w:asciiTheme="minorHAnsi" w:eastAsia="Calibri" w:hAnsiTheme="minorHAnsi" w:cstheme="minorHAnsi"/>
              </w:rPr>
              <w:t>Use fiscal calendars (</w:t>
            </w:r>
            <w:proofErr w:type="spellStart"/>
            <w:r w:rsidRPr="00BB523F">
              <w:rPr>
                <w:rFonts w:asciiTheme="minorHAnsi" w:eastAsia="Calibri" w:hAnsiTheme="minorHAnsi" w:cstheme="minorHAnsi"/>
              </w:rPr>
              <w:t>OneWorld</w:t>
            </w:r>
            <w:proofErr w:type="spellEnd"/>
            <w:r w:rsidRPr="00BB523F">
              <w:rPr>
                <w:rFonts w:asciiTheme="minorHAnsi" w:eastAsia="Calibri" w:hAnsiTheme="minorHAnsi" w:cstheme="minorHAnsi"/>
              </w:rPr>
              <w:t>)</w:t>
            </w:r>
          </w:p>
        </w:tc>
        <w:tc>
          <w:tcPr>
            <w:tcW w:w="3300" w:type="dxa"/>
            <w:tcMar>
              <w:top w:w="90" w:type="dxa"/>
              <w:left w:w="120" w:type="dxa"/>
              <w:bottom w:w="90" w:type="dxa"/>
              <w:right w:w="120" w:type="dxa"/>
            </w:tcMar>
            <w:vAlign w:val="center"/>
          </w:tcPr>
          <w:p w14:paraId="60FB5911" w14:textId="77777777" w:rsidR="00CE3C80" w:rsidRPr="00BB523F" w:rsidRDefault="001F3DB0">
            <w:pPr>
              <w:rPr>
                <w:rFonts w:asciiTheme="minorHAnsi" w:hAnsiTheme="minorHAnsi" w:cstheme="minorHAnsi"/>
              </w:rPr>
            </w:pPr>
            <w:r w:rsidRPr="00BB523F">
              <w:rPr>
                <w:rFonts w:asciiTheme="minorHAnsi" w:eastAsia="Calibri" w:hAnsiTheme="minorHAnsi" w:cstheme="minorHAnsi"/>
              </w:rPr>
              <w:t>Setup &gt; Accounting &gt; Fiscal Calendars</w:t>
            </w:r>
          </w:p>
        </w:tc>
        <w:tc>
          <w:tcPr>
            <w:tcW w:w="3300" w:type="dxa"/>
            <w:tcMar>
              <w:top w:w="90" w:type="dxa"/>
              <w:left w:w="120" w:type="dxa"/>
              <w:bottom w:w="90" w:type="dxa"/>
              <w:right w:w="120" w:type="dxa"/>
            </w:tcMar>
            <w:vAlign w:val="center"/>
          </w:tcPr>
          <w:p w14:paraId="60FB5912" w14:textId="77777777" w:rsidR="00CE3C80" w:rsidRPr="00BB523F" w:rsidRDefault="001F3DB0">
            <w:pPr>
              <w:rPr>
                <w:rFonts w:asciiTheme="minorHAnsi" w:hAnsiTheme="minorHAnsi" w:cstheme="minorHAnsi"/>
              </w:rPr>
            </w:pPr>
            <w:proofErr w:type="spellStart"/>
            <w:r w:rsidRPr="00BB523F">
              <w:rPr>
                <w:rFonts w:asciiTheme="minorHAnsi" w:eastAsia="Calibri" w:hAnsiTheme="minorHAnsi" w:cstheme="minorHAnsi"/>
              </w:rPr>
              <w:t>Lets</w:t>
            </w:r>
            <w:proofErr w:type="spellEnd"/>
            <w:r w:rsidRPr="00BB523F">
              <w:rPr>
                <w:rFonts w:asciiTheme="minorHAnsi" w:eastAsia="Calibri" w:hAnsiTheme="minorHAnsi" w:cstheme="minorHAnsi"/>
              </w:rPr>
              <w:t xml:space="preserve"> different subsidiaries use different accounting period rollups when the Multiple Calendars feature is enabled; the base periods that roll up into those hierarchies stay common to all subsidiaries.</w:t>
            </w:r>
          </w:p>
        </w:tc>
      </w:tr>
    </w:tbl>
    <w:p w14:paraId="60FB5914" w14:textId="40E6088E" w:rsidR="00CE3C80" w:rsidRDefault="00CE3C80">
      <w:pPr>
        <w:spacing w:after="80"/>
        <w:rPr>
          <w:rFonts w:asciiTheme="minorHAnsi" w:hAnsiTheme="minorHAnsi" w:cstheme="minorHAnsi"/>
        </w:rPr>
      </w:pPr>
    </w:p>
    <w:p w14:paraId="53E304A1" w14:textId="4735748C" w:rsidR="00564863" w:rsidRDefault="00564863">
      <w:pPr>
        <w:spacing w:after="80"/>
        <w:rPr>
          <w:rFonts w:asciiTheme="minorHAnsi" w:hAnsiTheme="minorHAnsi" w:cstheme="minorHAnsi"/>
        </w:rPr>
      </w:pPr>
    </w:p>
    <w:p w14:paraId="68C4F374" w14:textId="66BC85C0" w:rsidR="00564863" w:rsidRDefault="00564863">
      <w:pPr>
        <w:spacing w:after="80"/>
        <w:rPr>
          <w:rFonts w:asciiTheme="minorHAnsi" w:hAnsiTheme="minorHAnsi" w:cstheme="minorHAnsi"/>
        </w:rPr>
      </w:pPr>
    </w:p>
    <w:p w14:paraId="69640411" w14:textId="3CFD00E7" w:rsidR="00564863" w:rsidRDefault="00564863">
      <w:pPr>
        <w:spacing w:after="80"/>
        <w:rPr>
          <w:rFonts w:asciiTheme="minorHAnsi" w:hAnsiTheme="minorHAnsi" w:cstheme="minorHAnsi"/>
        </w:rPr>
      </w:pPr>
    </w:p>
    <w:p w14:paraId="51187A01" w14:textId="330D5B45" w:rsidR="00564863" w:rsidRDefault="00564863">
      <w:pPr>
        <w:spacing w:after="80"/>
        <w:rPr>
          <w:rFonts w:asciiTheme="minorHAnsi" w:hAnsiTheme="minorHAnsi" w:cstheme="minorHAnsi"/>
        </w:rPr>
      </w:pPr>
    </w:p>
    <w:p w14:paraId="227336EB" w14:textId="74C53B42" w:rsidR="00564863" w:rsidRDefault="00564863">
      <w:pPr>
        <w:spacing w:after="80"/>
        <w:rPr>
          <w:rFonts w:asciiTheme="minorHAnsi" w:hAnsiTheme="minorHAnsi" w:cstheme="minorHAnsi"/>
        </w:rPr>
      </w:pPr>
    </w:p>
    <w:p w14:paraId="4D7F4D09" w14:textId="27BB2810" w:rsidR="00057997" w:rsidRDefault="00057997">
      <w:pPr>
        <w:spacing w:after="80"/>
        <w:rPr>
          <w:rFonts w:asciiTheme="minorHAnsi" w:hAnsiTheme="minorHAnsi" w:cstheme="minorHAnsi"/>
        </w:rPr>
      </w:pPr>
    </w:p>
    <w:p w14:paraId="51FCC6D4" w14:textId="696484C3" w:rsidR="00057997" w:rsidRDefault="00057997">
      <w:pPr>
        <w:spacing w:after="80"/>
        <w:rPr>
          <w:rFonts w:asciiTheme="minorHAnsi" w:hAnsiTheme="minorHAnsi" w:cstheme="minorHAnsi"/>
        </w:rPr>
      </w:pPr>
    </w:p>
    <w:p w14:paraId="50460D32" w14:textId="2A7527A2" w:rsidR="00057997" w:rsidRDefault="00057997">
      <w:pPr>
        <w:spacing w:after="80"/>
        <w:rPr>
          <w:rFonts w:asciiTheme="minorHAnsi" w:hAnsiTheme="minorHAnsi" w:cstheme="minorHAnsi"/>
        </w:rPr>
      </w:pPr>
    </w:p>
    <w:p w14:paraId="6B7E3DFA" w14:textId="651C8EA3" w:rsidR="00057997" w:rsidRDefault="00057997">
      <w:pPr>
        <w:spacing w:after="80"/>
        <w:rPr>
          <w:rFonts w:asciiTheme="minorHAnsi" w:hAnsiTheme="minorHAnsi" w:cstheme="minorHAnsi"/>
        </w:rPr>
      </w:pPr>
    </w:p>
    <w:p w14:paraId="1398F5EF" w14:textId="6E1F88D2" w:rsidR="00057997" w:rsidRDefault="00057997">
      <w:pPr>
        <w:spacing w:after="80"/>
        <w:rPr>
          <w:rFonts w:asciiTheme="minorHAnsi" w:hAnsiTheme="minorHAnsi" w:cstheme="minorHAnsi"/>
        </w:rPr>
      </w:pPr>
    </w:p>
    <w:p w14:paraId="4AD0C691" w14:textId="465E8044" w:rsidR="00057997" w:rsidRDefault="00057997">
      <w:pPr>
        <w:spacing w:after="80"/>
        <w:rPr>
          <w:rFonts w:asciiTheme="minorHAnsi" w:hAnsiTheme="minorHAnsi" w:cstheme="minorHAnsi"/>
        </w:rPr>
      </w:pPr>
    </w:p>
    <w:p w14:paraId="326B9782" w14:textId="77777777" w:rsidR="00057997" w:rsidRPr="00C62C01" w:rsidRDefault="00057997">
      <w:pPr>
        <w:spacing w:after="80"/>
        <w:rPr>
          <w:rFonts w:asciiTheme="minorHAnsi" w:hAnsiTheme="minorHAnsi" w:cstheme="minorHAnsi"/>
        </w:rPr>
      </w:pPr>
    </w:p>
    <w:p w14:paraId="60FB5915" w14:textId="77777777" w:rsidR="00CE3C80" w:rsidRPr="00C62C01" w:rsidRDefault="001F3DB0">
      <w:pPr>
        <w:pStyle w:val="Heading2"/>
        <w:spacing w:before="300" w:after="160"/>
        <w:rPr>
          <w:rFonts w:asciiTheme="minorHAnsi" w:hAnsiTheme="minorHAnsi" w:cstheme="minorHAnsi"/>
        </w:rPr>
      </w:pPr>
      <w:r w:rsidRPr="00C62C01">
        <w:rPr>
          <w:rFonts w:asciiTheme="minorHAnsi" w:hAnsiTheme="minorHAnsi" w:cstheme="minorHAnsi"/>
          <w:b/>
          <w:bCs/>
          <w:color w:val="1F3864"/>
        </w:rPr>
        <w:lastRenderedPageBreak/>
        <w:t>2.2 Permissions Governing Accounting Periods</w:t>
      </w:r>
    </w:p>
    <w:p w14:paraId="60FB5916" w14:textId="77777777" w:rsidR="00CE3C80" w:rsidRPr="00C62C01" w:rsidRDefault="001F3DB0">
      <w:pPr>
        <w:pStyle w:val="ListParagraph"/>
        <w:numPr>
          <w:ilvl w:val="0"/>
          <w:numId w:val="1"/>
        </w:numPr>
        <w:spacing w:after="120" w:line="280" w:lineRule="auto"/>
        <w:rPr>
          <w:rFonts w:asciiTheme="minorHAnsi" w:hAnsiTheme="minorHAnsi" w:cstheme="minorHAnsi"/>
        </w:rPr>
      </w:pPr>
      <w:r w:rsidRPr="00C62C01">
        <w:rPr>
          <w:rFonts w:asciiTheme="minorHAnsi" w:eastAsia="Calibri" w:hAnsiTheme="minorHAnsi" w:cstheme="minorHAnsi"/>
          <w:sz w:val="22"/>
          <w:szCs w:val="22"/>
        </w:rPr>
        <w:t>Edit or Full level of Manage Accounting Periods is required to set up, edit, lock transactions for period close, or reopen accounting periods; View level only allows seeing the Manage Accounting Periods page.</w:t>
      </w:r>
    </w:p>
    <w:p w14:paraId="60FB5917" w14:textId="77777777" w:rsidR="00CE3C80" w:rsidRPr="00C62C01" w:rsidRDefault="001F3DB0">
      <w:pPr>
        <w:pStyle w:val="ListParagraph"/>
        <w:numPr>
          <w:ilvl w:val="0"/>
          <w:numId w:val="1"/>
        </w:numPr>
        <w:spacing w:after="120" w:line="280" w:lineRule="auto"/>
        <w:rPr>
          <w:rFonts w:asciiTheme="minorHAnsi" w:hAnsiTheme="minorHAnsi" w:cstheme="minorHAnsi"/>
        </w:rPr>
      </w:pPr>
      <w:r w:rsidRPr="00C62C01">
        <w:rPr>
          <w:rFonts w:asciiTheme="minorHAnsi" w:eastAsia="Calibri" w:hAnsiTheme="minorHAnsi" w:cstheme="minorHAnsi"/>
          <w:sz w:val="22"/>
          <w:szCs w:val="22"/>
        </w:rPr>
        <w:t>Override Period Restrictions is required to add or make general-ledger-impacting changes to posting transactions in a period that has been locked to that transaction type.</w:t>
      </w:r>
    </w:p>
    <w:p w14:paraId="60FB5918" w14:textId="77777777" w:rsidR="00CE3C80" w:rsidRPr="00C62C01" w:rsidRDefault="001F3DB0">
      <w:pPr>
        <w:pStyle w:val="ListParagraph"/>
        <w:numPr>
          <w:ilvl w:val="0"/>
          <w:numId w:val="1"/>
        </w:numPr>
        <w:spacing w:after="120" w:line="280" w:lineRule="auto"/>
        <w:rPr>
          <w:rFonts w:asciiTheme="minorHAnsi" w:hAnsiTheme="minorHAnsi" w:cstheme="minorHAnsi"/>
        </w:rPr>
      </w:pPr>
      <w:r w:rsidRPr="00C62C01">
        <w:rPr>
          <w:rFonts w:asciiTheme="minorHAnsi" w:eastAsia="Calibri" w:hAnsiTheme="minorHAnsi" w:cstheme="minorHAnsi"/>
          <w:sz w:val="22"/>
          <w:szCs w:val="22"/>
        </w:rPr>
        <w:t>Completing Period Close Checklist tasks — automated intercompany adjustments, currency revaluation, consolidated exchange rate calculation — needs both of the permissions above, plus each task's own specific permission.</w:t>
      </w:r>
    </w:p>
    <w:p w14:paraId="60FB5919" w14:textId="77777777" w:rsidR="00CE3C80" w:rsidRPr="00C62C01" w:rsidRDefault="001F3DB0">
      <w:pPr>
        <w:pStyle w:val="ListParagraph"/>
        <w:numPr>
          <w:ilvl w:val="0"/>
          <w:numId w:val="1"/>
        </w:numPr>
        <w:spacing w:after="120" w:line="280" w:lineRule="auto"/>
        <w:rPr>
          <w:rFonts w:asciiTheme="minorHAnsi" w:hAnsiTheme="minorHAnsi" w:cstheme="minorHAnsi"/>
        </w:rPr>
      </w:pPr>
      <w:r w:rsidRPr="00C62C01">
        <w:rPr>
          <w:rFonts w:asciiTheme="minorHAnsi" w:eastAsia="Calibri" w:hAnsiTheme="minorHAnsi" w:cstheme="minorHAnsi"/>
          <w:sz w:val="22"/>
          <w:szCs w:val="22"/>
        </w:rPr>
        <w:t>Allow Non-G/L Changes (a Setup permission) permits edits to posting transactions in a locked or closed period only when the change doesn't affect the general ledger and the Allow Non-G/L Changes box is checked on the period record.</w:t>
      </w:r>
    </w:p>
    <w:p w14:paraId="60FB591A" w14:textId="77777777" w:rsidR="00CE3C80" w:rsidRPr="00C62C01" w:rsidRDefault="001F3DB0">
      <w:pPr>
        <w:pStyle w:val="ListParagraph"/>
        <w:numPr>
          <w:ilvl w:val="0"/>
          <w:numId w:val="1"/>
        </w:numPr>
        <w:spacing w:after="120" w:line="280" w:lineRule="auto"/>
        <w:rPr>
          <w:rFonts w:asciiTheme="minorHAnsi" w:hAnsiTheme="minorHAnsi" w:cstheme="minorHAnsi"/>
        </w:rPr>
      </w:pPr>
      <w:r w:rsidRPr="00C62C01">
        <w:rPr>
          <w:rFonts w:asciiTheme="minorHAnsi" w:eastAsia="Calibri" w:hAnsiTheme="minorHAnsi" w:cstheme="minorHAnsi"/>
          <w:sz w:val="22"/>
          <w:szCs w:val="22"/>
        </w:rPr>
        <w:t>Non-posting transactions — sales orders, return authorizations, and similar records — aren't subject to any of these period restrictions at all.</w:t>
      </w:r>
    </w:p>
    <w:p w14:paraId="60FB591B" w14:textId="00ED7CEB" w:rsidR="00CE3C80" w:rsidRDefault="00CE3C80">
      <w:pPr>
        <w:spacing w:after="100"/>
        <w:rPr>
          <w:rFonts w:asciiTheme="minorHAnsi" w:hAnsiTheme="minorHAnsi" w:cstheme="minorHAnsi"/>
        </w:rPr>
      </w:pPr>
    </w:p>
    <w:p w14:paraId="31DDE4A4" w14:textId="28993F6E" w:rsidR="00DD0182" w:rsidRDefault="00DD0182">
      <w:pPr>
        <w:spacing w:after="100"/>
        <w:rPr>
          <w:rFonts w:asciiTheme="minorHAnsi" w:hAnsiTheme="minorHAnsi" w:cstheme="minorHAnsi"/>
        </w:rPr>
      </w:pPr>
    </w:p>
    <w:p w14:paraId="1A2333F8" w14:textId="538D7A7C" w:rsidR="00DD0182" w:rsidRDefault="00DD0182">
      <w:pPr>
        <w:spacing w:after="100"/>
        <w:rPr>
          <w:rFonts w:asciiTheme="minorHAnsi" w:hAnsiTheme="minorHAnsi" w:cstheme="minorHAnsi"/>
        </w:rPr>
      </w:pPr>
    </w:p>
    <w:p w14:paraId="75A0D0E1" w14:textId="357A4A90" w:rsidR="00DD0182" w:rsidRDefault="00DD0182">
      <w:pPr>
        <w:spacing w:after="100"/>
        <w:rPr>
          <w:rFonts w:asciiTheme="minorHAnsi" w:hAnsiTheme="minorHAnsi" w:cstheme="minorHAnsi"/>
        </w:rPr>
      </w:pPr>
    </w:p>
    <w:p w14:paraId="2F8B55D9" w14:textId="0F693004" w:rsidR="00DD0182" w:rsidRDefault="00DD0182">
      <w:pPr>
        <w:spacing w:after="100"/>
        <w:rPr>
          <w:rFonts w:asciiTheme="minorHAnsi" w:hAnsiTheme="minorHAnsi" w:cstheme="minorHAnsi"/>
        </w:rPr>
      </w:pPr>
    </w:p>
    <w:p w14:paraId="5163B62F" w14:textId="795113C5" w:rsidR="00DD0182" w:rsidRDefault="00DD0182">
      <w:pPr>
        <w:spacing w:after="100"/>
        <w:rPr>
          <w:rFonts w:asciiTheme="minorHAnsi" w:hAnsiTheme="minorHAnsi" w:cstheme="minorHAnsi"/>
        </w:rPr>
      </w:pPr>
    </w:p>
    <w:p w14:paraId="36705F95" w14:textId="100FAA14" w:rsidR="00DD0182" w:rsidRDefault="00DD0182">
      <w:pPr>
        <w:spacing w:after="100"/>
        <w:rPr>
          <w:rFonts w:asciiTheme="minorHAnsi" w:hAnsiTheme="minorHAnsi" w:cstheme="minorHAnsi"/>
        </w:rPr>
      </w:pPr>
    </w:p>
    <w:p w14:paraId="43FC77AA" w14:textId="478789A7" w:rsidR="00DD0182" w:rsidRDefault="00DD0182">
      <w:pPr>
        <w:spacing w:after="100"/>
        <w:rPr>
          <w:rFonts w:asciiTheme="minorHAnsi" w:hAnsiTheme="minorHAnsi" w:cstheme="minorHAnsi"/>
        </w:rPr>
      </w:pPr>
    </w:p>
    <w:p w14:paraId="35B89DCA" w14:textId="068A2B39" w:rsidR="00DD0182" w:rsidRDefault="00DD0182">
      <w:pPr>
        <w:spacing w:after="100"/>
        <w:rPr>
          <w:rFonts w:asciiTheme="minorHAnsi" w:hAnsiTheme="minorHAnsi" w:cstheme="minorHAnsi"/>
        </w:rPr>
      </w:pPr>
    </w:p>
    <w:p w14:paraId="7DA8DF34" w14:textId="5287C241" w:rsidR="00DD0182" w:rsidRDefault="00DD0182">
      <w:pPr>
        <w:spacing w:after="100"/>
        <w:rPr>
          <w:rFonts w:asciiTheme="minorHAnsi" w:hAnsiTheme="minorHAnsi" w:cstheme="minorHAnsi"/>
        </w:rPr>
      </w:pPr>
    </w:p>
    <w:p w14:paraId="3D3414E6" w14:textId="12129ADE" w:rsidR="00DD0182" w:rsidRDefault="00DD0182">
      <w:pPr>
        <w:spacing w:after="100"/>
        <w:rPr>
          <w:rFonts w:asciiTheme="minorHAnsi" w:hAnsiTheme="minorHAnsi" w:cstheme="minorHAnsi"/>
        </w:rPr>
      </w:pPr>
    </w:p>
    <w:p w14:paraId="6ECBEBEC" w14:textId="20269C32" w:rsidR="00DD0182" w:rsidRDefault="00DD0182">
      <w:pPr>
        <w:spacing w:after="100"/>
        <w:rPr>
          <w:rFonts w:asciiTheme="minorHAnsi" w:hAnsiTheme="minorHAnsi" w:cstheme="minorHAnsi"/>
        </w:rPr>
      </w:pPr>
    </w:p>
    <w:p w14:paraId="0442ED87" w14:textId="169F12D6" w:rsidR="00DD0182" w:rsidRDefault="00DD0182">
      <w:pPr>
        <w:spacing w:after="100"/>
        <w:rPr>
          <w:rFonts w:asciiTheme="minorHAnsi" w:hAnsiTheme="minorHAnsi" w:cstheme="minorHAnsi"/>
        </w:rPr>
      </w:pPr>
    </w:p>
    <w:p w14:paraId="6FA25775" w14:textId="42021ACA" w:rsidR="00DD0182" w:rsidRDefault="00DD0182">
      <w:pPr>
        <w:spacing w:after="100"/>
        <w:rPr>
          <w:rFonts w:asciiTheme="minorHAnsi" w:hAnsiTheme="minorHAnsi" w:cstheme="minorHAnsi"/>
        </w:rPr>
      </w:pPr>
    </w:p>
    <w:p w14:paraId="65CA97D0" w14:textId="282EFE00" w:rsidR="00DD0182" w:rsidRDefault="00DD0182">
      <w:pPr>
        <w:spacing w:after="100"/>
        <w:rPr>
          <w:rFonts w:asciiTheme="minorHAnsi" w:hAnsiTheme="minorHAnsi" w:cstheme="minorHAnsi"/>
        </w:rPr>
      </w:pPr>
    </w:p>
    <w:p w14:paraId="2DD30E02" w14:textId="14CD2B8F" w:rsidR="00DD0182" w:rsidRDefault="00DD0182">
      <w:pPr>
        <w:spacing w:after="100"/>
        <w:rPr>
          <w:rFonts w:asciiTheme="minorHAnsi" w:hAnsiTheme="minorHAnsi" w:cstheme="minorHAnsi"/>
        </w:rPr>
      </w:pPr>
    </w:p>
    <w:p w14:paraId="1E0CD5B5" w14:textId="6D6F428A" w:rsidR="00DD0182" w:rsidRDefault="00DD0182">
      <w:pPr>
        <w:spacing w:after="100"/>
        <w:rPr>
          <w:rFonts w:asciiTheme="minorHAnsi" w:hAnsiTheme="minorHAnsi" w:cstheme="minorHAnsi"/>
        </w:rPr>
      </w:pPr>
    </w:p>
    <w:p w14:paraId="60589467" w14:textId="41421F64" w:rsidR="00DD0182" w:rsidRDefault="00DD0182">
      <w:pPr>
        <w:spacing w:after="100"/>
        <w:rPr>
          <w:rFonts w:asciiTheme="minorHAnsi" w:hAnsiTheme="minorHAnsi" w:cstheme="minorHAnsi"/>
        </w:rPr>
      </w:pPr>
    </w:p>
    <w:p w14:paraId="20BB0F5B" w14:textId="4348C93C" w:rsidR="00DD0182" w:rsidRDefault="00DD0182">
      <w:pPr>
        <w:spacing w:after="100"/>
        <w:rPr>
          <w:rFonts w:asciiTheme="minorHAnsi" w:hAnsiTheme="minorHAnsi" w:cstheme="minorHAnsi"/>
        </w:rPr>
      </w:pPr>
    </w:p>
    <w:p w14:paraId="5A5CDEF5" w14:textId="37E246E1" w:rsidR="00DD0182" w:rsidRDefault="00DD0182">
      <w:pPr>
        <w:spacing w:after="100"/>
        <w:rPr>
          <w:rFonts w:asciiTheme="minorHAnsi" w:hAnsiTheme="minorHAnsi" w:cstheme="minorHAnsi"/>
        </w:rPr>
      </w:pPr>
    </w:p>
    <w:p w14:paraId="7EC5F276" w14:textId="0AF39913" w:rsidR="00DD0182" w:rsidRDefault="00DD0182">
      <w:pPr>
        <w:spacing w:after="100"/>
        <w:rPr>
          <w:rFonts w:asciiTheme="minorHAnsi" w:hAnsiTheme="minorHAnsi" w:cstheme="minorHAnsi"/>
        </w:rPr>
      </w:pPr>
    </w:p>
    <w:p w14:paraId="3E441949" w14:textId="558AE5E0" w:rsidR="00DD0182" w:rsidRDefault="00DD0182">
      <w:pPr>
        <w:spacing w:after="100"/>
        <w:rPr>
          <w:rFonts w:asciiTheme="minorHAnsi" w:hAnsiTheme="minorHAnsi" w:cstheme="minorHAnsi"/>
        </w:rPr>
      </w:pPr>
    </w:p>
    <w:p w14:paraId="4CA1B2D8" w14:textId="77777777" w:rsidR="00DD0182" w:rsidRPr="00C62C01" w:rsidRDefault="00DD0182">
      <w:pPr>
        <w:spacing w:after="100"/>
        <w:rPr>
          <w:rFonts w:asciiTheme="minorHAnsi" w:hAnsiTheme="minorHAnsi" w:cstheme="minorHAnsi"/>
        </w:rPr>
      </w:pPr>
    </w:p>
    <w:p w14:paraId="60FB591C" w14:textId="77777777" w:rsidR="00CE3C80" w:rsidRPr="00C62C01" w:rsidRDefault="001F3DB0">
      <w:pPr>
        <w:pStyle w:val="Heading1"/>
        <w:spacing w:before="360" w:after="200"/>
        <w:rPr>
          <w:rFonts w:asciiTheme="minorHAnsi" w:hAnsiTheme="minorHAnsi" w:cstheme="minorHAnsi"/>
        </w:rPr>
      </w:pPr>
      <w:r w:rsidRPr="00C62C01">
        <w:rPr>
          <w:rFonts w:asciiTheme="minorHAnsi" w:hAnsiTheme="minorHAnsi" w:cstheme="minorHAnsi"/>
          <w:b/>
          <w:bCs/>
          <w:color w:val="1F3864"/>
          <w:sz w:val="30"/>
          <w:szCs w:val="30"/>
        </w:rPr>
        <w:lastRenderedPageBreak/>
        <w:t>3. Locking vs. Closing — and the Accounting Period Window</w:t>
      </w:r>
    </w:p>
    <w:p w14:paraId="60FB591D" w14:textId="77777777" w:rsidR="00CE3C80" w:rsidRPr="00C62C01" w:rsidRDefault="001F3DB0">
      <w:pPr>
        <w:spacing w:after="200" w:line="300" w:lineRule="auto"/>
        <w:rPr>
          <w:rFonts w:asciiTheme="minorHAnsi" w:hAnsiTheme="minorHAnsi" w:cstheme="minorHAnsi"/>
        </w:rPr>
      </w:pPr>
      <w:r w:rsidRPr="00C62C01">
        <w:rPr>
          <w:rFonts w:asciiTheme="minorHAnsi" w:eastAsia="Calibri" w:hAnsiTheme="minorHAnsi" w:cstheme="minorHAnsi"/>
          <w:sz w:val="22"/>
          <w:szCs w:val="22"/>
        </w:rPr>
        <w:t>NetSuite treats locking and closing as two distinct, sequential controls over the same period, and conflating them is one of the more common process gaps in a close cycle.</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8"/>
        <w:gridCol w:w="4123"/>
        <w:gridCol w:w="3009"/>
      </w:tblGrid>
      <w:tr w:rsidR="00CE3C80" w:rsidRPr="00C62C01" w14:paraId="60FB5921" w14:textId="77777777">
        <w:trPr>
          <w:tblHeader/>
        </w:trPr>
        <w:tc>
          <w:tcPr>
            <w:tcW w:w="2600" w:type="dxa"/>
            <w:shd w:val="clear" w:color="auto" w:fill="1F3864"/>
            <w:tcMar>
              <w:top w:w="100" w:type="dxa"/>
              <w:left w:w="120" w:type="dxa"/>
              <w:bottom w:w="100" w:type="dxa"/>
              <w:right w:w="120" w:type="dxa"/>
            </w:tcMar>
            <w:vAlign w:val="center"/>
          </w:tcPr>
          <w:p w14:paraId="60FB591E" w14:textId="77777777" w:rsidR="00CE3C80" w:rsidRPr="00C62C01" w:rsidRDefault="001F3DB0">
            <w:pPr>
              <w:rPr>
                <w:rFonts w:asciiTheme="minorHAnsi" w:hAnsiTheme="minorHAnsi" w:cstheme="minorHAnsi"/>
              </w:rPr>
            </w:pPr>
            <w:r w:rsidRPr="00C62C01">
              <w:rPr>
                <w:rFonts w:asciiTheme="minorHAnsi" w:eastAsia="Calibri" w:hAnsiTheme="minorHAnsi" w:cstheme="minorHAnsi"/>
                <w:b/>
                <w:bCs/>
                <w:color w:val="FFFFFF"/>
              </w:rPr>
              <w:t>Control</w:t>
            </w:r>
          </w:p>
        </w:tc>
        <w:tc>
          <w:tcPr>
            <w:tcW w:w="3700" w:type="dxa"/>
            <w:shd w:val="clear" w:color="auto" w:fill="1F3864"/>
            <w:tcMar>
              <w:top w:w="100" w:type="dxa"/>
              <w:left w:w="120" w:type="dxa"/>
              <w:bottom w:w="100" w:type="dxa"/>
              <w:right w:w="120" w:type="dxa"/>
            </w:tcMar>
            <w:vAlign w:val="center"/>
          </w:tcPr>
          <w:p w14:paraId="60FB591F" w14:textId="77777777" w:rsidR="00CE3C80" w:rsidRPr="00C62C01" w:rsidRDefault="001F3DB0">
            <w:pPr>
              <w:rPr>
                <w:rFonts w:asciiTheme="minorHAnsi" w:hAnsiTheme="minorHAnsi" w:cstheme="minorHAnsi"/>
              </w:rPr>
            </w:pPr>
            <w:r w:rsidRPr="00C62C01">
              <w:rPr>
                <w:rFonts w:asciiTheme="minorHAnsi" w:eastAsia="Calibri" w:hAnsiTheme="minorHAnsi" w:cstheme="minorHAnsi"/>
                <w:b/>
                <w:bCs/>
                <w:color w:val="FFFFFF"/>
              </w:rPr>
              <w:t>What It Restricts</w:t>
            </w:r>
          </w:p>
        </w:tc>
        <w:tc>
          <w:tcPr>
            <w:tcW w:w="2700" w:type="dxa"/>
            <w:shd w:val="clear" w:color="auto" w:fill="1F3864"/>
            <w:tcMar>
              <w:top w:w="100" w:type="dxa"/>
              <w:left w:w="120" w:type="dxa"/>
              <w:bottom w:w="100" w:type="dxa"/>
              <w:right w:w="120" w:type="dxa"/>
            </w:tcMar>
            <w:vAlign w:val="center"/>
          </w:tcPr>
          <w:p w14:paraId="60FB5920" w14:textId="77777777" w:rsidR="00CE3C80" w:rsidRPr="00C62C01" w:rsidRDefault="001F3DB0">
            <w:pPr>
              <w:rPr>
                <w:rFonts w:asciiTheme="minorHAnsi" w:hAnsiTheme="minorHAnsi" w:cstheme="minorHAnsi"/>
              </w:rPr>
            </w:pPr>
            <w:r w:rsidRPr="00C62C01">
              <w:rPr>
                <w:rFonts w:asciiTheme="minorHAnsi" w:eastAsia="Calibri" w:hAnsiTheme="minorHAnsi" w:cstheme="minorHAnsi"/>
                <w:b/>
                <w:bCs/>
                <w:color w:val="FFFFFF"/>
              </w:rPr>
              <w:t>Who's Still Blocked</w:t>
            </w:r>
          </w:p>
        </w:tc>
      </w:tr>
      <w:tr w:rsidR="00CE3C80" w:rsidRPr="00C62C01" w14:paraId="60FB5925" w14:textId="77777777">
        <w:tc>
          <w:tcPr>
            <w:tcW w:w="2600" w:type="dxa"/>
            <w:tcMar>
              <w:top w:w="90" w:type="dxa"/>
              <w:left w:w="120" w:type="dxa"/>
              <w:bottom w:w="90" w:type="dxa"/>
              <w:right w:w="120" w:type="dxa"/>
            </w:tcMar>
            <w:vAlign w:val="center"/>
          </w:tcPr>
          <w:p w14:paraId="60FB5922"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Lock A/P / Lock A/R / Lock Payroll / Lock All</w:t>
            </w:r>
          </w:p>
        </w:tc>
        <w:tc>
          <w:tcPr>
            <w:tcW w:w="3700" w:type="dxa"/>
            <w:tcMar>
              <w:top w:w="90" w:type="dxa"/>
              <w:left w:w="120" w:type="dxa"/>
              <w:bottom w:w="90" w:type="dxa"/>
              <w:right w:w="120" w:type="dxa"/>
            </w:tcMar>
            <w:vAlign w:val="center"/>
          </w:tcPr>
          <w:p w14:paraId="60FB5923"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Preliminary, per-transaction-type restriction — a pre-closed state that lets a period's financials be balanced before final close</w:t>
            </w:r>
          </w:p>
        </w:tc>
        <w:tc>
          <w:tcPr>
            <w:tcW w:w="2700" w:type="dxa"/>
            <w:tcMar>
              <w:top w:w="90" w:type="dxa"/>
              <w:left w:w="120" w:type="dxa"/>
              <w:bottom w:w="90" w:type="dxa"/>
              <w:right w:w="120" w:type="dxa"/>
            </w:tcMar>
            <w:vAlign w:val="center"/>
          </w:tcPr>
          <w:p w14:paraId="60FB5924"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Ordinary users only — a role with Override Period Restrictions can still post</w:t>
            </w:r>
          </w:p>
        </w:tc>
      </w:tr>
      <w:tr w:rsidR="00CE3C80" w:rsidRPr="00C62C01" w14:paraId="60FB5929" w14:textId="77777777">
        <w:tc>
          <w:tcPr>
            <w:tcW w:w="2600" w:type="dxa"/>
            <w:tcMar>
              <w:top w:w="90" w:type="dxa"/>
              <w:left w:w="120" w:type="dxa"/>
              <w:bottom w:w="90" w:type="dxa"/>
              <w:right w:w="120" w:type="dxa"/>
            </w:tcMar>
            <w:vAlign w:val="center"/>
          </w:tcPr>
          <w:p w14:paraId="60FB5926"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Close</w:t>
            </w:r>
          </w:p>
        </w:tc>
        <w:tc>
          <w:tcPr>
            <w:tcW w:w="3700" w:type="dxa"/>
            <w:tcMar>
              <w:top w:w="90" w:type="dxa"/>
              <w:left w:w="120" w:type="dxa"/>
              <w:bottom w:w="90" w:type="dxa"/>
              <w:right w:w="120" w:type="dxa"/>
            </w:tcMar>
            <w:vAlign w:val="center"/>
          </w:tcPr>
          <w:p w14:paraId="60FB5927"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Final step after account review and reconciliation; prevents posting to the general ledger for any date in the period</w:t>
            </w:r>
          </w:p>
        </w:tc>
        <w:tc>
          <w:tcPr>
            <w:tcW w:w="2700" w:type="dxa"/>
            <w:tcMar>
              <w:top w:w="90" w:type="dxa"/>
              <w:left w:w="120" w:type="dxa"/>
              <w:bottom w:w="90" w:type="dxa"/>
              <w:right w:w="120" w:type="dxa"/>
            </w:tcMar>
            <w:vAlign w:val="center"/>
          </w:tcPr>
          <w:p w14:paraId="60FB5928"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Everyone, including administrators — the period must be explicitly reopened before any GL-impacting change can be made</w:t>
            </w:r>
          </w:p>
        </w:tc>
      </w:tr>
    </w:tbl>
    <w:p w14:paraId="60FB592A" w14:textId="77777777" w:rsidR="00CE3C80" w:rsidRPr="00C62C01" w:rsidRDefault="00CE3C80">
      <w:pPr>
        <w:spacing w:after="80"/>
        <w:rPr>
          <w:rFonts w:asciiTheme="minorHAnsi" w:hAnsiTheme="minorHAnsi" w:cstheme="minorHAnsi"/>
        </w:rPr>
      </w:pPr>
    </w:p>
    <w:p w14:paraId="60FB592B" w14:textId="77777777" w:rsidR="00CE3C80" w:rsidRPr="00C62C01" w:rsidRDefault="001F3DB0">
      <w:pPr>
        <w:pStyle w:val="Heading2"/>
        <w:spacing w:before="300" w:after="160"/>
        <w:rPr>
          <w:rFonts w:asciiTheme="minorHAnsi" w:hAnsiTheme="minorHAnsi" w:cstheme="minorHAnsi"/>
        </w:rPr>
      </w:pPr>
      <w:r w:rsidRPr="00C62C01">
        <w:rPr>
          <w:rFonts w:asciiTheme="minorHAnsi" w:hAnsiTheme="minorHAnsi" w:cstheme="minorHAnsi"/>
          <w:b/>
          <w:bCs/>
          <w:color w:val="1F3864"/>
        </w:rPr>
        <w:t>3.1 The Accounting Period Window — Period Wall and Locking Rules</w:t>
      </w:r>
    </w:p>
    <w:p w14:paraId="60FB592C" w14:textId="77777777" w:rsidR="00CE3C80" w:rsidRPr="00C62C01" w:rsidRDefault="001F3DB0">
      <w:pPr>
        <w:spacing w:after="200" w:line="300" w:lineRule="auto"/>
        <w:rPr>
          <w:rFonts w:asciiTheme="minorHAnsi" w:hAnsiTheme="minorHAnsi" w:cstheme="minorHAnsi"/>
        </w:rPr>
      </w:pPr>
      <w:r w:rsidRPr="00C62C01">
        <w:rPr>
          <w:rFonts w:asciiTheme="minorHAnsi" w:eastAsia="Calibri" w:hAnsiTheme="minorHAnsi" w:cstheme="minorHAnsi"/>
          <w:sz w:val="22"/>
          <w:szCs w:val="22"/>
        </w:rPr>
        <w:t>The Enable Accounting Period Window preference maintains a minimum number of unlocked current and future periods (the Minimum Period Window Size, 1 to 1,000) so that periods aren't locked prematurely and users aren't left without an open period to post to. The period wall is the end of the current accounting period — periods to its right are future, periods to its left are current and past. Locking follows four rules relative to that wall:</w:t>
      </w:r>
    </w:p>
    <w:p w14:paraId="60FB592D" w14:textId="77777777" w:rsidR="00CE3C80" w:rsidRPr="00C62C01" w:rsidRDefault="001F3DB0">
      <w:pPr>
        <w:pStyle w:val="ListParagraph"/>
        <w:numPr>
          <w:ilvl w:val="0"/>
          <w:numId w:val="1"/>
        </w:numPr>
        <w:spacing w:after="120" w:line="280" w:lineRule="auto"/>
        <w:rPr>
          <w:rFonts w:asciiTheme="minorHAnsi" w:hAnsiTheme="minorHAnsi" w:cstheme="minorHAnsi"/>
        </w:rPr>
      </w:pPr>
      <w:r w:rsidRPr="00C62C01">
        <w:rPr>
          <w:rFonts w:asciiTheme="minorHAnsi" w:eastAsia="Calibri" w:hAnsiTheme="minorHAnsi" w:cstheme="minorHAnsi"/>
          <w:sz w:val="22"/>
          <w:szCs w:val="22"/>
        </w:rPr>
        <w:t>Locking a future period automatically locks all future periods after that locking point.</w:t>
      </w:r>
    </w:p>
    <w:p w14:paraId="60FB592E" w14:textId="77777777" w:rsidR="00CE3C80" w:rsidRPr="00C62C01" w:rsidRDefault="001F3DB0">
      <w:pPr>
        <w:pStyle w:val="ListParagraph"/>
        <w:numPr>
          <w:ilvl w:val="0"/>
          <w:numId w:val="1"/>
        </w:numPr>
        <w:spacing w:after="120" w:line="280" w:lineRule="auto"/>
        <w:rPr>
          <w:rFonts w:asciiTheme="minorHAnsi" w:hAnsiTheme="minorHAnsi" w:cstheme="minorHAnsi"/>
        </w:rPr>
      </w:pPr>
      <w:r w:rsidRPr="00C62C01">
        <w:rPr>
          <w:rFonts w:asciiTheme="minorHAnsi" w:eastAsia="Calibri" w:hAnsiTheme="minorHAnsi" w:cstheme="minorHAnsi"/>
          <w:sz w:val="22"/>
          <w:szCs w:val="22"/>
        </w:rPr>
        <w:t>Locking a past period automatically locks all past periods prior to that locking point.</w:t>
      </w:r>
    </w:p>
    <w:p w14:paraId="60FB592F" w14:textId="77777777" w:rsidR="00CE3C80" w:rsidRPr="00C62C01" w:rsidRDefault="001F3DB0">
      <w:pPr>
        <w:pStyle w:val="ListParagraph"/>
        <w:numPr>
          <w:ilvl w:val="0"/>
          <w:numId w:val="1"/>
        </w:numPr>
        <w:spacing w:after="120" w:line="280" w:lineRule="auto"/>
        <w:rPr>
          <w:rFonts w:asciiTheme="minorHAnsi" w:hAnsiTheme="minorHAnsi" w:cstheme="minorHAnsi"/>
        </w:rPr>
      </w:pPr>
      <w:r w:rsidRPr="00C62C01">
        <w:rPr>
          <w:rFonts w:asciiTheme="minorHAnsi" w:eastAsia="Calibri" w:hAnsiTheme="minorHAnsi" w:cstheme="minorHAnsi"/>
          <w:sz w:val="22"/>
          <w:szCs w:val="22"/>
        </w:rPr>
        <w:t>Unlocking a future period automatically unlocks all periods between the period wall and the unlocking point.</w:t>
      </w:r>
    </w:p>
    <w:p w14:paraId="60FB5930" w14:textId="77777777" w:rsidR="00CE3C80" w:rsidRPr="00C62C01" w:rsidRDefault="001F3DB0">
      <w:pPr>
        <w:pStyle w:val="ListParagraph"/>
        <w:numPr>
          <w:ilvl w:val="0"/>
          <w:numId w:val="1"/>
        </w:numPr>
        <w:spacing w:after="120" w:line="280" w:lineRule="auto"/>
        <w:rPr>
          <w:rFonts w:asciiTheme="minorHAnsi" w:hAnsiTheme="minorHAnsi" w:cstheme="minorHAnsi"/>
        </w:rPr>
      </w:pPr>
      <w:r w:rsidRPr="00C62C01">
        <w:rPr>
          <w:rFonts w:asciiTheme="minorHAnsi" w:eastAsia="Calibri" w:hAnsiTheme="minorHAnsi" w:cstheme="minorHAnsi"/>
          <w:sz w:val="22"/>
          <w:szCs w:val="22"/>
        </w:rPr>
        <w:t>Unlocking a past period automatically unlocks all periods between the period wall and the unlocking point.</w:t>
      </w:r>
    </w:p>
    <w:p w14:paraId="60FB5931" w14:textId="77777777" w:rsidR="00CE3C80" w:rsidRPr="00C62C01" w:rsidRDefault="001F3DB0">
      <w:pPr>
        <w:spacing w:after="200" w:line="300" w:lineRule="auto"/>
        <w:rPr>
          <w:rFonts w:asciiTheme="minorHAnsi" w:hAnsiTheme="minorHAnsi" w:cstheme="minorHAnsi"/>
        </w:rPr>
      </w:pPr>
      <w:r w:rsidRPr="00C62C01">
        <w:rPr>
          <w:rFonts w:asciiTheme="minorHAnsi" w:eastAsia="Calibri" w:hAnsiTheme="minorHAnsi" w:cstheme="minorHAnsi"/>
          <w:sz w:val="22"/>
          <w:szCs w:val="22"/>
        </w:rPr>
        <w:t>A period within the current minimum period window can't be locked at all — for example, with a window size of 3 and January as the current period, February and March can't be locked. Locked future or past periods must also stay continuous, without gaps, from the locking or unlocking point.</w:t>
      </w:r>
    </w:p>
    <w:p w14:paraId="60FB5932" w14:textId="77777777" w:rsidR="00CE3C80" w:rsidRPr="00C62C01" w:rsidRDefault="00CE3C80">
      <w:pPr>
        <w:spacing w:after="60"/>
        <w:rPr>
          <w:rFonts w:asciiTheme="minorHAnsi" w:hAnsiTheme="minorHAnsi" w:cstheme="minorHAnsi"/>
        </w:rPr>
      </w:pP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CE3C80" w:rsidRPr="00C62C01" w14:paraId="60FB5936" w14:textId="77777777">
        <w:tc>
          <w:tcPr>
            <w:tcW w:w="0" w:type="auto"/>
            <w:shd w:val="clear" w:color="auto" w:fill="FFF2CC"/>
            <w:tcMar>
              <w:top w:w="160" w:type="dxa"/>
              <w:left w:w="200" w:type="dxa"/>
              <w:bottom w:w="160" w:type="dxa"/>
              <w:right w:w="200" w:type="dxa"/>
            </w:tcMar>
          </w:tcPr>
          <w:p w14:paraId="60FB5933" w14:textId="77777777" w:rsidR="00CE3C80" w:rsidRPr="00C62C01" w:rsidRDefault="001F3DB0">
            <w:pPr>
              <w:spacing w:after="140"/>
              <w:rPr>
                <w:rFonts w:asciiTheme="minorHAnsi" w:hAnsiTheme="minorHAnsi" w:cstheme="minorHAnsi"/>
              </w:rPr>
            </w:pPr>
            <w:r w:rsidRPr="00C62C01">
              <w:rPr>
                <w:rFonts w:ascii="Segoe UI Emoji" w:eastAsia="Calibri" w:hAnsi="Segoe UI Emoji" w:cs="Segoe UI Emoji"/>
                <w:b/>
                <w:bCs/>
                <w:color w:val="1F3864"/>
                <w:sz w:val="22"/>
                <w:szCs w:val="22"/>
              </w:rPr>
              <w:t>⚠</w:t>
            </w:r>
            <w:r w:rsidRPr="00C62C01">
              <w:rPr>
                <w:rFonts w:asciiTheme="minorHAnsi" w:eastAsia="Calibri" w:hAnsiTheme="minorHAnsi" w:cstheme="minorHAnsi"/>
                <w:b/>
                <w:bCs/>
                <w:color w:val="1F3864"/>
                <w:sz w:val="22"/>
                <w:szCs w:val="22"/>
              </w:rPr>
              <w:t>️ Locking Without the Period Window Preference</w:t>
            </w:r>
          </w:p>
          <w:p w14:paraId="60FB5934" w14:textId="77777777" w:rsidR="00CE3C80" w:rsidRPr="00C62C01" w:rsidRDefault="001F3DB0">
            <w:pPr>
              <w:pStyle w:val="ListParagraph"/>
              <w:numPr>
                <w:ilvl w:val="0"/>
                <w:numId w:val="1"/>
              </w:numPr>
              <w:spacing w:after="100" w:line="270" w:lineRule="auto"/>
              <w:rPr>
                <w:rFonts w:asciiTheme="minorHAnsi" w:hAnsiTheme="minorHAnsi" w:cstheme="minorHAnsi"/>
              </w:rPr>
            </w:pPr>
            <w:r w:rsidRPr="00C62C01">
              <w:rPr>
                <w:rFonts w:asciiTheme="minorHAnsi" w:eastAsia="Calibri" w:hAnsiTheme="minorHAnsi" w:cstheme="minorHAnsi"/>
                <w:sz w:val="21"/>
                <w:szCs w:val="21"/>
              </w:rPr>
              <w:t>It's possible to lock future periods and transaction types without ever checking Enable Accounting Period Window — but doing so locks all periods or transaction types prior to that point, including the current period, which is rarely the intended outcome.</w:t>
            </w:r>
          </w:p>
          <w:p w14:paraId="60FB5935" w14:textId="77777777" w:rsidR="00CE3C80" w:rsidRPr="00C62C01" w:rsidRDefault="001F3DB0">
            <w:pPr>
              <w:pStyle w:val="ListParagraph"/>
              <w:numPr>
                <w:ilvl w:val="0"/>
                <w:numId w:val="1"/>
              </w:numPr>
              <w:spacing w:after="100" w:line="270" w:lineRule="auto"/>
              <w:rPr>
                <w:rFonts w:asciiTheme="minorHAnsi" w:hAnsiTheme="minorHAnsi" w:cstheme="minorHAnsi"/>
              </w:rPr>
            </w:pPr>
            <w:r w:rsidRPr="00C62C01">
              <w:rPr>
                <w:rFonts w:asciiTheme="minorHAnsi" w:eastAsia="Calibri" w:hAnsiTheme="minorHAnsi" w:cstheme="minorHAnsi"/>
                <w:sz w:val="21"/>
                <w:szCs w:val="21"/>
              </w:rPr>
              <w:t>Future locked periods created this way also don't display the usual lock icon in the UI, which can make the locked state easy to miss during review.</w:t>
            </w:r>
          </w:p>
        </w:tc>
      </w:tr>
    </w:tbl>
    <w:p w14:paraId="60FB5938" w14:textId="77777777" w:rsidR="00CE3C80" w:rsidRPr="00C62C01" w:rsidRDefault="001F3DB0">
      <w:pPr>
        <w:pStyle w:val="Heading1"/>
        <w:spacing w:before="360" w:after="200"/>
        <w:rPr>
          <w:rFonts w:asciiTheme="minorHAnsi" w:hAnsiTheme="minorHAnsi" w:cstheme="minorHAnsi"/>
        </w:rPr>
      </w:pPr>
      <w:r w:rsidRPr="00C62C01">
        <w:rPr>
          <w:rFonts w:asciiTheme="minorHAnsi" w:hAnsiTheme="minorHAnsi" w:cstheme="minorHAnsi"/>
          <w:b/>
          <w:bCs/>
          <w:color w:val="1F3864"/>
          <w:sz w:val="30"/>
          <w:szCs w:val="30"/>
        </w:rPr>
        <w:lastRenderedPageBreak/>
        <w:t>4. The Period Close Checklist</w:t>
      </w:r>
    </w:p>
    <w:p w14:paraId="60FB5939" w14:textId="77777777" w:rsidR="00CE3C80" w:rsidRPr="00C62C01" w:rsidRDefault="001F3DB0">
      <w:pPr>
        <w:spacing w:after="200" w:line="300" w:lineRule="auto"/>
        <w:rPr>
          <w:rFonts w:asciiTheme="minorHAnsi" w:hAnsiTheme="minorHAnsi" w:cstheme="minorHAnsi"/>
        </w:rPr>
      </w:pPr>
      <w:r w:rsidRPr="00C62C01">
        <w:rPr>
          <w:rFonts w:asciiTheme="minorHAnsi" w:eastAsia="Calibri" w:hAnsiTheme="minorHAnsi" w:cstheme="minorHAnsi"/>
          <w:sz w:val="22"/>
          <w:szCs w:val="22"/>
        </w:rPr>
        <w:t>Every accounting period has its own Period Close Checklist, opened from the Checklist icon on the Manage Accounting Periods page. Tasks are listed in the order they must be completed, and previous periods must already be closed before the current period's remaining tasks — including Close itself — become available; only the locking tasks can be done ahead of that.</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8"/>
        <w:gridCol w:w="4123"/>
        <w:gridCol w:w="3009"/>
      </w:tblGrid>
      <w:tr w:rsidR="00CE3C80" w:rsidRPr="00C62C01" w14:paraId="60FB593D" w14:textId="77777777">
        <w:trPr>
          <w:tblHeader/>
        </w:trPr>
        <w:tc>
          <w:tcPr>
            <w:tcW w:w="2600" w:type="dxa"/>
            <w:shd w:val="clear" w:color="auto" w:fill="1F3864"/>
            <w:tcMar>
              <w:top w:w="100" w:type="dxa"/>
              <w:left w:w="120" w:type="dxa"/>
              <w:bottom w:w="100" w:type="dxa"/>
              <w:right w:w="120" w:type="dxa"/>
            </w:tcMar>
            <w:vAlign w:val="center"/>
          </w:tcPr>
          <w:p w14:paraId="60FB593A" w14:textId="77777777" w:rsidR="00CE3C80" w:rsidRPr="00E63CFC" w:rsidRDefault="001F3DB0">
            <w:pPr>
              <w:rPr>
                <w:rFonts w:asciiTheme="minorHAnsi" w:hAnsiTheme="minorHAnsi" w:cstheme="minorHAnsi"/>
                <w:sz w:val="24"/>
              </w:rPr>
            </w:pPr>
            <w:r w:rsidRPr="00E63CFC">
              <w:rPr>
                <w:rFonts w:asciiTheme="minorHAnsi" w:eastAsia="Calibri" w:hAnsiTheme="minorHAnsi" w:cstheme="minorHAnsi"/>
                <w:b/>
                <w:bCs/>
                <w:color w:val="FFFFFF"/>
                <w:sz w:val="24"/>
              </w:rPr>
              <w:t>Checklist Task</w:t>
            </w:r>
          </w:p>
        </w:tc>
        <w:tc>
          <w:tcPr>
            <w:tcW w:w="3700" w:type="dxa"/>
            <w:shd w:val="clear" w:color="auto" w:fill="1F3864"/>
            <w:tcMar>
              <w:top w:w="100" w:type="dxa"/>
              <w:left w:w="120" w:type="dxa"/>
              <w:bottom w:w="100" w:type="dxa"/>
              <w:right w:w="120" w:type="dxa"/>
            </w:tcMar>
            <w:vAlign w:val="center"/>
          </w:tcPr>
          <w:p w14:paraId="60FB593B" w14:textId="77777777" w:rsidR="00CE3C80" w:rsidRPr="00E63CFC" w:rsidRDefault="001F3DB0">
            <w:pPr>
              <w:rPr>
                <w:rFonts w:asciiTheme="minorHAnsi" w:hAnsiTheme="minorHAnsi" w:cstheme="minorHAnsi"/>
                <w:sz w:val="24"/>
              </w:rPr>
            </w:pPr>
            <w:r w:rsidRPr="00E63CFC">
              <w:rPr>
                <w:rFonts w:asciiTheme="minorHAnsi" w:eastAsia="Calibri" w:hAnsiTheme="minorHAnsi" w:cstheme="minorHAnsi"/>
                <w:b/>
                <w:bCs/>
                <w:color w:val="FFFFFF"/>
                <w:sz w:val="24"/>
              </w:rPr>
              <w:t>Appears When</w:t>
            </w:r>
          </w:p>
        </w:tc>
        <w:tc>
          <w:tcPr>
            <w:tcW w:w="2700" w:type="dxa"/>
            <w:shd w:val="clear" w:color="auto" w:fill="1F3864"/>
            <w:tcMar>
              <w:top w:w="100" w:type="dxa"/>
              <w:left w:w="120" w:type="dxa"/>
              <w:bottom w:w="100" w:type="dxa"/>
              <w:right w:w="120" w:type="dxa"/>
            </w:tcMar>
            <w:vAlign w:val="center"/>
          </w:tcPr>
          <w:p w14:paraId="60FB593C" w14:textId="77777777" w:rsidR="00CE3C80" w:rsidRPr="00E63CFC" w:rsidRDefault="001F3DB0">
            <w:pPr>
              <w:rPr>
                <w:rFonts w:asciiTheme="minorHAnsi" w:hAnsiTheme="minorHAnsi" w:cstheme="minorHAnsi"/>
                <w:sz w:val="24"/>
              </w:rPr>
            </w:pPr>
            <w:r w:rsidRPr="00E63CFC">
              <w:rPr>
                <w:rFonts w:asciiTheme="minorHAnsi" w:eastAsia="Calibri" w:hAnsiTheme="minorHAnsi" w:cstheme="minorHAnsi"/>
                <w:b/>
                <w:bCs/>
                <w:color w:val="FFFFFF"/>
                <w:sz w:val="24"/>
              </w:rPr>
              <w:t>Key Permission</w:t>
            </w:r>
          </w:p>
        </w:tc>
      </w:tr>
      <w:tr w:rsidR="00CE3C80" w:rsidRPr="00C62C01" w14:paraId="60FB5941" w14:textId="77777777">
        <w:tc>
          <w:tcPr>
            <w:tcW w:w="2600" w:type="dxa"/>
            <w:tcMar>
              <w:top w:w="90" w:type="dxa"/>
              <w:left w:w="120" w:type="dxa"/>
              <w:bottom w:w="90" w:type="dxa"/>
              <w:right w:w="120" w:type="dxa"/>
            </w:tcMar>
            <w:vAlign w:val="center"/>
          </w:tcPr>
          <w:p w14:paraId="60FB593E"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Lock A/R, Lock A/P, Lock Payroll, Lock All</w:t>
            </w:r>
          </w:p>
        </w:tc>
        <w:tc>
          <w:tcPr>
            <w:tcW w:w="3700" w:type="dxa"/>
            <w:tcMar>
              <w:top w:w="90" w:type="dxa"/>
              <w:left w:w="120" w:type="dxa"/>
              <w:bottom w:w="90" w:type="dxa"/>
              <w:right w:w="120" w:type="dxa"/>
            </w:tcMar>
            <w:vAlign w:val="center"/>
          </w:tcPr>
          <w:p w14:paraId="60FB593F"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Always (Payroll only if the Payroll feature is enabled)</w:t>
            </w:r>
          </w:p>
        </w:tc>
        <w:tc>
          <w:tcPr>
            <w:tcW w:w="2700" w:type="dxa"/>
            <w:tcMar>
              <w:top w:w="90" w:type="dxa"/>
              <w:left w:w="120" w:type="dxa"/>
              <w:bottom w:w="90" w:type="dxa"/>
              <w:right w:w="120" w:type="dxa"/>
            </w:tcMar>
            <w:vAlign w:val="center"/>
          </w:tcPr>
          <w:p w14:paraId="60FB5940"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Edit/Full Manage Accounting Periods</w:t>
            </w:r>
          </w:p>
        </w:tc>
      </w:tr>
      <w:tr w:rsidR="00CE3C80" w:rsidRPr="00C62C01" w14:paraId="60FB5945" w14:textId="77777777">
        <w:tc>
          <w:tcPr>
            <w:tcW w:w="2600" w:type="dxa"/>
            <w:tcMar>
              <w:top w:w="90" w:type="dxa"/>
              <w:left w:w="120" w:type="dxa"/>
              <w:bottom w:w="90" w:type="dxa"/>
              <w:right w:w="120" w:type="dxa"/>
            </w:tcMar>
            <w:vAlign w:val="center"/>
          </w:tcPr>
          <w:p w14:paraId="60FB5942"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Resolve Date/Period Mismatches, Review Negative Inventory, Review Inventory Cost Accounting, Review Inventory Activity</w:t>
            </w:r>
          </w:p>
        </w:tc>
        <w:tc>
          <w:tcPr>
            <w:tcW w:w="3700" w:type="dxa"/>
            <w:tcMar>
              <w:top w:w="90" w:type="dxa"/>
              <w:left w:w="120" w:type="dxa"/>
              <w:bottom w:w="90" w:type="dxa"/>
              <w:right w:w="120" w:type="dxa"/>
            </w:tcMar>
            <w:vAlign w:val="center"/>
          </w:tcPr>
          <w:p w14:paraId="60FB5943"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 xml:space="preserve">Inventory feature enabled (last item is </w:t>
            </w:r>
            <w:proofErr w:type="spellStart"/>
            <w:r w:rsidRPr="00C62C01">
              <w:rPr>
                <w:rFonts w:asciiTheme="minorHAnsi" w:eastAsia="Calibri" w:hAnsiTheme="minorHAnsi" w:cstheme="minorHAnsi"/>
              </w:rPr>
              <w:t>OneWorld</w:t>
            </w:r>
            <w:proofErr w:type="spellEnd"/>
            <w:r w:rsidRPr="00C62C01">
              <w:rPr>
                <w:rFonts w:asciiTheme="minorHAnsi" w:eastAsia="Calibri" w:hAnsiTheme="minorHAnsi" w:cstheme="minorHAnsi"/>
              </w:rPr>
              <w:t>-specific)</w:t>
            </w:r>
          </w:p>
        </w:tc>
        <w:tc>
          <w:tcPr>
            <w:tcW w:w="2700" w:type="dxa"/>
            <w:tcMar>
              <w:top w:w="90" w:type="dxa"/>
              <w:left w:w="120" w:type="dxa"/>
              <w:bottom w:w="90" w:type="dxa"/>
              <w:right w:w="120" w:type="dxa"/>
            </w:tcMar>
            <w:vAlign w:val="center"/>
          </w:tcPr>
          <w:p w14:paraId="60FB5944"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Task-specific inventory permissions</w:t>
            </w:r>
          </w:p>
        </w:tc>
      </w:tr>
      <w:tr w:rsidR="00CE3C80" w:rsidRPr="00C62C01" w14:paraId="60FB5949" w14:textId="77777777">
        <w:tc>
          <w:tcPr>
            <w:tcW w:w="2600" w:type="dxa"/>
            <w:tcMar>
              <w:top w:w="90" w:type="dxa"/>
              <w:left w:w="120" w:type="dxa"/>
              <w:bottom w:w="90" w:type="dxa"/>
              <w:right w:w="120" w:type="dxa"/>
            </w:tcMar>
            <w:vAlign w:val="center"/>
          </w:tcPr>
          <w:p w14:paraId="60FB5946"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Review Custom GL Plug-ins Executions</w:t>
            </w:r>
          </w:p>
        </w:tc>
        <w:tc>
          <w:tcPr>
            <w:tcW w:w="3700" w:type="dxa"/>
            <w:tcMar>
              <w:top w:w="90" w:type="dxa"/>
              <w:left w:w="120" w:type="dxa"/>
              <w:bottom w:w="90" w:type="dxa"/>
              <w:right w:w="120" w:type="dxa"/>
            </w:tcMar>
            <w:vAlign w:val="center"/>
          </w:tcPr>
          <w:p w14:paraId="60FB5947"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Custom GL Lines Plug-in in use with async accounts</w:t>
            </w:r>
          </w:p>
        </w:tc>
        <w:tc>
          <w:tcPr>
            <w:tcW w:w="2700" w:type="dxa"/>
            <w:tcMar>
              <w:top w:w="90" w:type="dxa"/>
              <w:left w:w="120" w:type="dxa"/>
              <w:bottom w:w="90" w:type="dxa"/>
              <w:right w:w="120" w:type="dxa"/>
            </w:tcMar>
            <w:vAlign w:val="center"/>
          </w:tcPr>
          <w:p w14:paraId="60FB5948"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Review Custom GL Plug-ins Executions + Override Period Restrictions</w:t>
            </w:r>
          </w:p>
        </w:tc>
      </w:tr>
      <w:tr w:rsidR="00CE3C80" w:rsidRPr="00C62C01" w14:paraId="60FB594D" w14:textId="77777777">
        <w:tc>
          <w:tcPr>
            <w:tcW w:w="2600" w:type="dxa"/>
            <w:tcMar>
              <w:top w:w="90" w:type="dxa"/>
              <w:left w:w="120" w:type="dxa"/>
              <w:bottom w:w="90" w:type="dxa"/>
              <w:right w:w="120" w:type="dxa"/>
            </w:tcMar>
            <w:vAlign w:val="center"/>
          </w:tcPr>
          <w:p w14:paraId="60FB594A"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Create Intercompany Adjustments</w:t>
            </w:r>
          </w:p>
        </w:tc>
        <w:tc>
          <w:tcPr>
            <w:tcW w:w="3700" w:type="dxa"/>
            <w:tcMar>
              <w:top w:w="90" w:type="dxa"/>
              <w:left w:w="120" w:type="dxa"/>
              <w:bottom w:w="90" w:type="dxa"/>
              <w:right w:w="120" w:type="dxa"/>
            </w:tcMar>
            <w:vAlign w:val="center"/>
          </w:tcPr>
          <w:p w14:paraId="60FB594B" w14:textId="77777777" w:rsidR="00CE3C80" w:rsidRPr="00C62C01" w:rsidRDefault="001F3DB0">
            <w:pPr>
              <w:rPr>
                <w:rFonts w:asciiTheme="minorHAnsi" w:hAnsiTheme="minorHAnsi" w:cstheme="minorHAnsi"/>
              </w:rPr>
            </w:pPr>
            <w:proofErr w:type="spellStart"/>
            <w:r w:rsidRPr="00C62C01">
              <w:rPr>
                <w:rFonts w:asciiTheme="minorHAnsi" w:eastAsia="Calibri" w:hAnsiTheme="minorHAnsi" w:cstheme="minorHAnsi"/>
              </w:rPr>
              <w:t>OneWorld</w:t>
            </w:r>
            <w:proofErr w:type="spellEnd"/>
            <w:r w:rsidRPr="00C62C01">
              <w:rPr>
                <w:rFonts w:asciiTheme="minorHAnsi" w:eastAsia="Calibri" w:hAnsiTheme="minorHAnsi" w:cstheme="minorHAnsi"/>
              </w:rPr>
              <w:t xml:space="preserve"> with automated intercompany expense adjustments enabled</w:t>
            </w:r>
          </w:p>
        </w:tc>
        <w:tc>
          <w:tcPr>
            <w:tcW w:w="2700" w:type="dxa"/>
            <w:tcMar>
              <w:top w:w="90" w:type="dxa"/>
              <w:left w:w="120" w:type="dxa"/>
              <w:bottom w:w="90" w:type="dxa"/>
              <w:right w:w="120" w:type="dxa"/>
            </w:tcMar>
            <w:vAlign w:val="center"/>
          </w:tcPr>
          <w:p w14:paraId="60FB594C"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Journal Entry + Override Period Restrictions</w:t>
            </w:r>
          </w:p>
        </w:tc>
      </w:tr>
      <w:tr w:rsidR="00CE3C80" w:rsidRPr="00C62C01" w14:paraId="60FB5951" w14:textId="77777777">
        <w:tc>
          <w:tcPr>
            <w:tcW w:w="2600" w:type="dxa"/>
            <w:tcMar>
              <w:top w:w="90" w:type="dxa"/>
              <w:left w:w="120" w:type="dxa"/>
              <w:bottom w:w="90" w:type="dxa"/>
              <w:right w:w="120" w:type="dxa"/>
            </w:tcMar>
            <w:vAlign w:val="center"/>
          </w:tcPr>
          <w:p w14:paraId="60FB594E"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Revalue Open Foreign Currency Balances</w:t>
            </w:r>
          </w:p>
        </w:tc>
        <w:tc>
          <w:tcPr>
            <w:tcW w:w="3700" w:type="dxa"/>
            <w:tcMar>
              <w:top w:w="90" w:type="dxa"/>
              <w:left w:w="120" w:type="dxa"/>
              <w:bottom w:w="90" w:type="dxa"/>
              <w:right w:w="120" w:type="dxa"/>
            </w:tcMar>
            <w:vAlign w:val="center"/>
          </w:tcPr>
          <w:p w14:paraId="60FB594F"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Multiple Currencies enabled</w:t>
            </w:r>
          </w:p>
        </w:tc>
        <w:tc>
          <w:tcPr>
            <w:tcW w:w="2700" w:type="dxa"/>
            <w:tcMar>
              <w:top w:w="90" w:type="dxa"/>
              <w:left w:w="120" w:type="dxa"/>
              <w:bottom w:w="90" w:type="dxa"/>
              <w:right w:w="120" w:type="dxa"/>
            </w:tcMar>
            <w:vAlign w:val="center"/>
          </w:tcPr>
          <w:p w14:paraId="60FB5950"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Currency Revaluation (Create) + Override Period Restrictions</w:t>
            </w:r>
          </w:p>
        </w:tc>
      </w:tr>
      <w:tr w:rsidR="00CE3C80" w:rsidRPr="00C62C01" w14:paraId="60FB5955" w14:textId="77777777">
        <w:tc>
          <w:tcPr>
            <w:tcW w:w="2600" w:type="dxa"/>
            <w:tcMar>
              <w:top w:w="90" w:type="dxa"/>
              <w:left w:w="120" w:type="dxa"/>
              <w:bottom w:w="90" w:type="dxa"/>
              <w:right w:w="120" w:type="dxa"/>
            </w:tcMar>
            <w:vAlign w:val="center"/>
          </w:tcPr>
          <w:p w14:paraId="60FB5952"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Recognize Revenue / Reclassify Revenue</w:t>
            </w:r>
          </w:p>
        </w:tc>
        <w:tc>
          <w:tcPr>
            <w:tcW w:w="3700" w:type="dxa"/>
            <w:tcMar>
              <w:top w:w="90" w:type="dxa"/>
              <w:left w:w="120" w:type="dxa"/>
              <w:bottom w:w="90" w:type="dxa"/>
              <w:right w:w="120" w:type="dxa"/>
            </w:tcMar>
            <w:vAlign w:val="center"/>
          </w:tcPr>
          <w:p w14:paraId="60FB5953"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Advanced Revenue Management (Essentials) enabled</w:t>
            </w:r>
          </w:p>
        </w:tc>
        <w:tc>
          <w:tcPr>
            <w:tcW w:w="2700" w:type="dxa"/>
            <w:tcMar>
              <w:top w:w="90" w:type="dxa"/>
              <w:left w:w="120" w:type="dxa"/>
              <w:bottom w:w="90" w:type="dxa"/>
              <w:right w:w="120" w:type="dxa"/>
            </w:tcMar>
            <w:vAlign w:val="center"/>
          </w:tcPr>
          <w:p w14:paraId="60FB5954"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Task-specific ARM permissions</w:t>
            </w:r>
          </w:p>
        </w:tc>
      </w:tr>
      <w:tr w:rsidR="00CE3C80" w:rsidRPr="00C62C01" w14:paraId="60FB5959" w14:textId="77777777">
        <w:tc>
          <w:tcPr>
            <w:tcW w:w="2600" w:type="dxa"/>
            <w:tcMar>
              <w:top w:w="90" w:type="dxa"/>
              <w:left w:w="120" w:type="dxa"/>
              <w:bottom w:w="90" w:type="dxa"/>
              <w:right w:w="120" w:type="dxa"/>
            </w:tcMar>
            <w:vAlign w:val="center"/>
          </w:tcPr>
          <w:p w14:paraId="60FB5956"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Calculate Consolidated Exchange Rates</w:t>
            </w:r>
          </w:p>
        </w:tc>
        <w:tc>
          <w:tcPr>
            <w:tcW w:w="3700" w:type="dxa"/>
            <w:tcMar>
              <w:top w:w="90" w:type="dxa"/>
              <w:left w:w="120" w:type="dxa"/>
              <w:bottom w:w="90" w:type="dxa"/>
              <w:right w:w="120" w:type="dxa"/>
            </w:tcMar>
            <w:vAlign w:val="center"/>
          </w:tcPr>
          <w:p w14:paraId="60FB5957" w14:textId="77777777" w:rsidR="00CE3C80" w:rsidRPr="00C62C01" w:rsidRDefault="001F3DB0">
            <w:pPr>
              <w:rPr>
                <w:rFonts w:asciiTheme="minorHAnsi" w:hAnsiTheme="minorHAnsi" w:cstheme="minorHAnsi"/>
              </w:rPr>
            </w:pPr>
            <w:proofErr w:type="spellStart"/>
            <w:r w:rsidRPr="00C62C01">
              <w:rPr>
                <w:rFonts w:asciiTheme="minorHAnsi" w:eastAsia="Calibri" w:hAnsiTheme="minorHAnsi" w:cstheme="minorHAnsi"/>
              </w:rPr>
              <w:t>OneWorld</w:t>
            </w:r>
            <w:proofErr w:type="spellEnd"/>
            <w:r w:rsidRPr="00C62C01">
              <w:rPr>
                <w:rFonts w:asciiTheme="minorHAnsi" w:eastAsia="Calibri" w:hAnsiTheme="minorHAnsi" w:cstheme="minorHAnsi"/>
              </w:rPr>
              <w:t xml:space="preserve"> with multiple base currencies</w:t>
            </w:r>
          </w:p>
        </w:tc>
        <w:tc>
          <w:tcPr>
            <w:tcW w:w="2700" w:type="dxa"/>
            <w:tcMar>
              <w:top w:w="90" w:type="dxa"/>
              <w:left w:w="120" w:type="dxa"/>
              <w:bottom w:w="90" w:type="dxa"/>
              <w:right w:w="120" w:type="dxa"/>
            </w:tcMar>
            <w:vAlign w:val="center"/>
          </w:tcPr>
          <w:p w14:paraId="60FB5958"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Currency + Override Period Restrictions</w:t>
            </w:r>
          </w:p>
        </w:tc>
      </w:tr>
      <w:tr w:rsidR="00CE3C80" w:rsidRPr="00C62C01" w14:paraId="60FB595D" w14:textId="77777777">
        <w:tc>
          <w:tcPr>
            <w:tcW w:w="2600" w:type="dxa"/>
            <w:tcMar>
              <w:top w:w="90" w:type="dxa"/>
              <w:left w:w="120" w:type="dxa"/>
              <w:bottom w:w="90" w:type="dxa"/>
              <w:right w:w="120" w:type="dxa"/>
            </w:tcMar>
            <w:vAlign w:val="center"/>
          </w:tcPr>
          <w:p w14:paraId="60FB595A"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Eliminate Intercompany Transactions</w:t>
            </w:r>
          </w:p>
        </w:tc>
        <w:tc>
          <w:tcPr>
            <w:tcW w:w="3700" w:type="dxa"/>
            <w:tcMar>
              <w:top w:w="90" w:type="dxa"/>
              <w:left w:w="120" w:type="dxa"/>
              <w:bottom w:w="90" w:type="dxa"/>
              <w:right w:w="120" w:type="dxa"/>
            </w:tcMar>
            <w:vAlign w:val="center"/>
          </w:tcPr>
          <w:p w14:paraId="60FB595B" w14:textId="77777777" w:rsidR="00CE3C80" w:rsidRPr="00C62C01" w:rsidRDefault="001F3DB0">
            <w:pPr>
              <w:rPr>
                <w:rFonts w:asciiTheme="minorHAnsi" w:hAnsiTheme="minorHAnsi" w:cstheme="minorHAnsi"/>
              </w:rPr>
            </w:pPr>
            <w:proofErr w:type="spellStart"/>
            <w:r w:rsidRPr="00C62C01">
              <w:rPr>
                <w:rFonts w:asciiTheme="minorHAnsi" w:eastAsia="Calibri" w:hAnsiTheme="minorHAnsi" w:cstheme="minorHAnsi"/>
              </w:rPr>
              <w:t>OneWorld</w:t>
            </w:r>
            <w:proofErr w:type="spellEnd"/>
            <w:r w:rsidRPr="00C62C01">
              <w:rPr>
                <w:rFonts w:asciiTheme="minorHAnsi" w:eastAsia="Calibri" w:hAnsiTheme="minorHAnsi" w:cstheme="minorHAnsi"/>
              </w:rPr>
              <w:t xml:space="preserve"> with intercompany elimination enabled</w:t>
            </w:r>
          </w:p>
        </w:tc>
        <w:tc>
          <w:tcPr>
            <w:tcW w:w="2700" w:type="dxa"/>
            <w:tcMar>
              <w:top w:w="90" w:type="dxa"/>
              <w:left w:w="120" w:type="dxa"/>
              <w:bottom w:w="90" w:type="dxa"/>
              <w:right w:w="120" w:type="dxa"/>
            </w:tcMar>
            <w:vAlign w:val="center"/>
          </w:tcPr>
          <w:p w14:paraId="60FB595C"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Task-specific elimination permissions</w:t>
            </w:r>
          </w:p>
        </w:tc>
      </w:tr>
      <w:tr w:rsidR="00CE3C80" w:rsidRPr="00C62C01" w14:paraId="60FB5961" w14:textId="77777777">
        <w:tc>
          <w:tcPr>
            <w:tcW w:w="2600" w:type="dxa"/>
            <w:tcMar>
              <w:top w:w="90" w:type="dxa"/>
              <w:left w:w="120" w:type="dxa"/>
              <w:bottom w:w="90" w:type="dxa"/>
              <w:right w:w="120" w:type="dxa"/>
            </w:tcMar>
            <w:vAlign w:val="center"/>
          </w:tcPr>
          <w:p w14:paraId="60FB595E"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Create Period End Journals</w:t>
            </w:r>
          </w:p>
        </w:tc>
        <w:tc>
          <w:tcPr>
            <w:tcW w:w="3700" w:type="dxa"/>
            <w:tcMar>
              <w:top w:w="90" w:type="dxa"/>
              <w:left w:w="120" w:type="dxa"/>
              <w:bottom w:w="90" w:type="dxa"/>
              <w:right w:w="120" w:type="dxa"/>
            </w:tcMar>
            <w:vAlign w:val="center"/>
          </w:tcPr>
          <w:p w14:paraId="60FB595F"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Period End Journal Entries feature enabled</w:t>
            </w:r>
          </w:p>
        </w:tc>
        <w:tc>
          <w:tcPr>
            <w:tcW w:w="2700" w:type="dxa"/>
            <w:tcMar>
              <w:top w:w="90" w:type="dxa"/>
              <w:left w:w="120" w:type="dxa"/>
              <w:bottom w:w="90" w:type="dxa"/>
              <w:right w:w="120" w:type="dxa"/>
            </w:tcMar>
            <w:vAlign w:val="center"/>
          </w:tcPr>
          <w:p w14:paraId="60FB5960"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Journal Entry + Override Period Restrictions</w:t>
            </w:r>
          </w:p>
        </w:tc>
      </w:tr>
      <w:tr w:rsidR="00CE3C80" w:rsidRPr="00C62C01" w14:paraId="60FB5965" w14:textId="77777777">
        <w:tc>
          <w:tcPr>
            <w:tcW w:w="2600" w:type="dxa"/>
            <w:tcMar>
              <w:top w:w="90" w:type="dxa"/>
              <w:left w:w="120" w:type="dxa"/>
              <w:bottom w:w="90" w:type="dxa"/>
              <w:right w:w="120" w:type="dxa"/>
            </w:tcMar>
            <w:vAlign w:val="center"/>
          </w:tcPr>
          <w:p w14:paraId="60FB5962"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GL Audit Numbering</w:t>
            </w:r>
          </w:p>
        </w:tc>
        <w:tc>
          <w:tcPr>
            <w:tcW w:w="3700" w:type="dxa"/>
            <w:tcMar>
              <w:top w:w="90" w:type="dxa"/>
              <w:left w:w="120" w:type="dxa"/>
              <w:bottom w:w="90" w:type="dxa"/>
              <w:right w:w="120" w:type="dxa"/>
            </w:tcMar>
            <w:vAlign w:val="center"/>
          </w:tcPr>
          <w:p w14:paraId="60FB5963"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GL Audit Numbering feature enabled; required only in the last month of the period</w:t>
            </w:r>
          </w:p>
        </w:tc>
        <w:tc>
          <w:tcPr>
            <w:tcW w:w="2700" w:type="dxa"/>
            <w:tcMar>
              <w:top w:w="90" w:type="dxa"/>
              <w:left w:w="120" w:type="dxa"/>
              <w:bottom w:w="90" w:type="dxa"/>
              <w:right w:w="120" w:type="dxa"/>
            </w:tcMar>
            <w:vAlign w:val="center"/>
          </w:tcPr>
          <w:p w14:paraId="60FB5964"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GL Audit Numbering permission</w:t>
            </w:r>
          </w:p>
        </w:tc>
      </w:tr>
      <w:tr w:rsidR="00CE3C80" w:rsidRPr="00C62C01" w14:paraId="60FB5969" w14:textId="77777777">
        <w:tc>
          <w:tcPr>
            <w:tcW w:w="2600" w:type="dxa"/>
            <w:tcMar>
              <w:top w:w="90" w:type="dxa"/>
              <w:left w:w="120" w:type="dxa"/>
              <w:bottom w:w="90" w:type="dxa"/>
              <w:right w:w="120" w:type="dxa"/>
            </w:tcMar>
            <w:vAlign w:val="center"/>
          </w:tcPr>
          <w:p w14:paraId="60FB5966"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Close</w:t>
            </w:r>
          </w:p>
        </w:tc>
        <w:tc>
          <w:tcPr>
            <w:tcW w:w="3700" w:type="dxa"/>
            <w:tcMar>
              <w:top w:w="90" w:type="dxa"/>
              <w:left w:w="120" w:type="dxa"/>
              <w:bottom w:w="90" w:type="dxa"/>
              <w:right w:w="120" w:type="dxa"/>
            </w:tcMar>
            <w:vAlign w:val="center"/>
          </w:tcPr>
          <w:p w14:paraId="60FB5967"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Always — the final task</w:t>
            </w:r>
          </w:p>
        </w:tc>
        <w:tc>
          <w:tcPr>
            <w:tcW w:w="2700" w:type="dxa"/>
            <w:tcMar>
              <w:top w:w="90" w:type="dxa"/>
              <w:left w:w="120" w:type="dxa"/>
              <w:bottom w:w="90" w:type="dxa"/>
              <w:right w:w="120" w:type="dxa"/>
            </w:tcMar>
            <w:vAlign w:val="center"/>
          </w:tcPr>
          <w:p w14:paraId="60FB5968"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Edit/Full Manage Accounting Periods + Override Period Restrictions</w:t>
            </w:r>
          </w:p>
        </w:tc>
      </w:tr>
    </w:tbl>
    <w:p w14:paraId="60FB596A" w14:textId="14AE3890" w:rsidR="00CE3C80" w:rsidRDefault="00CE3C80">
      <w:pPr>
        <w:spacing w:after="80"/>
        <w:rPr>
          <w:rFonts w:asciiTheme="minorHAnsi" w:hAnsiTheme="minorHAnsi" w:cstheme="minorHAnsi"/>
        </w:rPr>
      </w:pPr>
    </w:p>
    <w:p w14:paraId="7ABC9632" w14:textId="2FDB019D" w:rsidR="006C01CF" w:rsidRDefault="006C01CF">
      <w:pPr>
        <w:spacing w:after="80"/>
        <w:rPr>
          <w:rFonts w:asciiTheme="minorHAnsi" w:hAnsiTheme="minorHAnsi" w:cstheme="minorHAnsi"/>
        </w:rPr>
      </w:pPr>
    </w:p>
    <w:p w14:paraId="7FD9AAD7" w14:textId="5C7BECE5" w:rsidR="006C01CF" w:rsidRDefault="006C01CF">
      <w:pPr>
        <w:spacing w:after="80"/>
        <w:rPr>
          <w:rFonts w:asciiTheme="minorHAnsi" w:hAnsiTheme="minorHAnsi" w:cstheme="minorHAnsi"/>
        </w:rPr>
      </w:pPr>
    </w:p>
    <w:p w14:paraId="193BF186" w14:textId="2BAD5D79" w:rsidR="006C01CF" w:rsidRDefault="006C01CF">
      <w:pPr>
        <w:spacing w:after="80"/>
        <w:rPr>
          <w:rFonts w:asciiTheme="minorHAnsi" w:hAnsiTheme="minorHAnsi" w:cstheme="minorHAnsi"/>
        </w:rPr>
      </w:pPr>
    </w:p>
    <w:p w14:paraId="34E7C2D9" w14:textId="77777777" w:rsidR="006C01CF" w:rsidRPr="00C62C01" w:rsidRDefault="006C01CF">
      <w:pPr>
        <w:spacing w:after="80"/>
        <w:rPr>
          <w:rFonts w:asciiTheme="minorHAnsi" w:hAnsiTheme="minorHAnsi" w:cstheme="minorHAnsi"/>
        </w:rPr>
      </w:pP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CE3C80" w:rsidRPr="00C62C01" w14:paraId="60FB596E" w14:textId="77777777">
        <w:tc>
          <w:tcPr>
            <w:tcW w:w="0" w:type="auto"/>
            <w:shd w:val="clear" w:color="auto" w:fill="DDEBF7"/>
            <w:tcMar>
              <w:top w:w="160" w:type="dxa"/>
              <w:left w:w="200" w:type="dxa"/>
              <w:bottom w:w="160" w:type="dxa"/>
              <w:right w:w="200" w:type="dxa"/>
            </w:tcMar>
          </w:tcPr>
          <w:p w14:paraId="60FB596B" w14:textId="77777777" w:rsidR="00CE3C80" w:rsidRPr="00C62C01" w:rsidRDefault="001F3DB0">
            <w:pPr>
              <w:spacing w:after="140"/>
              <w:rPr>
                <w:rFonts w:asciiTheme="minorHAnsi" w:hAnsiTheme="minorHAnsi" w:cstheme="minorHAnsi"/>
              </w:rPr>
            </w:pPr>
            <w:r w:rsidRPr="00C62C01">
              <w:rPr>
                <w:rFonts w:ascii="Segoe UI Emoji" w:eastAsia="Calibri" w:hAnsi="Segoe UI Emoji" w:cs="Segoe UI Emoji"/>
                <w:b/>
                <w:bCs/>
                <w:color w:val="1F3864"/>
                <w:sz w:val="22"/>
                <w:szCs w:val="22"/>
              </w:rPr>
              <w:lastRenderedPageBreak/>
              <w:t>📌</w:t>
            </w:r>
            <w:r w:rsidRPr="00C62C01">
              <w:rPr>
                <w:rFonts w:asciiTheme="minorHAnsi" w:eastAsia="Calibri" w:hAnsiTheme="minorHAnsi" w:cstheme="minorHAnsi"/>
                <w:b/>
                <w:bCs/>
                <w:color w:val="1F3864"/>
                <w:sz w:val="22"/>
                <w:szCs w:val="22"/>
              </w:rPr>
              <w:t xml:space="preserve"> Reviewing a Checklist Task Isn't the Same as Completing the Underlying Process</w:t>
            </w:r>
          </w:p>
          <w:p w14:paraId="60FB596C" w14:textId="77777777" w:rsidR="00CE3C80" w:rsidRPr="00C62C01" w:rsidRDefault="001F3DB0">
            <w:pPr>
              <w:pStyle w:val="ListParagraph"/>
              <w:numPr>
                <w:ilvl w:val="0"/>
                <w:numId w:val="1"/>
              </w:numPr>
              <w:spacing w:after="100" w:line="270" w:lineRule="auto"/>
              <w:rPr>
                <w:rFonts w:asciiTheme="minorHAnsi" w:hAnsiTheme="minorHAnsi" w:cstheme="minorHAnsi"/>
              </w:rPr>
            </w:pPr>
            <w:r w:rsidRPr="00C62C01">
              <w:rPr>
                <w:rFonts w:asciiTheme="minorHAnsi" w:eastAsia="Calibri" w:hAnsiTheme="minorHAnsi" w:cstheme="minorHAnsi"/>
                <w:sz w:val="21"/>
                <w:szCs w:val="21"/>
              </w:rPr>
              <w:t>For several tasks — Create Intercompany Adjustments, Revalue Open Foreign Currency Balances, Recognize/Reclassify Revenue — NetSuite only requires that the relevant page has been reviewed before the task can be marked complete; it's technically possible to mark it complete without actually running the process.</w:t>
            </w:r>
          </w:p>
          <w:p w14:paraId="60FB596D" w14:textId="77777777" w:rsidR="00CE3C80" w:rsidRPr="00C62C01" w:rsidRDefault="001F3DB0">
            <w:pPr>
              <w:pStyle w:val="ListParagraph"/>
              <w:numPr>
                <w:ilvl w:val="0"/>
                <w:numId w:val="1"/>
              </w:numPr>
              <w:spacing w:after="100" w:line="270" w:lineRule="auto"/>
              <w:rPr>
                <w:rFonts w:asciiTheme="minorHAnsi" w:hAnsiTheme="minorHAnsi" w:cstheme="minorHAnsi"/>
              </w:rPr>
            </w:pPr>
            <w:r w:rsidRPr="00C62C01">
              <w:rPr>
                <w:rFonts w:asciiTheme="minorHAnsi" w:eastAsia="Calibri" w:hAnsiTheme="minorHAnsi" w:cstheme="minorHAnsi"/>
                <w:sz w:val="21"/>
                <w:szCs w:val="21"/>
              </w:rPr>
              <w:t>Oracle documentation is explicit that doing so is not recommended — skipping the underlying process (rather than just the checklist formality) leaves the period's financials incomplete even though the checklist shows green.</w:t>
            </w:r>
          </w:p>
        </w:tc>
      </w:tr>
    </w:tbl>
    <w:p w14:paraId="60FB596F" w14:textId="1DF67022" w:rsidR="00CE3C80" w:rsidRDefault="00CE3C80">
      <w:pPr>
        <w:spacing w:after="100"/>
        <w:rPr>
          <w:rFonts w:asciiTheme="minorHAnsi" w:hAnsiTheme="minorHAnsi" w:cstheme="minorHAnsi"/>
        </w:rPr>
      </w:pPr>
    </w:p>
    <w:p w14:paraId="12388712" w14:textId="1DA2724A" w:rsidR="00D604E4" w:rsidRDefault="00D604E4">
      <w:pPr>
        <w:spacing w:after="100"/>
        <w:rPr>
          <w:rFonts w:asciiTheme="minorHAnsi" w:hAnsiTheme="minorHAnsi" w:cstheme="minorHAnsi"/>
        </w:rPr>
      </w:pPr>
    </w:p>
    <w:p w14:paraId="7C0755EC" w14:textId="40784528" w:rsidR="00D604E4" w:rsidRDefault="00D604E4">
      <w:pPr>
        <w:spacing w:after="100"/>
        <w:rPr>
          <w:rFonts w:asciiTheme="minorHAnsi" w:hAnsiTheme="minorHAnsi" w:cstheme="minorHAnsi"/>
        </w:rPr>
      </w:pPr>
    </w:p>
    <w:p w14:paraId="6101E446" w14:textId="209F3BFB" w:rsidR="00D604E4" w:rsidRDefault="00D604E4">
      <w:pPr>
        <w:spacing w:after="100"/>
        <w:rPr>
          <w:rFonts w:asciiTheme="minorHAnsi" w:hAnsiTheme="minorHAnsi" w:cstheme="minorHAnsi"/>
        </w:rPr>
      </w:pPr>
    </w:p>
    <w:p w14:paraId="17CCCAE7" w14:textId="2690B4AB" w:rsidR="00D604E4" w:rsidRDefault="00D604E4">
      <w:pPr>
        <w:spacing w:after="100"/>
        <w:rPr>
          <w:rFonts w:asciiTheme="minorHAnsi" w:hAnsiTheme="minorHAnsi" w:cstheme="minorHAnsi"/>
        </w:rPr>
      </w:pPr>
    </w:p>
    <w:p w14:paraId="186FD92B" w14:textId="15EB0052" w:rsidR="00D604E4" w:rsidRDefault="00D604E4">
      <w:pPr>
        <w:spacing w:after="100"/>
        <w:rPr>
          <w:rFonts w:asciiTheme="minorHAnsi" w:hAnsiTheme="minorHAnsi" w:cstheme="minorHAnsi"/>
        </w:rPr>
      </w:pPr>
    </w:p>
    <w:p w14:paraId="7377F804" w14:textId="5C72B46D" w:rsidR="00D604E4" w:rsidRDefault="00D604E4">
      <w:pPr>
        <w:spacing w:after="100"/>
        <w:rPr>
          <w:rFonts w:asciiTheme="minorHAnsi" w:hAnsiTheme="minorHAnsi" w:cstheme="minorHAnsi"/>
        </w:rPr>
      </w:pPr>
    </w:p>
    <w:p w14:paraId="3780A6EB" w14:textId="5D905FBC" w:rsidR="00D604E4" w:rsidRDefault="00D604E4">
      <w:pPr>
        <w:spacing w:after="100"/>
        <w:rPr>
          <w:rFonts w:asciiTheme="minorHAnsi" w:hAnsiTheme="minorHAnsi" w:cstheme="minorHAnsi"/>
        </w:rPr>
      </w:pPr>
    </w:p>
    <w:p w14:paraId="06B58B63" w14:textId="7DB11181" w:rsidR="00D604E4" w:rsidRDefault="00D604E4">
      <w:pPr>
        <w:spacing w:after="100"/>
        <w:rPr>
          <w:rFonts w:asciiTheme="minorHAnsi" w:hAnsiTheme="minorHAnsi" w:cstheme="minorHAnsi"/>
        </w:rPr>
      </w:pPr>
    </w:p>
    <w:p w14:paraId="0CF97914" w14:textId="59A6A771" w:rsidR="00D604E4" w:rsidRDefault="00D604E4">
      <w:pPr>
        <w:spacing w:after="100"/>
        <w:rPr>
          <w:rFonts w:asciiTheme="minorHAnsi" w:hAnsiTheme="minorHAnsi" w:cstheme="minorHAnsi"/>
        </w:rPr>
      </w:pPr>
    </w:p>
    <w:p w14:paraId="69727636" w14:textId="672DDF7D" w:rsidR="00D604E4" w:rsidRDefault="00D604E4">
      <w:pPr>
        <w:spacing w:after="100"/>
        <w:rPr>
          <w:rFonts w:asciiTheme="minorHAnsi" w:hAnsiTheme="minorHAnsi" w:cstheme="minorHAnsi"/>
        </w:rPr>
      </w:pPr>
    </w:p>
    <w:p w14:paraId="65E3B17F" w14:textId="6B1D5556" w:rsidR="00D604E4" w:rsidRDefault="00D604E4">
      <w:pPr>
        <w:spacing w:after="100"/>
        <w:rPr>
          <w:rFonts w:asciiTheme="minorHAnsi" w:hAnsiTheme="minorHAnsi" w:cstheme="minorHAnsi"/>
        </w:rPr>
      </w:pPr>
    </w:p>
    <w:p w14:paraId="5F5FBC47" w14:textId="76C6C954" w:rsidR="00D604E4" w:rsidRDefault="00D604E4">
      <w:pPr>
        <w:spacing w:after="100"/>
        <w:rPr>
          <w:rFonts w:asciiTheme="minorHAnsi" w:hAnsiTheme="minorHAnsi" w:cstheme="minorHAnsi"/>
        </w:rPr>
      </w:pPr>
    </w:p>
    <w:p w14:paraId="43269E0A" w14:textId="3B89CFA8" w:rsidR="00D604E4" w:rsidRDefault="00D604E4">
      <w:pPr>
        <w:spacing w:after="100"/>
        <w:rPr>
          <w:rFonts w:asciiTheme="minorHAnsi" w:hAnsiTheme="minorHAnsi" w:cstheme="minorHAnsi"/>
        </w:rPr>
      </w:pPr>
    </w:p>
    <w:p w14:paraId="30F03AB2" w14:textId="0B089044" w:rsidR="00D604E4" w:rsidRDefault="00D604E4">
      <w:pPr>
        <w:spacing w:after="100"/>
        <w:rPr>
          <w:rFonts w:asciiTheme="minorHAnsi" w:hAnsiTheme="minorHAnsi" w:cstheme="minorHAnsi"/>
        </w:rPr>
      </w:pPr>
    </w:p>
    <w:p w14:paraId="62932CC2" w14:textId="43290730" w:rsidR="00D604E4" w:rsidRDefault="00D604E4">
      <w:pPr>
        <w:spacing w:after="100"/>
        <w:rPr>
          <w:rFonts w:asciiTheme="minorHAnsi" w:hAnsiTheme="minorHAnsi" w:cstheme="minorHAnsi"/>
        </w:rPr>
      </w:pPr>
    </w:p>
    <w:p w14:paraId="180587D1" w14:textId="27382C6D" w:rsidR="00D604E4" w:rsidRDefault="00D604E4">
      <w:pPr>
        <w:spacing w:after="100"/>
        <w:rPr>
          <w:rFonts w:asciiTheme="minorHAnsi" w:hAnsiTheme="minorHAnsi" w:cstheme="minorHAnsi"/>
        </w:rPr>
      </w:pPr>
    </w:p>
    <w:p w14:paraId="310D20B9" w14:textId="5FAD2BDA" w:rsidR="00D604E4" w:rsidRDefault="00D604E4">
      <w:pPr>
        <w:spacing w:after="100"/>
        <w:rPr>
          <w:rFonts w:asciiTheme="minorHAnsi" w:hAnsiTheme="minorHAnsi" w:cstheme="minorHAnsi"/>
        </w:rPr>
      </w:pPr>
    </w:p>
    <w:p w14:paraId="11783173" w14:textId="4B0DC7CB" w:rsidR="00D604E4" w:rsidRDefault="00D604E4">
      <w:pPr>
        <w:spacing w:after="100"/>
        <w:rPr>
          <w:rFonts w:asciiTheme="minorHAnsi" w:hAnsiTheme="minorHAnsi" w:cstheme="minorHAnsi"/>
        </w:rPr>
      </w:pPr>
    </w:p>
    <w:p w14:paraId="6AB6875E" w14:textId="77740C11" w:rsidR="00D604E4" w:rsidRDefault="00D604E4">
      <w:pPr>
        <w:spacing w:after="100"/>
        <w:rPr>
          <w:rFonts w:asciiTheme="minorHAnsi" w:hAnsiTheme="minorHAnsi" w:cstheme="minorHAnsi"/>
        </w:rPr>
      </w:pPr>
    </w:p>
    <w:p w14:paraId="39FFF019" w14:textId="2AAAB5BE" w:rsidR="00D604E4" w:rsidRDefault="00D604E4">
      <w:pPr>
        <w:spacing w:after="100"/>
        <w:rPr>
          <w:rFonts w:asciiTheme="minorHAnsi" w:hAnsiTheme="minorHAnsi" w:cstheme="minorHAnsi"/>
        </w:rPr>
      </w:pPr>
    </w:p>
    <w:p w14:paraId="720AF883" w14:textId="29ECA62A" w:rsidR="00D604E4" w:rsidRDefault="00D604E4">
      <w:pPr>
        <w:spacing w:after="100"/>
        <w:rPr>
          <w:rFonts w:asciiTheme="minorHAnsi" w:hAnsiTheme="minorHAnsi" w:cstheme="minorHAnsi"/>
        </w:rPr>
      </w:pPr>
    </w:p>
    <w:p w14:paraId="76AF5460" w14:textId="3F44CCC7" w:rsidR="00D604E4" w:rsidRDefault="00D604E4">
      <w:pPr>
        <w:spacing w:after="100"/>
        <w:rPr>
          <w:rFonts w:asciiTheme="minorHAnsi" w:hAnsiTheme="minorHAnsi" w:cstheme="minorHAnsi"/>
        </w:rPr>
      </w:pPr>
    </w:p>
    <w:p w14:paraId="4D70C955" w14:textId="7AE88FF3" w:rsidR="00D604E4" w:rsidRDefault="00D604E4">
      <w:pPr>
        <w:spacing w:after="100"/>
        <w:rPr>
          <w:rFonts w:asciiTheme="minorHAnsi" w:hAnsiTheme="minorHAnsi" w:cstheme="minorHAnsi"/>
        </w:rPr>
      </w:pPr>
    </w:p>
    <w:p w14:paraId="46E767D2" w14:textId="3686B796" w:rsidR="00D604E4" w:rsidRDefault="00D604E4">
      <w:pPr>
        <w:spacing w:after="100"/>
        <w:rPr>
          <w:rFonts w:asciiTheme="minorHAnsi" w:hAnsiTheme="minorHAnsi" w:cstheme="minorHAnsi"/>
        </w:rPr>
      </w:pPr>
    </w:p>
    <w:p w14:paraId="693DB63A" w14:textId="7F84CCDF" w:rsidR="00D604E4" w:rsidRDefault="00D604E4">
      <w:pPr>
        <w:spacing w:after="100"/>
        <w:rPr>
          <w:rFonts w:asciiTheme="minorHAnsi" w:hAnsiTheme="minorHAnsi" w:cstheme="minorHAnsi"/>
        </w:rPr>
      </w:pPr>
    </w:p>
    <w:p w14:paraId="24B4863E" w14:textId="3C8EBC7C" w:rsidR="00D604E4" w:rsidRDefault="00D604E4">
      <w:pPr>
        <w:spacing w:after="100"/>
        <w:rPr>
          <w:rFonts w:asciiTheme="minorHAnsi" w:hAnsiTheme="minorHAnsi" w:cstheme="minorHAnsi"/>
        </w:rPr>
      </w:pPr>
    </w:p>
    <w:p w14:paraId="4AE1B138" w14:textId="4F5898D2" w:rsidR="00D604E4" w:rsidRDefault="00D604E4">
      <w:pPr>
        <w:spacing w:after="100"/>
        <w:rPr>
          <w:rFonts w:asciiTheme="minorHAnsi" w:hAnsiTheme="minorHAnsi" w:cstheme="minorHAnsi"/>
        </w:rPr>
      </w:pPr>
    </w:p>
    <w:p w14:paraId="14EB8436" w14:textId="2A3BCFE1" w:rsidR="00D604E4" w:rsidRDefault="00D604E4">
      <w:pPr>
        <w:spacing w:after="100"/>
        <w:rPr>
          <w:rFonts w:asciiTheme="minorHAnsi" w:hAnsiTheme="minorHAnsi" w:cstheme="minorHAnsi"/>
        </w:rPr>
      </w:pPr>
    </w:p>
    <w:p w14:paraId="53A2B06C" w14:textId="2356F63A" w:rsidR="00D604E4" w:rsidRDefault="00D604E4">
      <w:pPr>
        <w:spacing w:after="100"/>
        <w:rPr>
          <w:rFonts w:asciiTheme="minorHAnsi" w:hAnsiTheme="minorHAnsi" w:cstheme="minorHAnsi"/>
        </w:rPr>
      </w:pPr>
    </w:p>
    <w:p w14:paraId="60FB5970" w14:textId="77777777" w:rsidR="00CE3C80" w:rsidRPr="00C62C01" w:rsidRDefault="001F3DB0">
      <w:pPr>
        <w:pStyle w:val="Heading1"/>
        <w:spacing w:before="360" w:after="200"/>
        <w:rPr>
          <w:rFonts w:asciiTheme="minorHAnsi" w:hAnsiTheme="minorHAnsi" w:cstheme="minorHAnsi"/>
        </w:rPr>
      </w:pPr>
      <w:r w:rsidRPr="00C62C01">
        <w:rPr>
          <w:rFonts w:asciiTheme="minorHAnsi" w:hAnsiTheme="minorHAnsi" w:cstheme="minorHAnsi"/>
          <w:b/>
          <w:bCs/>
          <w:color w:val="1F3864"/>
          <w:sz w:val="30"/>
          <w:szCs w:val="30"/>
        </w:rPr>
        <w:lastRenderedPageBreak/>
        <w:t>5. Closing, Quick Close, and Reopening a Period</w:t>
      </w:r>
    </w:p>
    <w:p w14:paraId="60FB5971" w14:textId="77777777" w:rsidR="00CE3C80" w:rsidRPr="00C62C01" w:rsidRDefault="001F3DB0">
      <w:pPr>
        <w:pStyle w:val="Heading2"/>
        <w:spacing w:before="300" w:after="160"/>
        <w:rPr>
          <w:rFonts w:asciiTheme="minorHAnsi" w:hAnsiTheme="minorHAnsi" w:cstheme="minorHAnsi"/>
        </w:rPr>
      </w:pPr>
      <w:r w:rsidRPr="00C62C01">
        <w:rPr>
          <w:rFonts w:asciiTheme="minorHAnsi" w:hAnsiTheme="minorHAnsi" w:cstheme="minorHAnsi"/>
          <w:b/>
          <w:bCs/>
          <w:color w:val="1F3864"/>
        </w:rPr>
        <w:t>5.1 Closing a Period</w:t>
      </w:r>
    </w:p>
    <w:p w14:paraId="60FB5972" w14:textId="77777777" w:rsidR="00CE3C80" w:rsidRPr="00C62C01" w:rsidRDefault="001F3DB0">
      <w:pPr>
        <w:spacing w:after="200" w:line="300" w:lineRule="auto"/>
        <w:rPr>
          <w:rFonts w:asciiTheme="minorHAnsi" w:hAnsiTheme="minorHAnsi" w:cstheme="minorHAnsi"/>
        </w:rPr>
      </w:pPr>
      <w:r w:rsidRPr="00C62C01">
        <w:rPr>
          <w:rFonts w:asciiTheme="minorHAnsi" w:eastAsia="Calibri" w:hAnsiTheme="minorHAnsi" w:cstheme="minorHAnsi"/>
          <w:sz w:val="22"/>
          <w:szCs w:val="22"/>
        </w:rPr>
        <w:t xml:space="preserve">Closing </w:t>
      </w:r>
      <w:proofErr w:type="gramStart"/>
      <w:r w:rsidRPr="00C62C01">
        <w:rPr>
          <w:rFonts w:asciiTheme="minorHAnsi" w:eastAsia="Calibri" w:hAnsiTheme="minorHAnsi" w:cstheme="minorHAnsi"/>
          <w:sz w:val="22"/>
          <w:szCs w:val="22"/>
        </w:rPr>
        <w:t>changes</w:t>
      </w:r>
      <w:proofErr w:type="gramEnd"/>
      <w:r w:rsidRPr="00C62C01">
        <w:rPr>
          <w:rFonts w:asciiTheme="minorHAnsi" w:eastAsia="Calibri" w:hAnsiTheme="minorHAnsi" w:cstheme="minorHAnsi"/>
          <w:sz w:val="22"/>
          <w:szCs w:val="22"/>
        </w:rPr>
        <w:t xml:space="preserve"> a period's status from Open to Closed, which prevents posting to the general ledger for any date in that period, by anyone. It should always be the final step, taken only after accounts have been reviewed and reconciled — not a routine housekeeping </w:t>
      </w:r>
      <w:proofErr w:type="gramStart"/>
      <w:r w:rsidRPr="00C62C01">
        <w:rPr>
          <w:rFonts w:asciiTheme="minorHAnsi" w:eastAsia="Calibri" w:hAnsiTheme="minorHAnsi" w:cstheme="minorHAnsi"/>
          <w:sz w:val="22"/>
          <w:szCs w:val="22"/>
        </w:rPr>
        <w:t>click</w:t>
      </w:r>
      <w:proofErr w:type="gramEnd"/>
      <w:r w:rsidRPr="00C62C01">
        <w:rPr>
          <w:rFonts w:asciiTheme="minorHAnsi" w:eastAsia="Calibri" w:hAnsiTheme="minorHAnsi" w:cstheme="minorHAnsi"/>
          <w:sz w:val="22"/>
          <w:szCs w:val="22"/>
        </w:rPr>
        <w:t>. With Multi-Book Accounting, each accounting period can be closed and reopened per accounting book, chosen through the Filters section on the Manage Accounting Periods page, independently of other books; this is the Extended Accounting Period Close Process feature.</w:t>
      </w:r>
    </w:p>
    <w:p w14:paraId="60FB5973" w14:textId="77777777" w:rsidR="00CE3C80" w:rsidRPr="00C62C01" w:rsidRDefault="001F3DB0">
      <w:pPr>
        <w:pStyle w:val="Heading2"/>
        <w:spacing w:before="300" w:after="160"/>
        <w:rPr>
          <w:rFonts w:asciiTheme="minorHAnsi" w:hAnsiTheme="minorHAnsi" w:cstheme="minorHAnsi"/>
        </w:rPr>
      </w:pPr>
      <w:r w:rsidRPr="00C62C01">
        <w:rPr>
          <w:rFonts w:asciiTheme="minorHAnsi" w:hAnsiTheme="minorHAnsi" w:cstheme="minorHAnsi"/>
          <w:b/>
          <w:bCs/>
          <w:color w:val="1F3864"/>
        </w:rPr>
        <w:t>5.2 Quick Close</w:t>
      </w:r>
    </w:p>
    <w:p w14:paraId="60FB5974" w14:textId="77777777" w:rsidR="00CE3C80" w:rsidRPr="00C62C01" w:rsidRDefault="001F3DB0">
      <w:pPr>
        <w:spacing w:after="200" w:line="300" w:lineRule="auto"/>
        <w:rPr>
          <w:rFonts w:asciiTheme="minorHAnsi" w:hAnsiTheme="minorHAnsi" w:cstheme="minorHAnsi"/>
        </w:rPr>
      </w:pPr>
      <w:r w:rsidRPr="00C62C01">
        <w:rPr>
          <w:rFonts w:asciiTheme="minorHAnsi" w:eastAsia="Calibri" w:hAnsiTheme="minorHAnsi" w:cstheme="minorHAnsi"/>
          <w:sz w:val="22"/>
          <w:szCs w:val="22"/>
        </w:rPr>
        <w:t>Quick Close lets one or more accounting periods be closed with a single click, marking every checklist task complete without actually running the underlying period-close processes — it is explicitly a shortcut for organizations certain no period-closing tasks are actually required, not a substitute for the checklist. It's granted automatically to administrators; other roles need the Period Closing Management permission plus the Allow Quick Close of Accounting Periods preference enabled at Setup &gt; Accounting &gt; Accounting Preferences.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CE3C80" w:rsidRPr="00C62C01" w14:paraId="60FB5978" w14:textId="77777777">
        <w:tc>
          <w:tcPr>
            <w:tcW w:w="0" w:type="auto"/>
            <w:shd w:val="clear" w:color="auto" w:fill="FFF2CC"/>
            <w:tcMar>
              <w:top w:w="160" w:type="dxa"/>
              <w:left w:w="200" w:type="dxa"/>
              <w:bottom w:w="160" w:type="dxa"/>
              <w:right w:w="200" w:type="dxa"/>
            </w:tcMar>
          </w:tcPr>
          <w:p w14:paraId="60FB5975" w14:textId="77777777" w:rsidR="00CE3C80" w:rsidRPr="00C62C01" w:rsidRDefault="001F3DB0">
            <w:pPr>
              <w:spacing w:after="140"/>
              <w:rPr>
                <w:rFonts w:asciiTheme="minorHAnsi" w:hAnsiTheme="minorHAnsi" w:cstheme="minorHAnsi"/>
              </w:rPr>
            </w:pPr>
            <w:r w:rsidRPr="00C62C01">
              <w:rPr>
                <w:rFonts w:ascii="Segoe UI Emoji" w:eastAsia="Calibri" w:hAnsi="Segoe UI Emoji" w:cs="Segoe UI Emoji"/>
                <w:b/>
                <w:bCs/>
                <w:color w:val="1F3864"/>
                <w:sz w:val="22"/>
                <w:szCs w:val="22"/>
              </w:rPr>
              <w:t>⚠</w:t>
            </w:r>
            <w:r w:rsidRPr="00C62C01">
              <w:rPr>
                <w:rFonts w:asciiTheme="minorHAnsi" w:eastAsia="Calibri" w:hAnsiTheme="minorHAnsi" w:cstheme="minorHAnsi"/>
                <w:b/>
                <w:bCs/>
                <w:color w:val="1F3864"/>
                <w:sz w:val="22"/>
                <w:szCs w:val="22"/>
              </w:rPr>
              <w:t>️ Quick Close Is Capped at Five Periods per Run</w:t>
            </w:r>
          </w:p>
          <w:p w14:paraId="60FB5976" w14:textId="77777777" w:rsidR="00CE3C80" w:rsidRPr="00C62C01" w:rsidRDefault="001F3DB0">
            <w:pPr>
              <w:pStyle w:val="ListParagraph"/>
              <w:numPr>
                <w:ilvl w:val="0"/>
                <w:numId w:val="1"/>
              </w:numPr>
              <w:spacing w:after="100" w:line="270" w:lineRule="auto"/>
              <w:rPr>
                <w:rFonts w:asciiTheme="minorHAnsi" w:hAnsiTheme="minorHAnsi" w:cstheme="minorHAnsi"/>
              </w:rPr>
            </w:pPr>
            <w:r w:rsidRPr="00C62C01">
              <w:rPr>
                <w:rFonts w:asciiTheme="minorHAnsi" w:eastAsia="Calibri" w:hAnsiTheme="minorHAnsi" w:cstheme="minorHAnsi"/>
                <w:sz w:val="21"/>
                <w:szCs w:val="21"/>
              </w:rPr>
              <w:t>Attempting to close more than five open periods in a single Quick Close run can make the system unresponsive and cause the process to fail — periods should be closed in batches of five or fewer.</w:t>
            </w:r>
          </w:p>
          <w:p w14:paraId="60FB5977" w14:textId="77777777" w:rsidR="00CE3C80" w:rsidRPr="00C62C01" w:rsidRDefault="001F3DB0">
            <w:pPr>
              <w:pStyle w:val="ListParagraph"/>
              <w:numPr>
                <w:ilvl w:val="0"/>
                <w:numId w:val="1"/>
              </w:numPr>
              <w:spacing w:after="100" w:line="270" w:lineRule="auto"/>
              <w:rPr>
                <w:rFonts w:asciiTheme="minorHAnsi" w:hAnsiTheme="minorHAnsi" w:cstheme="minorHAnsi"/>
              </w:rPr>
            </w:pPr>
            <w:r w:rsidRPr="00C62C01">
              <w:rPr>
                <w:rFonts w:asciiTheme="minorHAnsi" w:eastAsia="Calibri" w:hAnsiTheme="minorHAnsi" w:cstheme="minorHAnsi"/>
                <w:sz w:val="21"/>
                <w:szCs w:val="21"/>
              </w:rPr>
              <w:t>Example: to close January through September 2025, first run Quick Close with Period to Close = May 2025 (closes January–May), then run it again with Period to Close = September 2025 (closes the remaining four).</w:t>
            </w:r>
          </w:p>
        </w:tc>
      </w:tr>
    </w:tbl>
    <w:p w14:paraId="60FB5979" w14:textId="77777777" w:rsidR="00CE3C80" w:rsidRPr="00C62C01" w:rsidRDefault="00CE3C80">
      <w:pPr>
        <w:spacing w:after="80"/>
        <w:rPr>
          <w:rFonts w:asciiTheme="minorHAnsi" w:hAnsiTheme="minorHAnsi" w:cstheme="minorHAnsi"/>
        </w:rPr>
      </w:pPr>
    </w:p>
    <w:p w14:paraId="60FB597A" w14:textId="77777777" w:rsidR="00CE3C80" w:rsidRPr="00C62C01" w:rsidRDefault="001F3DB0">
      <w:pPr>
        <w:pStyle w:val="Heading2"/>
        <w:spacing w:before="300" w:after="160"/>
        <w:rPr>
          <w:rFonts w:asciiTheme="minorHAnsi" w:hAnsiTheme="minorHAnsi" w:cstheme="minorHAnsi"/>
        </w:rPr>
      </w:pPr>
      <w:r w:rsidRPr="00C62C01">
        <w:rPr>
          <w:rFonts w:asciiTheme="minorHAnsi" w:hAnsiTheme="minorHAnsi" w:cstheme="minorHAnsi"/>
          <w:b/>
          <w:bCs/>
          <w:color w:val="1F3864"/>
        </w:rPr>
        <w:t>5.3 Reopening a Closed Period</w:t>
      </w:r>
    </w:p>
    <w:p w14:paraId="60FB597B" w14:textId="77777777" w:rsidR="00CE3C80" w:rsidRPr="00C62C01" w:rsidRDefault="001F3DB0">
      <w:pPr>
        <w:spacing w:after="200" w:line="300" w:lineRule="auto"/>
        <w:rPr>
          <w:rFonts w:asciiTheme="minorHAnsi" w:hAnsiTheme="minorHAnsi" w:cstheme="minorHAnsi"/>
        </w:rPr>
      </w:pPr>
      <w:r w:rsidRPr="00C62C01">
        <w:rPr>
          <w:rFonts w:asciiTheme="minorHAnsi" w:eastAsia="Calibri" w:hAnsiTheme="minorHAnsi" w:cstheme="minorHAnsi"/>
          <w:sz w:val="22"/>
          <w:szCs w:val="22"/>
        </w:rPr>
        <w:t>Reopening requires the Manage Accounting Periods permission and is done from the Close task's arrow icon on the Period Close Checklist, followed by a required Justification entry that's saved as a user note. Reopening cascades: any later periods that were already closed are automatically reopened too, and their checklist tasks — including Close — need to be redone before they can close again. If a period record has Allow Non-G/L Changes checked, changes that don't affect the general ledger can still be made without a full reopen, provided the user holds the Allow Non-G/L Changes setup permission.</w:t>
      </w:r>
    </w:p>
    <w:p w14:paraId="60FB597C" w14:textId="32493B58" w:rsidR="00CE3C80" w:rsidRDefault="00CE3C80">
      <w:pPr>
        <w:spacing w:after="100"/>
        <w:rPr>
          <w:rFonts w:asciiTheme="minorHAnsi" w:hAnsiTheme="minorHAnsi" w:cstheme="minorHAnsi"/>
        </w:rPr>
      </w:pPr>
    </w:p>
    <w:p w14:paraId="3E765FDB" w14:textId="5E4839EF" w:rsidR="00F41DA3" w:rsidRDefault="00F41DA3">
      <w:pPr>
        <w:spacing w:after="100"/>
        <w:rPr>
          <w:rFonts w:asciiTheme="minorHAnsi" w:hAnsiTheme="minorHAnsi" w:cstheme="minorHAnsi"/>
        </w:rPr>
      </w:pPr>
    </w:p>
    <w:p w14:paraId="13E37CD0" w14:textId="1937FC20" w:rsidR="00F41DA3" w:rsidRDefault="00F41DA3">
      <w:pPr>
        <w:spacing w:after="100"/>
        <w:rPr>
          <w:rFonts w:asciiTheme="minorHAnsi" w:hAnsiTheme="minorHAnsi" w:cstheme="minorHAnsi"/>
        </w:rPr>
      </w:pPr>
    </w:p>
    <w:p w14:paraId="13D012D2" w14:textId="306EC8CC" w:rsidR="00F41DA3" w:rsidRDefault="00F41DA3">
      <w:pPr>
        <w:spacing w:after="100"/>
        <w:rPr>
          <w:rFonts w:asciiTheme="minorHAnsi" w:hAnsiTheme="minorHAnsi" w:cstheme="minorHAnsi"/>
        </w:rPr>
      </w:pPr>
    </w:p>
    <w:p w14:paraId="251A1107" w14:textId="740C07FD" w:rsidR="00F41DA3" w:rsidRDefault="00F41DA3">
      <w:pPr>
        <w:spacing w:after="100"/>
        <w:rPr>
          <w:rFonts w:asciiTheme="minorHAnsi" w:hAnsiTheme="minorHAnsi" w:cstheme="minorHAnsi"/>
        </w:rPr>
      </w:pPr>
    </w:p>
    <w:p w14:paraId="0C9B7BEF" w14:textId="77777777" w:rsidR="00F41DA3" w:rsidRPr="00C62C01" w:rsidRDefault="00F41DA3">
      <w:pPr>
        <w:spacing w:after="100"/>
        <w:rPr>
          <w:rFonts w:asciiTheme="minorHAnsi" w:hAnsiTheme="minorHAnsi" w:cstheme="minorHAnsi"/>
        </w:rPr>
      </w:pPr>
    </w:p>
    <w:p w14:paraId="60FB597D" w14:textId="77777777" w:rsidR="00CE3C80" w:rsidRPr="00C62C01" w:rsidRDefault="001F3DB0">
      <w:pPr>
        <w:pStyle w:val="Heading1"/>
        <w:spacing w:before="360" w:after="200"/>
        <w:rPr>
          <w:rFonts w:asciiTheme="minorHAnsi" w:hAnsiTheme="minorHAnsi" w:cstheme="minorHAnsi"/>
        </w:rPr>
      </w:pPr>
      <w:r w:rsidRPr="00C62C01">
        <w:rPr>
          <w:rFonts w:asciiTheme="minorHAnsi" w:hAnsiTheme="minorHAnsi" w:cstheme="minorHAnsi"/>
          <w:b/>
          <w:bCs/>
          <w:color w:val="1F3864"/>
          <w:sz w:val="30"/>
          <w:szCs w:val="30"/>
        </w:rPr>
        <w:lastRenderedPageBreak/>
        <w:t>6. Year-End Closing</w:t>
      </w:r>
    </w:p>
    <w:p w14:paraId="60FB597E" w14:textId="77777777" w:rsidR="00CE3C80" w:rsidRPr="00C62C01" w:rsidRDefault="001F3DB0">
      <w:pPr>
        <w:spacing w:after="200" w:line="300" w:lineRule="auto"/>
        <w:rPr>
          <w:rFonts w:asciiTheme="minorHAnsi" w:hAnsiTheme="minorHAnsi" w:cstheme="minorHAnsi"/>
        </w:rPr>
      </w:pPr>
      <w:r w:rsidRPr="00C62C01">
        <w:rPr>
          <w:rFonts w:asciiTheme="minorHAnsi" w:eastAsia="Calibri" w:hAnsiTheme="minorHAnsi" w:cstheme="minorHAnsi"/>
          <w:sz w:val="22"/>
          <w:szCs w:val="22"/>
        </w:rPr>
        <w:t>Year-end closing transfers net income to retained earnings (or owner's equity) and marks the end of posting opportunity for the year's sub-ledgers and general ledger. NetSuite doesn't require a journal entry to close the income statement to retained earnings — two approaches exist, and Oracle strongly recommends the first:</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1"/>
        <w:gridCol w:w="5907"/>
        <w:gridCol w:w="1672"/>
      </w:tblGrid>
      <w:tr w:rsidR="00CE3C80" w:rsidRPr="00C62C01" w14:paraId="60FB5982" w14:textId="77777777">
        <w:trPr>
          <w:tblHeader/>
        </w:trPr>
        <w:tc>
          <w:tcPr>
            <w:tcW w:w="2200" w:type="dxa"/>
            <w:shd w:val="clear" w:color="auto" w:fill="1F3864"/>
            <w:tcMar>
              <w:top w:w="100" w:type="dxa"/>
              <w:left w:w="120" w:type="dxa"/>
              <w:bottom w:w="100" w:type="dxa"/>
              <w:right w:w="120" w:type="dxa"/>
            </w:tcMar>
            <w:vAlign w:val="center"/>
          </w:tcPr>
          <w:p w14:paraId="60FB597F" w14:textId="77777777" w:rsidR="00CE3C80" w:rsidRPr="00C62C01" w:rsidRDefault="001F3DB0">
            <w:pPr>
              <w:rPr>
                <w:rFonts w:asciiTheme="minorHAnsi" w:hAnsiTheme="minorHAnsi" w:cstheme="minorHAnsi"/>
              </w:rPr>
            </w:pPr>
            <w:r w:rsidRPr="00C62C01">
              <w:rPr>
                <w:rFonts w:asciiTheme="minorHAnsi" w:eastAsia="Calibri" w:hAnsiTheme="minorHAnsi" w:cstheme="minorHAnsi"/>
                <w:b/>
                <w:bCs/>
                <w:color w:val="FFFFFF"/>
              </w:rPr>
              <w:t>Approach</w:t>
            </w:r>
          </w:p>
        </w:tc>
        <w:tc>
          <w:tcPr>
            <w:tcW w:w="5300" w:type="dxa"/>
            <w:shd w:val="clear" w:color="auto" w:fill="1F3864"/>
            <w:tcMar>
              <w:top w:w="100" w:type="dxa"/>
              <w:left w:w="120" w:type="dxa"/>
              <w:bottom w:w="100" w:type="dxa"/>
              <w:right w:w="120" w:type="dxa"/>
            </w:tcMar>
            <w:vAlign w:val="center"/>
          </w:tcPr>
          <w:p w14:paraId="60FB5980" w14:textId="77777777" w:rsidR="00CE3C80" w:rsidRPr="00C62C01" w:rsidRDefault="001F3DB0">
            <w:pPr>
              <w:rPr>
                <w:rFonts w:asciiTheme="minorHAnsi" w:hAnsiTheme="minorHAnsi" w:cstheme="minorHAnsi"/>
              </w:rPr>
            </w:pPr>
            <w:r w:rsidRPr="00C62C01">
              <w:rPr>
                <w:rFonts w:asciiTheme="minorHAnsi" w:eastAsia="Calibri" w:hAnsiTheme="minorHAnsi" w:cstheme="minorHAnsi"/>
                <w:b/>
                <w:bCs/>
                <w:color w:val="FFFFFF"/>
              </w:rPr>
              <w:t>How It Works</w:t>
            </w:r>
          </w:p>
        </w:tc>
        <w:tc>
          <w:tcPr>
            <w:tcW w:w="1500" w:type="dxa"/>
            <w:shd w:val="clear" w:color="auto" w:fill="1F3864"/>
            <w:tcMar>
              <w:top w:w="100" w:type="dxa"/>
              <w:left w:w="120" w:type="dxa"/>
              <w:bottom w:w="100" w:type="dxa"/>
              <w:right w:w="120" w:type="dxa"/>
            </w:tcMar>
            <w:vAlign w:val="center"/>
          </w:tcPr>
          <w:p w14:paraId="60FB5981" w14:textId="77777777" w:rsidR="00CE3C80" w:rsidRPr="00C62C01" w:rsidRDefault="001F3DB0">
            <w:pPr>
              <w:rPr>
                <w:rFonts w:asciiTheme="minorHAnsi" w:hAnsiTheme="minorHAnsi" w:cstheme="minorHAnsi"/>
              </w:rPr>
            </w:pPr>
            <w:r w:rsidRPr="00C62C01">
              <w:rPr>
                <w:rFonts w:asciiTheme="minorHAnsi" w:eastAsia="Calibri" w:hAnsiTheme="minorHAnsi" w:cstheme="minorHAnsi"/>
                <w:b/>
                <w:bCs/>
                <w:color w:val="FFFFFF"/>
              </w:rPr>
              <w:t>Recommended</w:t>
            </w:r>
          </w:p>
        </w:tc>
      </w:tr>
      <w:tr w:rsidR="00CE3C80" w:rsidRPr="00C62C01" w14:paraId="60FB5986" w14:textId="77777777">
        <w:tc>
          <w:tcPr>
            <w:tcW w:w="2200" w:type="dxa"/>
            <w:tcMar>
              <w:top w:w="90" w:type="dxa"/>
              <w:left w:w="120" w:type="dxa"/>
              <w:bottom w:w="90" w:type="dxa"/>
              <w:right w:w="120" w:type="dxa"/>
            </w:tcMar>
            <w:vAlign w:val="center"/>
          </w:tcPr>
          <w:p w14:paraId="60FB5983"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Automatic Close</w:t>
            </w:r>
          </w:p>
        </w:tc>
        <w:tc>
          <w:tcPr>
            <w:tcW w:w="5300" w:type="dxa"/>
            <w:tcMar>
              <w:top w:w="90" w:type="dxa"/>
              <w:left w:w="120" w:type="dxa"/>
              <w:bottom w:w="90" w:type="dxa"/>
              <w:right w:w="120" w:type="dxa"/>
            </w:tcMar>
            <w:vAlign w:val="center"/>
          </w:tcPr>
          <w:p w14:paraId="60FB5984"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NetSuite calculates cumulative net income through the selected reporting period and displays it in the retained earnings account for reporting; no balance is actually posted, so prior-period income statements remain viewable rather than zeroed out.</w:t>
            </w:r>
          </w:p>
        </w:tc>
        <w:tc>
          <w:tcPr>
            <w:tcW w:w="1500" w:type="dxa"/>
            <w:tcMar>
              <w:top w:w="90" w:type="dxa"/>
              <w:left w:w="120" w:type="dxa"/>
              <w:bottom w:w="90" w:type="dxa"/>
              <w:right w:w="120" w:type="dxa"/>
            </w:tcMar>
            <w:vAlign w:val="center"/>
          </w:tcPr>
          <w:p w14:paraId="60FB5985"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Yes — strongly recommended</w:t>
            </w:r>
          </w:p>
        </w:tc>
      </w:tr>
      <w:tr w:rsidR="00CE3C80" w:rsidRPr="00C62C01" w14:paraId="60FB598A" w14:textId="77777777">
        <w:tc>
          <w:tcPr>
            <w:tcW w:w="2200" w:type="dxa"/>
            <w:tcMar>
              <w:top w:w="90" w:type="dxa"/>
              <w:left w:w="120" w:type="dxa"/>
              <w:bottom w:w="90" w:type="dxa"/>
              <w:right w:w="120" w:type="dxa"/>
            </w:tcMar>
            <w:vAlign w:val="center"/>
          </w:tcPr>
          <w:p w14:paraId="60FB5987"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Manual Close</w:t>
            </w:r>
          </w:p>
        </w:tc>
        <w:tc>
          <w:tcPr>
            <w:tcW w:w="5300" w:type="dxa"/>
            <w:tcMar>
              <w:top w:w="90" w:type="dxa"/>
              <w:left w:w="120" w:type="dxa"/>
              <w:bottom w:w="90" w:type="dxa"/>
              <w:right w:w="120" w:type="dxa"/>
            </w:tcMar>
            <w:vAlign w:val="center"/>
          </w:tcPr>
          <w:p w14:paraId="60FB5988"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Journal entries are created to zero out income and expense accounts and transfer the balance to a retained earnings account, starting the new fiscal year at zero net income.</w:t>
            </w:r>
          </w:p>
        </w:tc>
        <w:tc>
          <w:tcPr>
            <w:tcW w:w="1500" w:type="dxa"/>
            <w:tcMar>
              <w:top w:w="90" w:type="dxa"/>
              <w:left w:w="120" w:type="dxa"/>
              <w:bottom w:w="90" w:type="dxa"/>
              <w:right w:w="120" w:type="dxa"/>
            </w:tcMar>
            <w:vAlign w:val="center"/>
          </w:tcPr>
          <w:p w14:paraId="60FB5989"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No — not recommended; Period End Journal Entries is the suggested alternative if manual GL entries are unavoidable at year end</w:t>
            </w:r>
          </w:p>
        </w:tc>
      </w:tr>
    </w:tbl>
    <w:p w14:paraId="60FB598B" w14:textId="77777777" w:rsidR="00CE3C80" w:rsidRPr="00C62C01" w:rsidRDefault="00CE3C80">
      <w:pPr>
        <w:spacing w:after="80"/>
        <w:rPr>
          <w:rFonts w:asciiTheme="minorHAnsi" w:hAnsiTheme="minorHAnsi" w:cstheme="minorHAnsi"/>
        </w:rPr>
      </w:pPr>
    </w:p>
    <w:p w14:paraId="60FB598C" w14:textId="77777777" w:rsidR="00CE3C80" w:rsidRPr="00C62C01" w:rsidRDefault="001F3DB0">
      <w:pPr>
        <w:spacing w:after="200" w:line="300" w:lineRule="auto"/>
        <w:rPr>
          <w:rFonts w:asciiTheme="minorHAnsi" w:hAnsiTheme="minorHAnsi" w:cstheme="minorHAnsi"/>
        </w:rPr>
      </w:pPr>
      <w:r w:rsidRPr="00C62C01">
        <w:rPr>
          <w:rFonts w:asciiTheme="minorHAnsi" w:eastAsia="Calibri" w:hAnsiTheme="minorHAnsi" w:cstheme="minorHAnsi"/>
          <w:sz w:val="22"/>
          <w:szCs w:val="22"/>
        </w:rPr>
        <w:t>Before year-end close, every period in the year should already be closed via its own Period Close Checklist, and open currency balances revalued for each period beforehand if Multiple Currencies is in use. NetSuite automatically performs year-end closing once every period in the year has been closed — there's no separate year-end action required beyond that.</w:t>
      </w:r>
    </w:p>
    <w:p w14:paraId="60FB598D" w14:textId="739A2413" w:rsidR="00CE3C80" w:rsidRDefault="00CE3C80">
      <w:pPr>
        <w:spacing w:after="100"/>
        <w:rPr>
          <w:rFonts w:asciiTheme="minorHAnsi" w:hAnsiTheme="minorHAnsi" w:cstheme="minorHAnsi"/>
        </w:rPr>
      </w:pPr>
    </w:p>
    <w:p w14:paraId="7B66DBF1" w14:textId="3410B43F" w:rsidR="00484342" w:rsidRDefault="00484342">
      <w:pPr>
        <w:spacing w:after="100"/>
        <w:rPr>
          <w:rFonts w:asciiTheme="minorHAnsi" w:hAnsiTheme="minorHAnsi" w:cstheme="minorHAnsi"/>
        </w:rPr>
      </w:pPr>
    </w:p>
    <w:p w14:paraId="7FDFACED" w14:textId="42F9EA59" w:rsidR="00484342" w:rsidRDefault="00484342">
      <w:pPr>
        <w:spacing w:after="100"/>
        <w:rPr>
          <w:rFonts w:asciiTheme="minorHAnsi" w:hAnsiTheme="minorHAnsi" w:cstheme="minorHAnsi"/>
        </w:rPr>
      </w:pPr>
    </w:p>
    <w:p w14:paraId="08A021B1" w14:textId="0239301D" w:rsidR="00484342" w:rsidRDefault="00484342">
      <w:pPr>
        <w:spacing w:after="100"/>
        <w:rPr>
          <w:rFonts w:asciiTheme="minorHAnsi" w:hAnsiTheme="minorHAnsi" w:cstheme="minorHAnsi"/>
        </w:rPr>
      </w:pPr>
    </w:p>
    <w:p w14:paraId="66F76D79" w14:textId="3D2FA9DB" w:rsidR="00484342" w:rsidRDefault="00484342">
      <w:pPr>
        <w:spacing w:after="100"/>
        <w:rPr>
          <w:rFonts w:asciiTheme="minorHAnsi" w:hAnsiTheme="minorHAnsi" w:cstheme="minorHAnsi"/>
        </w:rPr>
      </w:pPr>
    </w:p>
    <w:p w14:paraId="6893FA71" w14:textId="0FFBB09F" w:rsidR="00484342" w:rsidRDefault="00484342">
      <w:pPr>
        <w:spacing w:after="100"/>
        <w:rPr>
          <w:rFonts w:asciiTheme="minorHAnsi" w:hAnsiTheme="minorHAnsi" w:cstheme="minorHAnsi"/>
        </w:rPr>
      </w:pPr>
    </w:p>
    <w:p w14:paraId="45B388FF" w14:textId="139B722F" w:rsidR="00484342" w:rsidRDefault="00484342">
      <w:pPr>
        <w:spacing w:after="100"/>
        <w:rPr>
          <w:rFonts w:asciiTheme="minorHAnsi" w:hAnsiTheme="minorHAnsi" w:cstheme="minorHAnsi"/>
        </w:rPr>
      </w:pPr>
    </w:p>
    <w:p w14:paraId="4D783CDB" w14:textId="18C377DA" w:rsidR="00484342" w:rsidRDefault="00484342">
      <w:pPr>
        <w:spacing w:after="100"/>
        <w:rPr>
          <w:rFonts w:asciiTheme="minorHAnsi" w:hAnsiTheme="minorHAnsi" w:cstheme="minorHAnsi"/>
        </w:rPr>
      </w:pPr>
    </w:p>
    <w:p w14:paraId="1DD994F4" w14:textId="3F34154E" w:rsidR="00484342" w:rsidRDefault="00484342">
      <w:pPr>
        <w:spacing w:after="100"/>
        <w:rPr>
          <w:rFonts w:asciiTheme="minorHAnsi" w:hAnsiTheme="minorHAnsi" w:cstheme="minorHAnsi"/>
        </w:rPr>
      </w:pPr>
    </w:p>
    <w:p w14:paraId="4C2221CF" w14:textId="5477DF2F" w:rsidR="00484342" w:rsidRDefault="00484342">
      <w:pPr>
        <w:spacing w:after="100"/>
        <w:rPr>
          <w:rFonts w:asciiTheme="minorHAnsi" w:hAnsiTheme="minorHAnsi" w:cstheme="minorHAnsi"/>
        </w:rPr>
      </w:pPr>
    </w:p>
    <w:p w14:paraId="15B9F7E0" w14:textId="1A671223" w:rsidR="00484342" w:rsidRDefault="00484342">
      <w:pPr>
        <w:spacing w:after="100"/>
        <w:rPr>
          <w:rFonts w:asciiTheme="minorHAnsi" w:hAnsiTheme="minorHAnsi" w:cstheme="minorHAnsi"/>
        </w:rPr>
      </w:pPr>
    </w:p>
    <w:p w14:paraId="7F2F804F" w14:textId="5C5A4E5C" w:rsidR="00484342" w:rsidRDefault="00484342">
      <w:pPr>
        <w:spacing w:after="100"/>
        <w:rPr>
          <w:rFonts w:asciiTheme="minorHAnsi" w:hAnsiTheme="minorHAnsi" w:cstheme="minorHAnsi"/>
        </w:rPr>
      </w:pPr>
    </w:p>
    <w:p w14:paraId="0F7CFC69" w14:textId="48EC0B94" w:rsidR="00484342" w:rsidRDefault="00484342">
      <w:pPr>
        <w:spacing w:after="100"/>
        <w:rPr>
          <w:rFonts w:asciiTheme="minorHAnsi" w:hAnsiTheme="minorHAnsi" w:cstheme="minorHAnsi"/>
        </w:rPr>
      </w:pPr>
    </w:p>
    <w:p w14:paraId="228518E4" w14:textId="67189A6C" w:rsidR="00484342" w:rsidRDefault="00484342">
      <w:pPr>
        <w:spacing w:after="100"/>
        <w:rPr>
          <w:rFonts w:asciiTheme="minorHAnsi" w:hAnsiTheme="minorHAnsi" w:cstheme="minorHAnsi"/>
        </w:rPr>
      </w:pPr>
    </w:p>
    <w:p w14:paraId="35E918E5" w14:textId="4A6CE61A" w:rsidR="00484342" w:rsidRDefault="00484342">
      <w:pPr>
        <w:spacing w:after="100"/>
        <w:rPr>
          <w:rFonts w:asciiTheme="minorHAnsi" w:hAnsiTheme="minorHAnsi" w:cstheme="minorHAnsi"/>
        </w:rPr>
      </w:pPr>
    </w:p>
    <w:p w14:paraId="4EC45646" w14:textId="77777777" w:rsidR="00484342" w:rsidRPr="00C62C01" w:rsidRDefault="00484342">
      <w:pPr>
        <w:spacing w:after="100"/>
        <w:rPr>
          <w:rFonts w:asciiTheme="minorHAnsi" w:hAnsiTheme="minorHAnsi" w:cstheme="minorHAnsi"/>
        </w:rPr>
      </w:pPr>
    </w:p>
    <w:p w14:paraId="60FB598E" w14:textId="77777777" w:rsidR="00CE3C80" w:rsidRPr="00C62C01" w:rsidRDefault="001F3DB0">
      <w:pPr>
        <w:pStyle w:val="Heading1"/>
        <w:spacing w:before="360" w:after="200"/>
        <w:rPr>
          <w:rFonts w:asciiTheme="minorHAnsi" w:hAnsiTheme="minorHAnsi" w:cstheme="minorHAnsi"/>
        </w:rPr>
      </w:pPr>
      <w:r w:rsidRPr="00C62C01">
        <w:rPr>
          <w:rFonts w:asciiTheme="minorHAnsi" w:hAnsiTheme="minorHAnsi" w:cstheme="minorHAnsi"/>
          <w:b/>
          <w:bCs/>
          <w:color w:val="1F3864"/>
          <w:sz w:val="30"/>
          <w:szCs w:val="30"/>
        </w:rPr>
        <w:lastRenderedPageBreak/>
        <w:t xml:space="preserve">7. </w:t>
      </w:r>
      <w:proofErr w:type="spellStart"/>
      <w:r w:rsidRPr="00C62C01">
        <w:rPr>
          <w:rFonts w:asciiTheme="minorHAnsi" w:hAnsiTheme="minorHAnsi" w:cstheme="minorHAnsi"/>
          <w:b/>
          <w:bCs/>
          <w:color w:val="1F3864"/>
          <w:sz w:val="30"/>
          <w:szCs w:val="30"/>
        </w:rPr>
        <w:t>SuiteScript</w:t>
      </w:r>
      <w:proofErr w:type="spellEnd"/>
      <w:r w:rsidRPr="00C62C01">
        <w:rPr>
          <w:rFonts w:asciiTheme="minorHAnsi" w:hAnsiTheme="minorHAnsi" w:cstheme="minorHAnsi"/>
          <w:b/>
          <w:bCs/>
          <w:color w:val="1F3864"/>
          <w:sz w:val="30"/>
          <w:szCs w:val="30"/>
        </w:rPr>
        <w:t xml:space="preserve"> 2.1 — Reading Accounting Period Status</w:t>
      </w:r>
    </w:p>
    <w:p w14:paraId="60FB598F" w14:textId="77777777" w:rsidR="00CE3C80" w:rsidRPr="00C62C01" w:rsidRDefault="001F3DB0">
      <w:pPr>
        <w:spacing w:after="200" w:line="300" w:lineRule="auto"/>
        <w:rPr>
          <w:rFonts w:asciiTheme="minorHAnsi" w:hAnsiTheme="minorHAnsi" w:cstheme="minorHAnsi"/>
        </w:rPr>
      </w:pPr>
      <w:r w:rsidRPr="00C62C01">
        <w:rPr>
          <w:rFonts w:asciiTheme="minorHAnsi" w:eastAsia="Calibri" w:hAnsiTheme="minorHAnsi" w:cstheme="minorHAnsi"/>
          <w:sz w:val="22"/>
          <w:szCs w:val="22"/>
        </w:rPr>
        <w:t xml:space="preserve">The accounting period record (internal ID </w:t>
      </w:r>
      <w:proofErr w:type="spellStart"/>
      <w:r w:rsidRPr="00C62C01">
        <w:rPr>
          <w:rFonts w:asciiTheme="minorHAnsi" w:eastAsia="Calibri" w:hAnsiTheme="minorHAnsi" w:cstheme="minorHAnsi"/>
          <w:sz w:val="22"/>
          <w:szCs w:val="22"/>
        </w:rPr>
        <w:t>accountingperiod</w:t>
      </w:r>
      <w:proofErr w:type="spellEnd"/>
      <w:r w:rsidRPr="00C62C01">
        <w:rPr>
          <w:rFonts w:asciiTheme="minorHAnsi" w:eastAsia="Calibri" w:hAnsiTheme="minorHAnsi" w:cstheme="minorHAnsi"/>
          <w:sz w:val="22"/>
          <w:szCs w:val="22"/>
        </w:rPr>
        <w:t xml:space="preserve">) becomes available to </w:t>
      </w:r>
      <w:proofErr w:type="spellStart"/>
      <w:r w:rsidRPr="00C62C01">
        <w:rPr>
          <w:rFonts w:asciiTheme="minorHAnsi" w:eastAsia="Calibri" w:hAnsiTheme="minorHAnsi" w:cstheme="minorHAnsi"/>
          <w:sz w:val="22"/>
          <w:szCs w:val="22"/>
        </w:rPr>
        <w:t>SuiteScript</w:t>
      </w:r>
      <w:proofErr w:type="spellEnd"/>
      <w:r w:rsidRPr="00C62C01">
        <w:rPr>
          <w:rFonts w:asciiTheme="minorHAnsi" w:eastAsia="Calibri" w:hAnsiTheme="minorHAnsi" w:cstheme="minorHAnsi"/>
          <w:sz w:val="22"/>
          <w:szCs w:val="22"/>
        </w:rPr>
        <w:t xml:space="preserve"> once the Accounting Periods feature is enabled. It supports custom fields and is primarily read/search-oriented from script — periods are normally created and closed through the UI's own workflow rather than scripted end-to-end. The closed field reflects whether a period is fully closed; if the Extended Accounting Period Close Process feature is enabled for Multi-Book Accounting, that field reflects closure across all accounting books, which is a </w:t>
      </w:r>
      <w:proofErr w:type="spellStart"/>
      <w:r w:rsidRPr="00C62C01">
        <w:rPr>
          <w:rFonts w:asciiTheme="minorHAnsi" w:eastAsia="Calibri" w:hAnsiTheme="minorHAnsi" w:cstheme="minorHAnsi"/>
          <w:sz w:val="22"/>
          <w:szCs w:val="22"/>
        </w:rPr>
        <w:t>behavior</w:t>
      </w:r>
      <w:proofErr w:type="spellEnd"/>
      <w:r w:rsidRPr="00C62C01">
        <w:rPr>
          <w:rFonts w:asciiTheme="minorHAnsi" w:eastAsia="Calibri" w:hAnsiTheme="minorHAnsi" w:cstheme="minorHAnsi"/>
          <w:sz w:val="22"/>
          <w:szCs w:val="22"/>
        </w:rPr>
        <w:t xml:space="preserve"> change worth checking for in any script written before that feature was turned on.</w:t>
      </w:r>
    </w:p>
    <w:p w14:paraId="60FB5990" w14:textId="77777777" w:rsidR="00CE3C80" w:rsidRPr="00C62C01" w:rsidRDefault="001F3DB0">
      <w:pPr>
        <w:pStyle w:val="Heading3"/>
        <w:spacing w:before="240" w:after="120"/>
        <w:rPr>
          <w:rFonts w:asciiTheme="minorHAnsi" w:hAnsiTheme="minorHAnsi" w:cstheme="minorHAnsi"/>
        </w:rPr>
      </w:pPr>
      <w:r w:rsidRPr="00C62C01">
        <w:rPr>
          <w:rFonts w:asciiTheme="minorHAnsi" w:hAnsiTheme="minorHAnsi" w:cstheme="minorHAnsi"/>
          <w:b/>
          <w:bCs/>
          <w:color w:val="0F6B72"/>
          <w:sz w:val="23"/>
          <w:szCs w:val="23"/>
        </w:rPr>
        <w:t>7.1 Gating a Scheduled Script on Period Status Before Posting</w:t>
      </w:r>
    </w:p>
    <w:p w14:paraId="60FB5991" w14:textId="77777777" w:rsidR="00CE3C80" w:rsidRPr="00C62C01" w:rsidRDefault="001F3DB0">
      <w:pPr>
        <w:spacing w:after="200" w:line="300" w:lineRule="auto"/>
        <w:rPr>
          <w:rFonts w:asciiTheme="minorHAnsi" w:hAnsiTheme="minorHAnsi" w:cstheme="minorHAnsi"/>
        </w:rPr>
      </w:pPr>
      <w:r w:rsidRPr="00C62C01">
        <w:rPr>
          <w:rFonts w:asciiTheme="minorHAnsi" w:eastAsia="Calibri" w:hAnsiTheme="minorHAnsi" w:cstheme="minorHAnsi"/>
          <w:sz w:val="22"/>
          <w:szCs w:val="22"/>
        </w:rPr>
        <w:t>A common pattern is checking whether a transaction's posting period is still open before a scheduled or Map/Reduce process attempts to create a GL-impacting record against it, rather than letting the submission fail.</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CE3C80" w:rsidRPr="00532AB4" w14:paraId="60FB59C5" w14:textId="77777777">
        <w:tc>
          <w:tcPr>
            <w:tcW w:w="0" w:type="auto"/>
            <w:shd w:val="clear" w:color="auto" w:fill="F5F5F5"/>
            <w:tcMar>
              <w:top w:w="160" w:type="dxa"/>
              <w:left w:w="200" w:type="dxa"/>
              <w:bottom w:w="160" w:type="dxa"/>
              <w:right w:w="200" w:type="dxa"/>
            </w:tcMar>
          </w:tcPr>
          <w:p w14:paraId="60FB5992"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iCs/>
                <w:color w:val="6A9955"/>
                <w:sz w:val="14"/>
                <w:szCs w:val="18"/>
              </w:rPr>
              <w:t xml:space="preserve">/** </w:t>
            </w:r>
            <w:proofErr w:type="spellStart"/>
            <w:r w:rsidRPr="00532AB4">
              <w:rPr>
                <w:rFonts w:asciiTheme="minorHAnsi" w:eastAsia="Consolas" w:hAnsiTheme="minorHAnsi" w:cstheme="minorHAnsi"/>
                <w:iCs/>
                <w:color w:val="6A9955"/>
                <w:sz w:val="14"/>
                <w:szCs w:val="18"/>
              </w:rPr>
              <w:t>SuiteScript</w:t>
            </w:r>
            <w:proofErr w:type="spellEnd"/>
            <w:r w:rsidRPr="00532AB4">
              <w:rPr>
                <w:rFonts w:asciiTheme="minorHAnsi" w:eastAsia="Consolas" w:hAnsiTheme="minorHAnsi" w:cstheme="minorHAnsi"/>
                <w:iCs/>
                <w:color w:val="6A9955"/>
                <w:sz w:val="14"/>
                <w:szCs w:val="18"/>
              </w:rPr>
              <w:t xml:space="preserve"> 2.1 — Scheduled Script: Skip Posting to a Closed Accounting Period</w:t>
            </w:r>
          </w:p>
          <w:p w14:paraId="60FB5993"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iCs/>
                <w:color w:val="6A9955"/>
                <w:sz w:val="14"/>
                <w:szCs w:val="18"/>
              </w:rPr>
              <w:t xml:space="preserve"> * Oracle Ref: Accounting Period record (</w:t>
            </w:r>
            <w:proofErr w:type="spellStart"/>
            <w:r w:rsidRPr="00532AB4">
              <w:rPr>
                <w:rFonts w:asciiTheme="minorHAnsi" w:eastAsia="Consolas" w:hAnsiTheme="minorHAnsi" w:cstheme="minorHAnsi"/>
                <w:iCs/>
                <w:color w:val="6A9955"/>
                <w:sz w:val="14"/>
                <w:szCs w:val="18"/>
              </w:rPr>
              <w:t>accountingperiod</w:t>
            </w:r>
            <w:proofErr w:type="spellEnd"/>
            <w:r w:rsidRPr="00532AB4">
              <w:rPr>
                <w:rFonts w:asciiTheme="minorHAnsi" w:eastAsia="Consolas" w:hAnsiTheme="minorHAnsi" w:cstheme="minorHAnsi"/>
                <w:iCs/>
                <w:color w:val="6A9955"/>
                <w:sz w:val="14"/>
                <w:szCs w:val="18"/>
              </w:rPr>
              <w:t>), Accounting Period Close</w:t>
            </w:r>
          </w:p>
          <w:p w14:paraId="60FB5994"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iCs/>
                <w:color w:val="6A9955"/>
                <w:sz w:val="14"/>
                <w:szCs w:val="18"/>
              </w:rPr>
              <w:t xml:space="preserve"> * Note: with the Extended Accounting Period Close Process feature (Multi-Book),</w:t>
            </w:r>
          </w:p>
          <w:p w14:paraId="60FB5995"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iCs/>
                <w:color w:val="6A9955"/>
                <w:sz w:val="14"/>
                <w:szCs w:val="18"/>
              </w:rPr>
              <w:t xml:space="preserve"> * the "closed" field reflects closure across all accounting books — see</w:t>
            </w:r>
          </w:p>
          <w:p w14:paraId="60FB5996"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iCs/>
                <w:color w:val="6A9955"/>
                <w:sz w:val="14"/>
                <w:szCs w:val="18"/>
              </w:rPr>
              <w:t xml:space="preserve"> * </w:t>
            </w:r>
            <w:proofErr w:type="spellStart"/>
            <w:r w:rsidRPr="00532AB4">
              <w:rPr>
                <w:rFonts w:asciiTheme="minorHAnsi" w:eastAsia="Consolas" w:hAnsiTheme="minorHAnsi" w:cstheme="minorHAnsi"/>
                <w:iCs/>
                <w:color w:val="6A9955"/>
                <w:sz w:val="14"/>
                <w:szCs w:val="18"/>
              </w:rPr>
              <w:t>SuiteScript</w:t>
            </w:r>
            <w:proofErr w:type="spellEnd"/>
            <w:r w:rsidRPr="00532AB4">
              <w:rPr>
                <w:rFonts w:asciiTheme="minorHAnsi" w:eastAsia="Consolas" w:hAnsiTheme="minorHAnsi" w:cstheme="minorHAnsi"/>
                <w:iCs/>
                <w:color w:val="6A9955"/>
                <w:sz w:val="14"/>
                <w:szCs w:val="18"/>
              </w:rPr>
              <w:t xml:space="preserve"> Impact of Extended Accounting Period Close Process Feature.</w:t>
            </w:r>
          </w:p>
          <w:p w14:paraId="60FB5997"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iCs/>
                <w:color w:val="6A9955"/>
                <w:sz w:val="14"/>
                <w:szCs w:val="18"/>
              </w:rPr>
              <w:t xml:space="preserve"> */</w:t>
            </w:r>
          </w:p>
          <w:p w14:paraId="60FB5998" w14:textId="77777777" w:rsidR="00CE3C80" w:rsidRPr="00532AB4" w:rsidRDefault="001F3DB0">
            <w:pPr>
              <w:rPr>
                <w:rFonts w:asciiTheme="minorHAnsi" w:hAnsiTheme="minorHAnsi" w:cstheme="minorHAnsi"/>
                <w:sz w:val="14"/>
              </w:rPr>
            </w:pPr>
            <w:proofErr w:type="gramStart"/>
            <w:r w:rsidRPr="00532AB4">
              <w:rPr>
                <w:rFonts w:asciiTheme="minorHAnsi" w:eastAsia="Consolas" w:hAnsiTheme="minorHAnsi" w:cstheme="minorHAnsi"/>
                <w:color w:val="1B1B1B"/>
                <w:sz w:val="14"/>
                <w:szCs w:val="18"/>
              </w:rPr>
              <w:t>define(</w:t>
            </w:r>
            <w:proofErr w:type="gramEnd"/>
            <w:r w:rsidRPr="00532AB4">
              <w:rPr>
                <w:rFonts w:asciiTheme="minorHAnsi" w:eastAsia="Consolas" w:hAnsiTheme="minorHAnsi" w:cstheme="minorHAnsi"/>
                <w:color w:val="1B1B1B"/>
                <w:sz w:val="14"/>
                <w:szCs w:val="18"/>
              </w:rPr>
              <w:t>['N/record', 'N/search', 'N/log'], (record, search, log) =&gt; {</w:t>
            </w:r>
          </w:p>
          <w:p w14:paraId="60FB5999"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w:t>
            </w:r>
          </w:p>
          <w:p w14:paraId="60FB599A"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function </w:t>
            </w:r>
            <w:proofErr w:type="spellStart"/>
            <w:r w:rsidRPr="00532AB4">
              <w:rPr>
                <w:rFonts w:asciiTheme="minorHAnsi" w:eastAsia="Consolas" w:hAnsiTheme="minorHAnsi" w:cstheme="minorHAnsi"/>
                <w:color w:val="1B1B1B"/>
                <w:sz w:val="14"/>
                <w:szCs w:val="18"/>
              </w:rPr>
              <w:t>isPeriodClosed</w:t>
            </w:r>
            <w:proofErr w:type="spellEnd"/>
            <w:r w:rsidRPr="00532AB4">
              <w:rPr>
                <w:rFonts w:asciiTheme="minorHAnsi" w:eastAsia="Consolas" w:hAnsiTheme="minorHAnsi" w:cstheme="minorHAnsi"/>
                <w:color w:val="1B1B1B"/>
                <w:sz w:val="14"/>
                <w:szCs w:val="18"/>
              </w:rPr>
              <w:t>(</w:t>
            </w:r>
            <w:proofErr w:type="spellStart"/>
            <w:r w:rsidRPr="00532AB4">
              <w:rPr>
                <w:rFonts w:asciiTheme="minorHAnsi" w:eastAsia="Consolas" w:hAnsiTheme="minorHAnsi" w:cstheme="minorHAnsi"/>
                <w:color w:val="1B1B1B"/>
                <w:sz w:val="14"/>
                <w:szCs w:val="18"/>
              </w:rPr>
              <w:t>periodId</w:t>
            </w:r>
            <w:proofErr w:type="spellEnd"/>
            <w:r w:rsidRPr="00532AB4">
              <w:rPr>
                <w:rFonts w:asciiTheme="minorHAnsi" w:eastAsia="Consolas" w:hAnsiTheme="minorHAnsi" w:cstheme="minorHAnsi"/>
                <w:color w:val="1B1B1B"/>
                <w:sz w:val="14"/>
                <w:szCs w:val="18"/>
              </w:rPr>
              <w:t>) {</w:t>
            </w:r>
          </w:p>
          <w:p w14:paraId="60FB599B"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w:t>
            </w:r>
            <w:proofErr w:type="spellStart"/>
            <w:r w:rsidRPr="00532AB4">
              <w:rPr>
                <w:rFonts w:asciiTheme="minorHAnsi" w:eastAsia="Consolas" w:hAnsiTheme="minorHAnsi" w:cstheme="minorHAnsi"/>
                <w:color w:val="1B1B1B"/>
                <w:sz w:val="14"/>
                <w:szCs w:val="18"/>
              </w:rPr>
              <w:t>const</w:t>
            </w:r>
            <w:proofErr w:type="spellEnd"/>
            <w:r w:rsidRPr="00532AB4">
              <w:rPr>
                <w:rFonts w:asciiTheme="minorHAnsi" w:eastAsia="Consolas" w:hAnsiTheme="minorHAnsi" w:cstheme="minorHAnsi"/>
                <w:color w:val="1B1B1B"/>
                <w:sz w:val="14"/>
                <w:szCs w:val="18"/>
              </w:rPr>
              <w:t xml:space="preserve"> period = </w:t>
            </w:r>
            <w:proofErr w:type="spellStart"/>
            <w:proofErr w:type="gramStart"/>
            <w:r w:rsidRPr="00532AB4">
              <w:rPr>
                <w:rFonts w:asciiTheme="minorHAnsi" w:eastAsia="Consolas" w:hAnsiTheme="minorHAnsi" w:cstheme="minorHAnsi"/>
                <w:color w:val="1B1B1B"/>
                <w:sz w:val="14"/>
                <w:szCs w:val="18"/>
              </w:rPr>
              <w:t>record.load</w:t>
            </w:r>
            <w:proofErr w:type="spellEnd"/>
            <w:proofErr w:type="gramEnd"/>
            <w:r w:rsidRPr="00532AB4">
              <w:rPr>
                <w:rFonts w:asciiTheme="minorHAnsi" w:eastAsia="Consolas" w:hAnsiTheme="minorHAnsi" w:cstheme="minorHAnsi"/>
                <w:color w:val="1B1B1B"/>
                <w:sz w:val="14"/>
                <w:szCs w:val="18"/>
              </w:rPr>
              <w:t>({ type: '</w:t>
            </w:r>
            <w:proofErr w:type="spellStart"/>
            <w:r w:rsidRPr="00532AB4">
              <w:rPr>
                <w:rFonts w:asciiTheme="minorHAnsi" w:eastAsia="Consolas" w:hAnsiTheme="minorHAnsi" w:cstheme="minorHAnsi"/>
                <w:color w:val="1B1B1B"/>
                <w:sz w:val="14"/>
                <w:szCs w:val="18"/>
              </w:rPr>
              <w:t>accountingperiod</w:t>
            </w:r>
            <w:proofErr w:type="spellEnd"/>
            <w:r w:rsidRPr="00532AB4">
              <w:rPr>
                <w:rFonts w:asciiTheme="minorHAnsi" w:eastAsia="Consolas" w:hAnsiTheme="minorHAnsi" w:cstheme="minorHAnsi"/>
                <w:color w:val="1B1B1B"/>
                <w:sz w:val="14"/>
                <w:szCs w:val="18"/>
              </w:rPr>
              <w:t xml:space="preserve">', id: </w:t>
            </w:r>
            <w:proofErr w:type="spellStart"/>
            <w:r w:rsidRPr="00532AB4">
              <w:rPr>
                <w:rFonts w:asciiTheme="minorHAnsi" w:eastAsia="Consolas" w:hAnsiTheme="minorHAnsi" w:cstheme="minorHAnsi"/>
                <w:color w:val="1B1B1B"/>
                <w:sz w:val="14"/>
                <w:szCs w:val="18"/>
              </w:rPr>
              <w:t>periodId</w:t>
            </w:r>
            <w:proofErr w:type="spellEnd"/>
            <w:r w:rsidRPr="00532AB4">
              <w:rPr>
                <w:rFonts w:asciiTheme="minorHAnsi" w:eastAsia="Consolas" w:hAnsiTheme="minorHAnsi" w:cstheme="minorHAnsi"/>
                <w:color w:val="1B1B1B"/>
                <w:sz w:val="14"/>
                <w:szCs w:val="18"/>
              </w:rPr>
              <w:t xml:space="preserve"> });</w:t>
            </w:r>
          </w:p>
          <w:p w14:paraId="60FB599C"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return </w:t>
            </w:r>
            <w:proofErr w:type="spellStart"/>
            <w:proofErr w:type="gramStart"/>
            <w:r w:rsidRPr="00532AB4">
              <w:rPr>
                <w:rFonts w:asciiTheme="minorHAnsi" w:eastAsia="Consolas" w:hAnsiTheme="minorHAnsi" w:cstheme="minorHAnsi"/>
                <w:color w:val="1B1B1B"/>
                <w:sz w:val="14"/>
                <w:szCs w:val="18"/>
              </w:rPr>
              <w:t>period.getValue</w:t>
            </w:r>
            <w:proofErr w:type="spellEnd"/>
            <w:proofErr w:type="gramEnd"/>
            <w:r w:rsidRPr="00532AB4">
              <w:rPr>
                <w:rFonts w:asciiTheme="minorHAnsi" w:eastAsia="Consolas" w:hAnsiTheme="minorHAnsi" w:cstheme="minorHAnsi"/>
                <w:color w:val="1B1B1B"/>
                <w:sz w:val="14"/>
                <w:szCs w:val="18"/>
              </w:rPr>
              <w:t xml:space="preserve">({ </w:t>
            </w:r>
            <w:proofErr w:type="spellStart"/>
            <w:r w:rsidRPr="00532AB4">
              <w:rPr>
                <w:rFonts w:asciiTheme="minorHAnsi" w:eastAsia="Consolas" w:hAnsiTheme="minorHAnsi" w:cstheme="minorHAnsi"/>
                <w:color w:val="1B1B1B"/>
                <w:sz w:val="14"/>
                <w:szCs w:val="18"/>
              </w:rPr>
              <w:t>fieldId</w:t>
            </w:r>
            <w:proofErr w:type="spellEnd"/>
            <w:r w:rsidRPr="00532AB4">
              <w:rPr>
                <w:rFonts w:asciiTheme="minorHAnsi" w:eastAsia="Consolas" w:hAnsiTheme="minorHAnsi" w:cstheme="minorHAnsi"/>
                <w:color w:val="1B1B1B"/>
                <w:sz w:val="14"/>
                <w:szCs w:val="18"/>
              </w:rPr>
              <w:t>: 'closed' }) === true;</w:t>
            </w:r>
          </w:p>
          <w:p w14:paraId="60FB599D"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w:t>
            </w:r>
          </w:p>
          <w:p w14:paraId="60FB599E"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w:t>
            </w:r>
          </w:p>
          <w:p w14:paraId="60FB599F"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function </w:t>
            </w:r>
            <w:proofErr w:type="spellStart"/>
            <w:r w:rsidRPr="00532AB4">
              <w:rPr>
                <w:rFonts w:asciiTheme="minorHAnsi" w:eastAsia="Consolas" w:hAnsiTheme="minorHAnsi" w:cstheme="minorHAnsi"/>
                <w:color w:val="1B1B1B"/>
                <w:sz w:val="14"/>
                <w:szCs w:val="18"/>
              </w:rPr>
              <w:t>findOpenPeriodForDate</w:t>
            </w:r>
            <w:proofErr w:type="spellEnd"/>
            <w:r w:rsidRPr="00532AB4">
              <w:rPr>
                <w:rFonts w:asciiTheme="minorHAnsi" w:eastAsia="Consolas" w:hAnsiTheme="minorHAnsi" w:cstheme="minorHAnsi"/>
                <w:color w:val="1B1B1B"/>
                <w:sz w:val="14"/>
                <w:szCs w:val="18"/>
              </w:rPr>
              <w:t>(</w:t>
            </w:r>
            <w:proofErr w:type="spellStart"/>
            <w:r w:rsidRPr="00532AB4">
              <w:rPr>
                <w:rFonts w:asciiTheme="minorHAnsi" w:eastAsia="Consolas" w:hAnsiTheme="minorHAnsi" w:cstheme="minorHAnsi"/>
                <w:color w:val="1B1B1B"/>
                <w:sz w:val="14"/>
                <w:szCs w:val="18"/>
              </w:rPr>
              <w:t>txnDate</w:t>
            </w:r>
            <w:proofErr w:type="spellEnd"/>
            <w:r w:rsidRPr="00532AB4">
              <w:rPr>
                <w:rFonts w:asciiTheme="minorHAnsi" w:eastAsia="Consolas" w:hAnsiTheme="minorHAnsi" w:cstheme="minorHAnsi"/>
                <w:color w:val="1B1B1B"/>
                <w:sz w:val="14"/>
                <w:szCs w:val="18"/>
              </w:rPr>
              <w:t>) {</w:t>
            </w:r>
          </w:p>
          <w:p w14:paraId="60FB59A0"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iCs/>
                <w:color w:val="6A9955"/>
                <w:sz w:val="14"/>
                <w:szCs w:val="18"/>
              </w:rPr>
              <w:t xml:space="preserve">    // Returns the internal ID of the base period whose date range contains </w:t>
            </w:r>
            <w:proofErr w:type="spellStart"/>
            <w:r w:rsidRPr="00532AB4">
              <w:rPr>
                <w:rFonts w:asciiTheme="minorHAnsi" w:eastAsia="Consolas" w:hAnsiTheme="minorHAnsi" w:cstheme="minorHAnsi"/>
                <w:iCs/>
                <w:color w:val="6A9955"/>
                <w:sz w:val="14"/>
                <w:szCs w:val="18"/>
              </w:rPr>
              <w:t>txnDate</w:t>
            </w:r>
            <w:proofErr w:type="spellEnd"/>
          </w:p>
          <w:p w14:paraId="60FB59A1"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iCs/>
                <w:color w:val="6A9955"/>
                <w:sz w:val="14"/>
                <w:szCs w:val="18"/>
              </w:rPr>
              <w:t xml:space="preserve">    // and whose closed field is false; adjust filters for </w:t>
            </w:r>
            <w:proofErr w:type="spellStart"/>
            <w:r w:rsidRPr="00532AB4">
              <w:rPr>
                <w:rFonts w:asciiTheme="minorHAnsi" w:eastAsia="Consolas" w:hAnsiTheme="minorHAnsi" w:cstheme="minorHAnsi"/>
                <w:iCs/>
                <w:color w:val="6A9955"/>
                <w:sz w:val="14"/>
                <w:szCs w:val="18"/>
              </w:rPr>
              <w:t>OneWorld</w:t>
            </w:r>
            <w:proofErr w:type="spellEnd"/>
            <w:r w:rsidRPr="00532AB4">
              <w:rPr>
                <w:rFonts w:asciiTheme="minorHAnsi" w:eastAsia="Consolas" w:hAnsiTheme="minorHAnsi" w:cstheme="minorHAnsi"/>
                <w:iCs/>
                <w:color w:val="6A9955"/>
                <w:sz w:val="14"/>
                <w:szCs w:val="18"/>
              </w:rPr>
              <w:t xml:space="preserve"> fiscal calendars.</w:t>
            </w:r>
          </w:p>
          <w:p w14:paraId="60FB59A2"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w:t>
            </w:r>
            <w:proofErr w:type="spellStart"/>
            <w:r w:rsidRPr="00532AB4">
              <w:rPr>
                <w:rFonts w:asciiTheme="minorHAnsi" w:eastAsia="Consolas" w:hAnsiTheme="minorHAnsi" w:cstheme="minorHAnsi"/>
                <w:color w:val="1B1B1B"/>
                <w:sz w:val="14"/>
                <w:szCs w:val="18"/>
              </w:rPr>
              <w:t>const</w:t>
            </w:r>
            <w:proofErr w:type="spellEnd"/>
            <w:r w:rsidRPr="00532AB4">
              <w:rPr>
                <w:rFonts w:asciiTheme="minorHAnsi" w:eastAsia="Consolas" w:hAnsiTheme="minorHAnsi" w:cstheme="minorHAnsi"/>
                <w:color w:val="1B1B1B"/>
                <w:sz w:val="14"/>
                <w:szCs w:val="18"/>
              </w:rPr>
              <w:t xml:space="preserve"> </w:t>
            </w:r>
            <w:proofErr w:type="spellStart"/>
            <w:r w:rsidRPr="00532AB4">
              <w:rPr>
                <w:rFonts w:asciiTheme="minorHAnsi" w:eastAsia="Consolas" w:hAnsiTheme="minorHAnsi" w:cstheme="minorHAnsi"/>
                <w:color w:val="1B1B1B"/>
                <w:sz w:val="14"/>
                <w:szCs w:val="18"/>
              </w:rPr>
              <w:t>periodSearch</w:t>
            </w:r>
            <w:proofErr w:type="spellEnd"/>
            <w:r w:rsidRPr="00532AB4">
              <w:rPr>
                <w:rFonts w:asciiTheme="minorHAnsi" w:eastAsia="Consolas" w:hAnsiTheme="minorHAnsi" w:cstheme="minorHAnsi"/>
                <w:color w:val="1B1B1B"/>
                <w:sz w:val="14"/>
                <w:szCs w:val="18"/>
              </w:rPr>
              <w:t xml:space="preserve"> = </w:t>
            </w:r>
            <w:proofErr w:type="spellStart"/>
            <w:proofErr w:type="gramStart"/>
            <w:r w:rsidRPr="00532AB4">
              <w:rPr>
                <w:rFonts w:asciiTheme="minorHAnsi" w:eastAsia="Consolas" w:hAnsiTheme="minorHAnsi" w:cstheme="minorHAnsi"/>
                <w:color w:val="1B1B1B"/>
                <w:sz w:val="14"/>
                <w:szCs w:val="18"/>
              </w:rPr>
              <w:t>search.create</w:t>
            </w:r>
            <w:proofErr w:type="spellEnd"/>
            <w:proofErr w:type="gramEnd"/>
            <w:r w:rsidRPr="00532AB4">
              <w:rPr>
                <w:rFonts w:asciiTheme="minorHAnsi" w:eastAsia="Consolas" w:hAnsiTheme="minorHAnsi" w:cstheme="minorHAnsi"/>
                <w:color w:val="1B1B1B"/>
                <w:sz w:val="14"/>
                <w:szCs w:val="18"/>
              </w:rPr>
              <w:t>({</w:t>
            </w:r>
          </w:p>
          <w:p w14:paraId="60FB59A3"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type: '</w:t>
            </w:r>
            <w:proofErr w:type="spellStart"/>
            <w:r w:rsidRPr="00532AB4">
              <w:rPr>
                <w:rFonts w:asciiTheme="minorHAnsi" w:eastAsia="Consolas" w:hAnsiTheme="minorHAnsi" w:cstheme="minorHAnsi"/>
                <w:color w:val="1B1B1B"/>
                <w:sz w:val="14"/>
                <w:szCs w:val="18"/>
              </w:rPr>
              <w:t>accountingperiod</w:t>
            </w:r>
            <w:proofErr w:type="spellEnd"/>
            <w:r w:rsidRPr="00532AB4">
              <w:rPr>
                <w:rFonts w:asciiTheme="minorHAnsi" w:eastAsia="Consolas" w:hAnsiTheme="minorHAnsi" w:cstheme="minorHAnsi"/>
                <w:color w:val="1B1B1B"/>
                <w:sz w:val="14"/>
                <w:szCs w:val="18"/>
              </w:rPr>
              <w:t>',</w:t>
            </w:r>
          </w:p>
          <w:p w14:paraId="60FB59A4"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filters: [</w:t>
            </w:r>
          </w:p>
          <w:p w14:paraId="60FB59A5"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w:t>
            </w:r>
            <w:proofErr w:type="spellStart"/>
            <w:r w:rsidRPr="00532AB4">
              <w:rPr>
                <w:rFonts w:asciiTheme="minorHAnsi" w:eastAsia="Consolas" w:hAnsiTheme="minorHAnsi" w:cstheme="minorHAnsi"/>
                <w:color w:val="1B1B1B"/>
                <w:sz w:val="14"/>
                <w:szCs w:val="18"/>
              </w:rPr>
              <w:t>startdate</w:t>
            </w:r>
            <w:proofErr w:type="spellEnd"/>
            <w:r w:rsidRPr="00532AB4">
              <w:rPr>
                <w:rFonts w:asciiTheme="minorHAnsi" w:eastAsia="Consolas" w:hAnsiTheme="minorHAnsi" w:cstheme="minorHAnsi"/>
                <w:color w:val="1B1B1B"/>
                <w:sz w:val="14"/>
                <w:szCs w:val="18"/>
              </w:rPr>
              <w:t>', '</w:t>
            </w:r>
            <w:proofErr w:type="spellStart"/>
            <w:r w:rsidRPr="00532AB4">
              <w:rPr>
                <w:rFonts w:asciiTheme="minorHAnsi" w:eastAsia="Consolas" w:hAnsiTheme="minorHAnsi" w:cstheme="minorHAnsi"/>
                <w:color w:val="1B1B1B"/>
                <w:sz w:val="14"/>
                <w:szCs w:val="18"/>
              </w:rPr>
              <w:t>onorbefore</w:t>
            </w:r>
            <w:proofErr w:type="spellEnd"/>
            <w:r w:rsidRPr="00532AB4">
              <w:rPr>
                <w:rFonts w:asciiTheme="minorHAnsi" w:eastAsia="Consolas" w:hAnsiTheme="minorHAnsi" w:cstheme="minorHAnsi"/>
                <w:color w:val="1B1B1B"/>
                <w:sz w:val="14"/>
                <w:szCs w:val="18"/>
              </w:rPr>
              <w:t xml:space="preserve">', </w:t>
            </w:r>
            <w:proofErr w:type="spellStart"/>
            <w:r w:rsidRPr="00532AB4">
              <w:rPr>
                <w:rFonts w:asciiTheme="minorHAnsi" w:eastAsia="Consolas" w:hAnsiTheme="minorHAnsi" w:cstheme="minorHAnsi"/>
                <w:color w:val="1B1B1B"/>
                <w:sz w:val="14"/>
                <w:szCs w:val="18"/>
              </w:rPr>
              <w:t>txnDate</w:t>
            </w:r>
            <w:proofErr w:type="spellEnd"/>
            <w:r w:rsidRPr="00532AB4">
              <w:rPr>
                <w:rFonts w:asciiTheme="minorHAnsi" w:eastAsia="Consolas" w:hAnsiTheme="minorHAnsi" w:cstheme="minorHAnsi"/>
                <w:color w:val="1B1B1B"/>
                <w:sz w:val="14"/>
                <w:szCs w:val="18"/>
              </w:rPr>
              <w:t>],</w:t>
            </w:r>
          </w:p>
          <w:p w14:paraId="60FB59A6"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'AND', ['</w:t>
            </w:r>
            <w:proofErr w:type="spellStart"/>
            <w:r w:rsidRPr="00532AB4">
              <w:rPr>
                <w:rFonts w:asciiTheme="minorHAnsi" w:eastAsia="Consolas" w:hAnsiTheme="minorHAnsi" w:cstheme="minorHAnsi"/>
                <w:color w:val="1B1B1B"/>
                <w:sz w:val="14"/>
                <w:szCs w:val="18"/>
              </w:rPr>
              <w:t>enddate</w:t>
            </w:r>
            <w:proofErr w:type="spellEnd"/>
            <w:r w:rsidRPr="00532AB4">
              <w:rPr>
                <w:rFonts w:asciiTheme="minorHAnsi" w:eastAsia="Consolas" w:hAnsiTheme="minorHAnsi" w:cstheme="minorHAnsi"/>
                <w:color w:val="1B1B1B"/>
                <w:sz w:val="14"/>
                <w:szCs w:val="18"/>
              </w:rPr>
              <w:t>', '</w:t>
            </w:r>
            <w:proofErr w:type="spellStart"/>
            <w:r w:rsidRPr="00532AB4">
              <w:rPr>
                <w:rFonts w:asciiTheme="minorHAnsi" w:eastAsia="Consolas" w:hAnsiTheme="minorHAnsi" w:cstheme="minorHAnsi"/>
                <w:color w:val="1B1B1B"/>
                <w:sz w:val="14"/>
                <w:szCs w:val="18"/>
              </w:rPr>
              <w:t>onorafter</w:t>
            </w:r>
            <w:proofErr w:type="spellEnd"/>
            <w:r w:rsidRPr="00532AB4">
              <w:rPr>
                <w:rFonts w:asciiTheme="minorHAnsi" w:eastAsia="Consolas" w:hAnsiTheme="minorHAnsi" w:cstheme="minorHAnsi"/>
                <w:color w:val="1B1B1B"/>
                <w:sz w:val="14"/>
                <w:szCs w:val="18"/>
              </w:rPr>
              <w:t xml:space="preserve">', </w:t>
            </w:r>
            <w:proofErr w:type="spellStart"/>
            <w:r w:rsidRPr="00532AB4">
              <w:rPr>
                <w:rFonts w:asciiTheme="minorHAnsi" w:eastAsia="Consolas" w:hAnsiTheme="minorHAnsi" w:cstheme="minorHAnsi"/>
                <w:color w:val="1B1B1B"/>
                <w:sz w:val="14"/>
                <w:szCs w:val="18"/>
              </w:rPr>
              <w:t>txnDate</w:t>
            </w:r>
            <w:proofErr w:type="spellEnd"/>
            <w:r w:rsidRPr="00532AB4">
              <w:rPr>
                <w:rFonts w:asciiTheme="minorHAnsi" w:eastAsia="Consolas" w:hAnsiTheme="minorHAnsi" w:cstheme="minorHAnsi"/>
                <w:color w:val="1B1B1B"/>
                <w:sz w:val="14"/>
                <w:szCs w:val="18"/>
              </w:rPr>
              <w:t>],</w:t>
            </w:r>
          </w:p>
          <w:p w14:paraId="60FB59A7"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'AND', ['closed', 'is', 'F'],</w:t>
            </w:r>
          </w:p>
          <w:p w14:paraId="60FB59A8"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w:t>
            </w:r>
          </w:p>
          <w:p w14:paraId="60FB59A9"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columns: ['</w:t>
            </w:r>
            <w:proofErr w:type="spellStart"/>
            <w:r w:rsidRPr="00532AB4">
              <w:rPr>
                <w:rFonts w:asciiTheme="minorHAnsi" w:eastAsia="Consolas" w:hAnsiTheme="minorHAnsi" w:cstheme="minorHAnsi"/>
                <w:color w:val="1B1B1B"/>
                <w:sz w:val="14"/>
                <w:szCs w:val="18"/>
              </w:rPr>
              <w:t>internalid</w:t>
            </w:r>
            <w:proofErr w:type="spellEnd"/>
            <w:r w:rsidRPr="00532AB4">
              <w:rPr>
                <w:rFonts w:asciiTheme="minorHAnsi" w:eastAsia="Consolas" w:hAnsiTheme="minorHAnsi" w:cstheme="minorHAnsi"/>
                <w:color w:val="1B1B1B"/>
                <w:sz w:val="14"/>
                <w:szCs w:val="18"/>
              </w:rPr>
              <w:t>', '</w:t>
            </w:r>
            <w:proofErr w:type="spellStart"/>
            <w:r w:rsidRPr="00532AB4">
              <w:rPr>
                <w:rFonts w:asciiTheme="minorHAnsi" w:eastAsia="Consolas" w:hAnsiTheme="minorHAnsi" w:cstheme="minorHAnsi"/>
                <w:color w:val="1B1B1B"/>
                <w:sz w:val="14"/>
                <w:szCs w:val="18"/>
              </w:rPr>
              <w:t>periodname</w:t>
            </w:r>
            <w:proofErr w:type="spellEnd"/>
            <w:r w:rsidRPr="00532AB4">
              <w:rPr>
                <w:rFonts w:asciiTheme="minorHAnsi" w:eastAsia="Consolas" w:hAnsiTheme="minorHAnsi" w:cstheme="minorHAnsi"/>
                <w:color w:val="1B1B1B"/>
                <w:sz w:val="14"/>
                <w:szCs w:val="18"/>
              </w:rPr>
              <w:t>'],</w:t>
            </w:r>
          </w:p>
          <w:p w14:paraId="60FB59AA"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w:t>
            </w:r>
          </w:p>
          <w:p w14:paraId="60FB59AB"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let result = null;</w:t>
            </w:r>
          </w:p>
          <w:p w14:paraId="60FB59AC"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w:t>
            </w:r>
            <w:proofErr w:type="spellStart"/>
            <w:r w:rsidRPr="00532AB4">
              <w:rPr>
                <w:rFonts w:asciiTheme="minorHAnsi" w:eastAsia="Consolas" w:hAnsiTheme="minorHAnsi" w:cstheme="minorHAnsi"/>
                <w:color w:val="1B1B1B"/>
                <w:sz w:val="14"/>
                <w:szCs w:val="18"/>
              </w:rPr>
              <w:t>periodSearch.run</w:t>
            </w:r>
            <w:proofErr w:type="spellEnd"/>
            <w:r w:rsidRPr="00532AB4">
              <w:rPr>
                <w:rFonts w:asciiTheme="minorHAnsi" w:eastAsia="Consolas" w:hAnsiTheme="minorHAnsi" w:cstheme="minorHAnsi"/>
                <w:color w:val="1B1B1B"/>
                <w:sz w:val="14"/>
                <w:szCs w:val="18"/>
              </w:rPr>
              <w:t>(</w:t>
            </w:r>
            <w:proofErr w:type="gramStart"/>
            <w:r w:rsidRPr="00532AB4">
              <w:rPr>
                <w:rFonts w:asciiTheme="minorHAnsi" w:eastAsia="Consolas" w:hAnsiTheme="minorHAnsi" w:cstheme="minorHAnsi"/>
                <w:color w:val="1B1B1B"/>
                <w:sz w:val="14"/>
                <w:szCs w:val="18"/>
              </w:rPr>
              <w:t>).each</w:t>
            </w:r>
            <w:proofErr w:type="gramEnd"/>
            <w:r w:rsidRPr="00532AB4">
              <w:rPr>
                <w:rFonts w:asciiTheme="minorHAnsi" w:eastAsia="Consolas" w:hAnsiTheme="minorHAnsi" w:cstheme="minorHAnsi"/>
                <w:color w:val="1B1B1B"/>
                <w:sz w:val="14"/>
                <w:szCs w:val="18"/>
              </w:rPr>
              <w:t>((r) =&gt; {</w:t>
            </w:r>
          </w:p>
          <w:p w14:paraId="60FB59AD"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result = </w:t>
            </w:r>
            <w:proofErr w:type="spellStart"/>
            <w:proofErr w:type="gramStart"/>
            <w:r w:rsidRPr="00532AB4">
              <w:rPr>
                <w:rFonts w:asciiTheme="minorHAnsi" w:eastAsia="Consolas" w:hAnsiTheme="minorHAnsi" w:cstheme="minorHAnsi"/>
                <w:color w:val="1B1B1B"/>
                <w:sz w:val="14"/>
                <w:szCs w:val="18"/>
              </w:rPr>
              <w:t>r.getValue</w:t>
            </w:r>
            <w:proofErr w:type="spellEnd"/>
            <w:proofErr w:type="gramEnd"/>
            <w:r w:rsidRPr="00532AB4">
              <w:rPr>
                <w:rFonts w:asciiTheme="minorHAnsi" w:eastAsia="Consolas" w:hAnsiTheme="minorHAnsi" w:cstheme="minorHAnsi"/>
                <w:color w:val="1B1B1B"/>
                <w:sz w:val="14"/>
                <w:szCs w:val="18"/>
              </w:rPr>
              <w:t>({ name: '</w:t>
            </w:r>
            <w:proofErr w:type="spellStart"/>
            <w:r w:rsidRPr="00532AB4">
              <w:rPr>
                <w:rFonts w:asciiTheme="minorHAnsi" w:eastAsia="Consolas" w:hAnsiTheme="minorHAnsi" w:cstheme="minorHAnsi"/>
                <w:color w:val="1B1B1B"/>
                <w:sz w:val="14"/>
                <w:szCs w:val="18"/>
              </w:rPr>
              <w:t>internalid</w:t>
            </w:r>
            <w:proofErr w:type="spellEnd"/>
            <w:r w:rsidRPr="00532AB4">
              <w:rPr>
                <w:rFonts w:asciiTheme="minorHAnsi" w:eastAsia="Consolas" w:hAnsiTheme="minorHAnsi" w:cstheme="minorHAnsi"/>
                <w:color w:val="1B1B1B"/>
                <w:sz w:val="14"/>
                <w:szCs w:val="18"/>
              </w:rPr>
              <w:t>' });</w:t>
            </w:r>
          </w:p>
          <w:p w14:paraId="60FB59AE"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return false; // first match only</w:t>
            </w:r>
          </w:p>
          <w:p w14:paraId="60FB59AF"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w:t>
            </w:r>
          </w:p>
          <w:p w14:paraId="60FB59B0"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return result;</w:t>
            </w:r>
          </w:p>
          <w:p w14:paraId="60FB59B1"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w:t>
            </w:r>
          </w:p>
          <w:p w14:paraId="60FB59B2"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w:t>
            </w:r>
          </w:p>
          <w:p w14:paraId="60FB59B3"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function execute(</w:t>
            </w:r>
            <w:proofErr w:type="spellStart"/>
            <w:r w:rsidRPr="00532AB4">
              <w:rPr>
                <w:rFonts w:asciiTheme="minorHAnsi" w:eastAsia="Consolas" w:hAnsiTheme="minorHAnsi" w:cstheme="minorHAnsi"/>
                <w:color w:val="1B1B1B"/>
                <w:sz w:val="14"/>
                <w:szCs w:val="18"/>
              </w:rPr>
              <w:t>scriptContext</w:t>
            </w:r>
            <w:proofErr w:type="spellEnd"/>
            <w:r w:rsidRPr="00532AB4">
              <w:rPr>
                <w:rFonts w:asciiTheme="minorHAnsi" w:eastAsia="Consolas" w:hAnsiTheme="minorHAnsi" w:cstheme="minorHAnsi"/>
                <w:color w:val="1B1B1B"/>
                <w:sz w:val="14"/>
                <w:szCs w:val="18"/>
              </w:rPr>
              <w:t>) {</w:t>
            </w:r>
          </w:p>
          <w:p w14:paraId="60FB59B4"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w:t>
            </w:r>
            <w:proofErr w:type="spellStart"/>
            <w:r w:rsidRPr="00532AB4">
              <w:rPr>
                <w:rFonts w:asciiTheme="minorHAnsi" w:eastAsia="Consolas" w:hAnsiTheme="minorHAnsi" w:cstheme="minorHAnsi"/>
                <w:color w:val="1B1B1B"/>
                <w:sz w:val="14"/>
                <w:szCs w:val="18"/>
              </w:rPr>
              <w:t>const</w:t>
            </w:r>
            <w:proofErr w:type="spellEnd"/>
            <w:r w:rsidRPr="00532AB4">
              <w:rPr>
                <w:rFonts w:asciiTheme="minorHAnsi" w:eastAsia="Consolas" w:hAnsiTheme="minorHAnsi" w:cstheme="minorHAnsi"/>
                <w:color w:val="1B1B1B"/>
                <w:sz w:val="14"/>
                <w:szCs w:val="18"/>
              </w:rPr>
              <w:t xml:space="preserve"> </w:t>
            </w:r>
            <w:proofErr w:type="spellStart"/>
            <w:r w:rsidRPr="00532AB4">
              <w:rPr>
                <w:rFonts w:asciiTheme="minorHAnsi" w:eastAsia="Consolas" w:hAnsiTheme="minorHAnsi" w:cstheme="minorHAnsi"/>
                <w:color w:val="1B1B1B"/>
                <w:sz w:val="14"/>
                <w:szCs w:val="18"/>
              </w:rPr>
              <w:t>journalId</w:t>
            </w:r>
            <w:proofErr w:type="spellEnd"/>
            <w:r w:rsidRPr="00532AB4">
              <w:rPr>
                <w:rFonts w:asciiTheme="minorHAnsi" w:eastAsia="Consolas" w:hAnsiTheme="minorHAnsi" w:cstheme="minorHAnsi"/>
                <w:color w:val="1B1B1B"/>
                <w:sz w:val="14"/>
                <w:szCs w:val="18"/>
              </w:rPr>
              <w:t xml:space="preserve"> = /* resolved elsewhere in the process */ null;</w:t>
            </w:r>
          </w:p>
          <w:p w14:paraId="60FB59B5"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w:t>
            </w:r>
            <w:proofErr w:type="spellStart"/>
            <w:r w:rsidRPr="00532AB4">
              <w:rPr>
                <w:rFonts w:asciiTheme="minorHAnsi" w:eastAsia="Consolas" w:hAnsiTheme="minorHAnsi" w:cstheme="minorHAnsi"/>
                <w:color w:val="1B1B1B"/>
                <w:sz w:val="14"/>
                <w:szCs w:val="18"/>
              </w:rPr>
              <w:t>const</w:t>
            </w:r>
            <w:proofErr w:type="spellEnd"/>
            <w:r w:rsidRPr="00532AB4">
              <w:rPr>
                <w:rFonts w:asciiTheme="minorHAnsi" w:eastAsia="Consolas" w:hAnsiTheme="minorHAnsi" w:cstheme="minorHAnsi"/>
                <w:color w:val="1B1B1B"/>
                <w:sz w:val="14"/>
                <w:szCs w:val="18"/>
              </w:rPr>
              <w:t xml:space="preserve"> </w:t>
            </w:r>
            <w:proofErr w:type="spellStart"/>
            <w:r w:rsidRPr="00532AB4">
              <w:rPr>
                <w:rFonts w:asciiTheme="minorHAnsi" w:eastAsia="Consolas" w:hAnsiTheme="minorHAnsi" w:cstheme="minorHAnsi"/>
                <w:color w:val="1B1B1B"/>
                <w:sz w:val="14"/>
                <w:szCs w:val="18"/>
              </w:rPr>
              <w:t>targetPeriodId</w:t>
            </w:r>
            <w:proofErr w:type="spellEnd"/>
            <w:r w:rsidRPr="00532AB4">
              <w:rPr>
                <w:rFonts w:asciiTheme="minorHAnsi" w:eastAsia="Consolas" w:hAnsiTheme="minorHAnsi" w:cstheme="minorHAnsi"/>
                <w:color w:val="1B1B1B"/>
                <w:sz w:val="14"/>
                <w:szCs w:val="18"/>
              </w:rPr>
              <w:t xml:space="preserve"> = /* the period the pending journal targets */ null;</w:t>
            </w:r>
          </w:p>
          <w:p w14:paraId="60FB59B6"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w:t>
            </w:r>
          </w:p>
          <w:p w14:paraId="60FB59B7"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if (</w:t>
            </w:r>
            <w:proofErr w:type="spellStart"/>
            <w:r w:rsidRPr="00532AB4">
              <w:rPr>
                <w:rFonts w:asciiTheme="minorHAnsi" w:eastAsia="Consolas" w:hAnsiTheme="minorHAnsi" w:cstheme="minorHAnsi"/>
                <w:color w:val="1B1B1B"/>
                <w:sz w:val="14"/>
                <w:szCs w:val="18"/>
              </w:rPr>
              <w:t>isPeriodClosed</w:t>
            </w:r>
            <w:proofErr w:type="spellEnd"/>
            <w:r w:rsidRPr="00532AB4">
              <w:rPr>
                <w:rFonts w:asciiTheme="minorHAnsi" w:eastAsia="Consolas" w:hAnsiTheme="minorHAnsi" w:cstheme="minorHAnsi"/>
                <w:color w:val="1B1B1B"/>
                <w:sz w:val="14"/>
                <w:szCs w:val="18"/>
              </w:rPr>
              <w:t>(</w:t>
            </w:r>
            <w:proofErr w:type="spellStart"/>
            <w:r w:rsidRPr="00532AB4">
              <w:rPr>
                <w:rFonts w:asciiTheme="minorHAnsi" w:eastAsia="Consolas" w:hAnsiTheme="minorHAnsi" w:cstheme="minorHAnsi"/>
                <w:color w:val="1B1B1B"/>
                <w:sz w:val="14"/>
                <w:szCs w:val="18"/>
              </w:rPr>
              <w:t>targetPeriodId</w:t>
            </w:r>
            <w:proofErr w:type="spellEnd"/>
            <w:r w:rsidRPr="00532AB4">
              <w:rPr>
                <w:rFonts w:asciiTheme="minorHAnsi" w:eastAsia="Consolas" w:hAnsiTheme="minorHAnsi" w:cstheme="minorHAnsi"/>
                <w:color w:val="1B1B1B"/>
                <w:sz w:val="14"/>
                <w:szCs w:val="18"/>
              </w:rPr>
              <w:t>)) {</w:t>
            </w:r>
          </w:p>
          <w:p w14:paraId="60FB59B8"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w:t>
            </w:r>
            <w:proofErr w:type="spellStart"/>
            <w:proofErr w:type="gramStart"/>
            <w:r w:rsidRPr="00532AB4">
              <w:rPr>
                <w:rFonts w:asciiTheme="minorHAnsi" w:eastAsia="Consolas" w:hAnsiTheme="minorHAnsi" w:cstheme="minorHAnsi"/>
                <w:color w:val="1B1B1B"/>
                <w:sz w:val="14"/>
                <w:szCs w:val="18"/>
              </w:rPr>
              <w:t>log.audit</w:t>
            </w:r>
            <w:proofErr w:type="spellEnd"/>
            <w:proofErr w:type="gramEnd"/>
            <w:r w:rsidRPr="00532AB4">
              <w:rPr>
                <w:rFonts w:asciiTheme="minorHAnsi" w:eastAsia="Consolas" w:hAnsiTheme="minorHAnsi" w:cstheme="minorHAnsi"/>
                <w:color w:val="1B1B1B"/>
                <w:sz w:val="14"/>
                <w:szCs w:val="18"/>
              </w:rPr>
              <w:t>({</w:t>
            </w:r>
          </w:p>
          <w:p w14:paraId="60FB59B9"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title: 'Skipped posting — period closed',</w:t>
            </w:r>
          </w:p>
          <w:p w14:paraId="60FB59BA"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details: 'Target accounting period ' + </w:t>
            </w:r>
            <w:proofErr w:type="spellStart"/>
            <w:r w:rsidRPr="00532AB4">
              <w:rPr>
                <w:rFonts w:asciiTheme="minorHAnsi" w:eastAsia="Consolas" w:hAnsiTheme="minorHAnsi" w:cstheme="minorHAnsi"/>
                <w:color w:val="1B1B1B"/>
                <w:sz w:val="14"/>
                <w:szCs w:val="18"/>
              </w:rPr>
              <w:t>targetPeriodId</w:t>
            </w:r>
            <w:proofErr w:type="spellEnd"/>
            <w:r w:rsidRPr="00532AB4">
              <w:rPr>
                <w:rFonts w:asciiTheme="minorHAnsi" w:eastAsia="Consolas" w:hAnsiTheme="minorHAnsi" w:cstheme="minorHAnsi"/>
                <w:color w:val="1B1B1B"/>
                <w:sz w:val="14"/>
                <w:szCs w:val="18"/>
              </w:rPr>
              <w:t xml:space="preserve"> + ' is closed; ' +</w:t>
            </w:r>
          </w:p>
          <w:p w14:paraId="60FB59BB"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'record the exception for manual review rather than resubmitting.',</w:t>
            </w:r>
          </w:p>
          <w:p w14:paraId="60FB59BC"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w:t>
            </w:r>
          </w:p>
          <w:p w14:paraId="60FB59BD"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return;</w:t>
            </w:r>
          </w:p>
          <w:p w14:paraId="60FB59BE"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w:t>
            </w:r>
          </w:p>
          <w:p w14:paraId="60FB59BF"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w:t>
            </w:r>
          </w:p>
          <w:p w14:paraId="60FB59C0"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iCs/>
                <w:color w:val="6A9955"/>
                <w:sz w:val="14"/>
                <w:szCs w:val="18"/>
              </w:rPr>
              <w:t xml:space="preserve">    // Safe to proceed — create/submit the posting transaction here.</w:t>
            </w:r>
          </w:p>
          <w:p w14:paraId="60FB59C1"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w:t>
            </w:r>
          </w:p>
          <w:p w14:paraId="60FB59C2"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w:t>
            </w:r>
          </w:p>
          <w:p w14:paraId="60FB59C3"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 xml:space="preserve">  return </w:t>
            </w:r>
            <w:proofErr w:type="gramStart"/>
            <w:r w:rsidRPr="00532AB4">
              <w:rPr>
                <w:rFonts w:asciiTheme="minorHAnsi" w:eastAsia="Consolas" w:hAnsiTheme="minorHAnsi" w:cstheme="minorHAnsi"/>
                <w:color w:val="1B1B1B"/>
                <w:sz w:val="14"/>
                <w:szCs w:val="18"/>
              </w:rPr>
              <w:t>{ execute</w:t>
            </w:r>
            <w:proofErr w:type="gramEnd"/>
            <w:r w:rsidRPr="00532AB4">
              <w:rPr>
                <w:rFonts w:asciiTheme="minorHAnsi" w:eastAsia="Consolas" w:hAnsiTheme="minorHAnsi" w:cstheme="minorHAnsi"/>
                <w:color w:val="1B1B1B"/>
                <w:sz w:val="14"/>
                <w:szCs w:val="18"/>
              </w:rPr>
              <w:t xml:space="preserve"> };</w:t>
            </w:r>
          </w:p>
          <w:p w14:paraId="60FB59C4" w14:textId="77777777" w:rsidR="00CE3C80" w:rsidRPr="00532AB4" w:rsidRDefault="001F3DB0">
            <w:pPr>
              <w:rPr>
                <w:rFonts w:asciiTheme="minorHAnsi" w:hAnsiTheme="minorHAnsi" w:cstheme="minorHAnsi"/>
                <w:sz w:val="14"/>
              </w:rPr>
            </w:pPr>
            <w:r w:rsidRPr="00532AB4">
              <w:rPr>
                <w:rFonts w:asciiTheme="minorHAnsi" w:eastAsia="Consolas" w:hAnsiTheme="minorHAnsi" w:cstheme="minorHAnsi"/>
                <w:color w:val="1B1B1B"/>
                <w:sz w:val="14"/>
                <w:szCs w:val="18"/>
              </w:rPr>
              <w:t>});</w:t>
            </w:r>
          </w:p>
        </w:tc>
      </w:tr>
    </w:tbl>
    <w:p w14:paraId="60FB59C6" w14:textId="77777777" w:rsidR="00CE3C80" w:rsidRPr="00C62C01" w:rsidRDefault="00CE3C80">
      <w:pPr>
        <w:spacing w:after="80"/>
        <w:rPr>
          <w:rFonts w:asciiTheme="minorHAnsi" w:hAnsiTheme="minorHAnsi" w:cstheme="minorHAnsi"/>
        </w:rPr>
      </w:pP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CE3C80" w:rsidRPr="00C62C01" w14:paraId="60FB59CA" w14:textId="77777777">
        <w:tc>
          <w:tcPr>
            <w:tcW w:w="0" w:type="auto"/>
            <w:shd w:val="clear" w:color="auto" w:fill="FFF2CC"/>
            <w:tcMar>
              <w:top w:w="160" w:type="dxa"/>
              <w:left w:w="200" w:type="dxa"/>
              <w:bottom w:w="160" w:type="dxa"/>
              <w:right w:w="200" w:type="dxa"/>
            </w:tcMar>
          </w:tcPr>
          <w:p w14:paraId="60FB59C7" w14:textId="77777777" w:rsidR="00CE3C80" w:rsidRPr="00C62C01" w:rsidRDefault="001F3DB0">
            <w:pPr>
              <w:spacing w:after="140"/>
              <w:rPr>
                <w:rFonts w:asciiTheme="minorHAnsi" w:hAnsiTheme="minorHAnsi" w:cstheme="minorHAnsi"/>
              </w:rPr>
            </w:pPr>
            <w:r w:rsidRPr="00C62C01">
              <w:rPr>
                <w:rFonts w:ascii="Segoe UI Emoji" w:eastAsia="Calibri" w:hAnsi="Segoe UI Emoji" w:cs="Segoe UI Emoji"/>
                <w:b/>
                <w:bCs/>
                <w:color w:val="1F3864"/>
                <w:sz w:val="22"/>
                <w:szCs w:val="22"/>
              </w:rPr>
              <w:lastRenderedPageBreak/>
              <w:t>⚠</w:t>
            </w:r>
            <w:r w:rsidRPr="00C62C01">
              <w:rPr>
                <w:rFonts w:asciiTheme="minorHAnsi" w:eastAsia="Calibri" w:hAnsiTheme="minorHAnsi" w:cstheme="minorHAnsi"/>
                <w:b/>
                <w:bCs/>
                <w:color w:val="1F3864"/>
                <w:sz w:val="22"/>
                <w:szCs w:val="22"/>
              </w:rPr>
              <w:t>️ Don't Rely on Script to Bypass Period Restrictions</w:t>
            </w:r>
          </w:p>
          <w:p w14:paraId="60FB59C8" w14:textId="77777777" w:rsidR="00CE3C80" w:rsidRPr="00C62C01" w:rsidRDefault="001F3DB0">
            <w:pPr>
              <w:pStyle w:val="ListParagraph"/>
              <w:numPr>
                <w:ilvl w:val="0"/>
                <w:numId w:val="1"/>
              </w:numPr>
              <w:spacing w:after="100" w:line="270" w:lineRule="auto"/>
              <w:rPr>
                <w:rFonts w:asciiTheme="minorHAnsi" w:hAnsiTheme="minorHAnsi" w:cstheme="minorHAnsi"/>
              </w:rPr>
            </w:pPr>
            <w:r w:rsidRPr="00C62C01">
              <w:rPr>
                <w:rFonts w:asciiTheme="minorHAnsi" w:eastAsia="Calibri" w:hAnsiTheme="minorHAnsi" w:cstheme="minorHAnsi"/>
                <w:sz w:val="21"/>
                <w:szCs w:val="21"/>
              </w:rPr>
              <w:t>A script running under a role without Override Period Restrictions still fails to post into a locked or closed period, exactly as the UI would enforce — checking the closed field lets a process skip and log the exception gracefully instead of throwing an unhandled error.</w:t>
            </w:r>
          </w:p>
          <w:p w14:paraId="60FB59C9" w14:textId="77777777" w:rsidR="00CE3C80" w:rsidRPr="00C62C01" w:rsidRDefault="001F3DB0">
            <w:pPr>
              <w:pStyle w:val="ListParagraph"/>
              <w:numPr>
                <w:ilvl w:val="0"/>
                <w:numId w:val="1"/>
              </w:numPr>
              <w:spacing w:after="100" w:line="270" w:lineRule="auto"/>
              <w:rPr>
                <w:rFonts w:asciiTheme="minorHAnsi" w:hAnsiTheme="minorHAnsi" w:cstheme="minorHAnsi"/>
              </w:rPr>
            </w:pPr>
            <w:r w:rsidRPr="00C62C01">
              <w:rPr>
                <w:rFonts w:asciiTheme="minorHAnsi" w:eastAsia="Calibri" w:hAnsiTheme="minorHAnsi" w:cstheme="minorHAnsi"/>
                <w:sz w:val="21"/>
                <w:szCs w:val="21"/>
              </w:rPr>
              <w:t xml:space="preserve">Confirm the exact </w:t>
            </w:r>
            <w:proofErr w:type="spellStart"/>
            <w:r w:rsidRPr="00C62C01">
              <w:rPr>
                <w:rFonts w:asciiTheme="minorHAnsi" w:eastAsia="Calibri" w:hAnsiTheme="minorHAnsi" w:cstheme="minorHAnsi"/>
                <w:sz w:val="21"/>
                <w:szCs w:val="21"/>
              </w:rPr>
              <w:t>behavior</w:t>
            </w:r>
            <w:proofErr w:type="spellEnd"/>
            <w:r w:rsidRPr="00C62C01">
              <w:rPr>
                <w:rFonts w:asciiTheme="minorHAnsi" w:eastAsia="Calibri" w:hAnsiTheme="minorHAnsi" w:cstheme="minorHAnsi"/>
                <w:sz w:val="21"/>
                <w:szCs w:val="21"/>
              </w:rPr>
              <w:t xml:space="preserve"> of the closed field for the account's edition (single-book vs. Extended Accounting Period Close Process) in the </w:t>
            </w:r>
            <w:proofErr w:type="spellStart"/>
            <w:r w:rsidRPr="00C62C01">
              <w:rPr>
                <w:rFonts w:asciiTheme="minorHAnsi" w:eastAsia="Calibri" w:hAnsiTheme="minorHAnsi" w:cstheme="minorHAnsi"/>
                <w:sz w:val="21"/>
                <w:szCs w:val="21"/>
              </w:rPr>
              <w:t>SuiteScript</w:t>
            </w:r>
            <w:proofErr w:type="spellEnd"/>
            <w:r w:rsidRPr="00C62C01">
              <w:rPr>
                <w:rFonts w:asciiTheme="minorHAnsi" w:eastAsia="Calibri" w:hAnsiTheme="minorHAnsi" w:cstheme="minorHAnsi"/>
                <w:sz w:val="21"/>
                <w:szCs w:val="21"/>
              </w:rPr>
              <w:t xml:space="preserve"> Records Browser before relying on it in a production script.</w:t>
            </w:r>
          </w:p>
        </w:tc>
      </w:tr>
    </w:tbl>
    <w:p w14:paraId="60FB59CB" w14:textId="46614904" w:rsidR="00CE3C80" w:rsidRDefault="00CE3C80">
      <w:pPr>
        <w:spacing w:after="100"/>
        <w:rPr>
          <w:rFonts w:asciiTheme="minorHAnsi" w:hAnsiTheme="minorHAnsi" w:cstheme="minorHAnsi"/>
        </w:rPr>
      </w:pPr>
    </w:p>
    <w:p w14:paraId="1D3B0256" w14:textId="7BD55596" w:rsidR="00000A24" w:rsidRDefault="00000A24">
      <w:pPr>
        <w:spacing w:after="100"/>
        <w:rPr>
          <w:rFonts w:asciiTheme="minorHAnsi" w:hAnsiTheme="minorHAnsi" w:cstheme="minorHAnsi"/>
        </w:rPr>
      </w:pPr>
    </w:p>
    <w:p w14:paraId="42414C1C" w14:textId="5E11A84F" w:rsidR="00000A24" w:rsidRDefault="00000A24">
      <w:pPr>
        <w:spacing w:after="100"/>
        <w:rPr>
          <w:rFonts w:asciiTheme="minorHAnsi" w:hAnsiTheme="minorHAnsi" w:cstheme="minorHAnsi"/>
        </w:rPr>
      </w:pPr>
    </w:p>
    <w:p w14:paraId="6672CC3E" w14:textId="5D1255CA" w:rsidR="00000A24" w:rsidRDefault="00000A24">
      <w:pPr>
        <w:spacing w:after="100"/>
        <w:rPr>
          <w:rFonts w:asciiTheme="minorHAnsi" w:hAnsiTheme="minorHAnsi" w:cstheme="minorHAnsi"/>
        </w:rPr>
      </w:pPr>
    </w:p>
    <w:p w14:paraId="23721C79" w14:textId="6BBB0B9F" w:rsidR="00000A24" w:rsidRDefault="00000A24">
      <w:pPr>
        <w:spacing w:after="100"/>
        <w:rPr>
          <w:rFonts w:asciiTheme="minorHAnsi" w:hAnsiTheme="minorHAnsi" w:cstheme="minorHAnsi"/>
        </w:rPr>
      </w:pPr>
    </w:p>
    <w:p w14:paraId="01B9BF69" w14:textId="4DF0E14E" w:rsidR="00000A24" w:rsidRDefault="00000A24">
      <w:pPr>
        <w:spacing w:after="100"/>
        <w:rPr>
          <w:rFonts w:asciiTheme="minorHAnsi" w:hAnsiTheme="minorHAnsi" w:cstheme="minorHAnsi"/>
        </w:rPr>
      </w:pPr>
    </w:p>
    <w:p w14:paraId="2D005617" w14:textId="00F3784A" w:rsidR="00000A24" w:rsidRDefault="00000A24">
      <w:pPr>
        <w:spacing w:after="100"/>
        <w:rPr>
          <w:rFonts w:asciiTheme="minorHAnsi" w:hAnsiTheme="minorHAnsi" w:cstheme="minorHAnsi"/>
        </w:rPr>
      </w:pPr>
    </w:p>
    <w:p w14:paraId="175A70BF" w14:textId="03A41C45" w:rsidR="00000A24" w:rsidRDefault="00000A24">
      <w:pPr>
        <w:spacing w:after="100"/>
        <w:rPr>
          <w:rFonts w:asciiTheme="minorHAnsi" w:hAnsiTheme="minorHAnsi" w:cstheme="minorHAnsi"/>
        </w:rPr>
      </w:pPr>
    </w:p>
    <w:p w14:paraId="49DD299E" w14:textId="44926A7A" w:rsidR="00000A24" w:rsidRDefault="00000A24">
      <w:pPr>
        <w:spacing w:after="100"/>
        <w:rPr>
          <w:rFonts w:asciiTheme="minorHAnsi" w:hAnsiTheme="minorHAnsi" w:cstheme="minorHAnsi"/>
        </w:rPr>
      </w:pPr>
    </w:p>
    <w:p w14:paraId="400BA4D6" w14:textId="19BF6968" w:rsidR="00000A24" w:rsidRDefault="00000A24">
      <w:pPr>
        <w:spacing w:after="100"/>
        <w:rPr>
          <w:rFonts w:asciiTheme="minorHAnsi" w:hAnsiTheme="minorHAnsi" w:cstheme="minorHAnsi"/>
        </w:rPr>
      </w:pPr>
    </w:p>
    <w:p w14:paraId="5F3B6F14" w14:textId="06214A3B" w:rsidR="00000A24" w:rsidRDefault="00000A24">
      <w:pPr>
        <w:spacing w:after="100"/>
        <w:rPr>
          <w:rFonts w:asciiTheme="minorHAnsi" w:hAnsiTheme="minorHAnsi" w:cstheme="minorHAnsi"/>
        </w:rPr>
      </w:pPr>
    </w:p>
    <w:p w14:paraId="4629657E" w14:textId="3D27651F" w:rsidR="00000A24" w:rsidRDefault="00000A24">
      <w:pPr>
        <w:spacing w:after="100"/>
        <w:rPr>
          <w:rFonts w:asciiTheme="minorHAnsi" w:hAnsiTheme="minorHAnsi" w:cstheme="minorHAnsi"/>
        </w:rPr>
      </w:pPr>
    </w:p>
    <w:p w14:paraId="2B5F21A4" w14:textId="7B9A6013" w:rsidR="00000A24" w:rsidRDefault="00000A24">
      <w:pPr>
        <w:spacing w:after="100"/>
        <w:rPr>
          <w:rFonts w:asciiTheme="minorHAnsi" w:hAnsiTheme="minorHAnsi" w:cstheme="minorHAnsi"/>
        </w:rPr>
      </w:pPr>
    </w:p>
    <w:p w14:paraId="6C64AE63" w14:textId="6D8304F9" w:rsidR="00000A24" w:rsidRDefault="00000A24">
      <w:pPr>
        <w:spacing w:after="100"/>
        <w:rPr>
          <w:rFonts w:asciiTheme="minorHAnsi" w:hAnsiTheme="minorHAnsi" w:cstheme="minorHAnsi"/>
        </w:rPr>
      </w:pPr>
    </w:p>
    <w:p w14:paraId="5662ABC8" w14:textId="22650414" w:rsidR="00000A24" w:rsidRDefault="00000A24">
      <w:pPr>
        <w:spacing w:after="100"/>
        <w:rPr>
          <w:rFonts w:asciiTheme="minorHAnsi" w:hAnsiTheme="minorHAnsi" w:cstheme="minorHAnsi"/>
        </w:rPr>
      </w:pPr>
    </w:p>
    <w:p w14:paraId="185A46BD" w14:textId="5A588179" w:rsidR="00000A24" w:rsidRDefault="00000A24">
      <w:pPr>
        <w:spacing w:after="100"/>
        <w:rPr>
          <w:rFonts w:asciiTheme="minorHAnsi" w:hAnsiTheme="minorHAnsi" w:cstheme="minorHAnsi"/>
        </w:rPr>
      </w:pPr>
    </w:p>
    <w:p w14:paraId="106BDD5F" w14:textId="151833E5" w:rsidR="00000A24" w:rsidRDefault="00000A24">
      <w:pPr>
        <w:spacing w:after="100"/>
        <w:rPr>
          <w:rFonts w:asciiTheme="minorHAnsi" w:hAnsiTheme="minorHAnsi" w:cstheme="minorHAnsi"/>
        </w:rPr>
      </w:pPr>
    </w:p>
    <w:p w14:paraId="5C8B9C60" w14:textId="72FAF3F3" w:rsidR="00000A24" w:rsidRDefault="00000A24">
      <w:pPr>
        <w:spacing w:after="100"/>
        <w:rPr>
          <w:rFonts w:asciiTheme="minorHAnsi" w:hAnsiTheme="minorHAnsi" w:cstheme="minorHAnsi"/>
        </w:rPr>
      </w:pPr>
    </w:p>
    <w:p w14:paraId="206DB2C1" w14:textId="2B6F6B29" w:rsidR="00000A24" w:rsidRDefault="00000A24">
      <w:pPr>
        <w:spacing w:after="100"/>
        <w:rPr>
          <w:rFonts w:asciiTheme="minorHAnsi" w:hAnsiTheme="minorHAnsi" w:cstheme="minorHAnsi"/>
        </w:rPr>
      </w:pPr>
    </w:p>
    <w:p w14:paraId="6C6EBD96" w14:textId="6F6C1E72" w:rsidR="00000A24" w:rsidRDefault="00000A24">
      <w:pPr>
        <w:spacing w:after="100"/>
        <w:rPr>
          <w:rFonts w:asciiTheme="minorHAnsi" w:hAnsiTheme="minorHAnsi" w:cstheme="minorHAnsi"/>
        </w:rPr>
      </w:pPr>
    </w:p>
    <w:p w14:paraId="21D8FE77" w14:textId="1CA6E93C" w:rsidR="00000A24" w:rsidRDefault="00000A24">
      <w:pPr>
        <w:spacing w:after="100"/>
        <w:rPr>
          <w:rFonts w:asciiTheme="minorHAnsi" w:hAnsiTheme="minorHAnsi" w:cstheme="minorHAnsi"/>
        </w:rPr>
      </w:pPr>
    </w:p>
    <w:p w14:paraId="4A4E59A5" w14:textId="3AD1E748" w:rsidR="00000A24" w:rsidRDefault="00000A24">
      <w:pPr>
        <w:spacing w:after="100"/>
        <w:rPr>
          <w:rFonts w:asciiTheme="minorHAnsi" w:hAnsiTheme="minorHAnsi" w:cstheme="minorHAnsi"/>
        </w:rPr>
      </w:pPr>
    </w:p>
    <w:p w14:paraId="21A294EB" w14:textId="7537B417" w:rsidR="00000A24" w:rsidRDefault="00000A24">
      <w:pPr>
        <w:spacing w:after="100"/>
        <w:rPr>
          <w:rFonts w:asciiTheme="minorHAnsi" w:hAnsiTheme="minorHAnsi" w:cstheme="minorHAnsi"/>
        </w:rPr>
      </w:pPr>
    </w:p>
    <w:p w14:paraId="7504C373" w14:textId="52CAFE99" w:rsidR="00000A24" w:rsidRDefault="00000A24">
      <w:pPr>
        <w:spacing w:after="100"/>
        <w:rPr>
          <w:rFonts w:asciiTheme="minorHAnsi" w:hAnsiTheme="minorHAnsi" w:cstheme="minorHAnsi"/>
        </w:rPr>
      </w:pPr>
    </w:p>
    <w:p w14:paraId="50961C1B" w14:textId="29C1208F" w:rsidR="00000A24" w:rsidRDefault="00000A24">
      <w:pPr>
        <w:spacing w:after="100"/>
        <w:rPr>
          <w:rFonts w:asciiTheme="minorHAnsi" w:hAnsiTheme="minorHAnsi" w:cstheme="minorHAnsi"/>
        </w:rPr>
      </w:pPr>
    </w:p>
    <w:p w14:paraId="710AE53D" w14:textId="4A094674" w:rsidR="00000A24" w:rsidRDefault="00000A24">
      <w:pPr>
        <w:spacing w:after="100"/>
        <w:rPr>
          <w:rFonts w:asciiTheme="minorHAnsi" w:hAnsiTheme="minorHAnsi" w:cstheme="minorHAnsi"/>
        </w:rPr>
      </w:pPr>
    </w:p>
    <w:p w14:paraId="60E09C31" w14:textId="23D4EBA7" w:rsidR="00000A24" w:rsidRDefault="00000A24">
      <w:pPr>
        <w:spacing w:after="100"/>
        <w:rPr>
          <w:rFonts w:asciiTheme="minorHAnsi" w:hAnsiTheme="minorHAnsi" w:cstheme="minorHAnsi"/>
        </w:rPr>
      </w:pPr>
    </w:p>
    <w:p w14:paraId="3A613611" w14:textId="3E640032" w:rsidR="00000A24" w:rsidRDefault="00000A24">
      <w:pPr>
        <w:spacing w:after="100"/>
        <w:rPr>
          <w:rFonts w:asciiTheme="minorHAnsi" w:hAnsiTheme="minorHAnsi" w:cstheme="minorHAnsi"/>
        </w:rPr>
      </w:pPr>
    </w:p>
    <w:p w14:paraId="1D6845B9" w14:textId="44478F97" w:rsidR="00000A24" w:rsidRDefault="00000A24">
      <w:pPr>
        <w:spacing w:after="100"/>
        <w:rPr>
          <w:rFonts w:asciiTheme="minorHAnsi" w:hAnsiTheme="minorHAnsi" w:cstheme="minorHAnsi"/>
        </w:rPr>
      </w:pPr>
    </w:p>
    <w:p w14:paraId="085C7557" w14:textId="77777777" w:rsidR="00000A24" w:rsidRPr="00C62C01" w:rsidRDefault="00000A24">
      <w:pPr>
        <w:spacing w:after="100"/>
        <w:rPr>
          <w:rFonts w:asciiTheme="minorHAnsi" w:hAnsiTheme="minorHAnsi" w:cstheme="minorHAnsi"/>
        </w:rPr>
      </w:pPr>
    </w:p>
    <w:p w14:paraId="60FB59CC" w14:textId="77777777" w:rsidR="00CE3C80" w:rsidRPr="00C62C01" w:rsidRDefault="001F3DB0">
      <w:pPr>
        <w:pStyle w:val="Heading1"/>
        <w:spacing w:before="360" w:after="200"/>
        <w:rPr>
          <w:rFonts w:asciiTheme="minorHAnsi" w:hAnsiTheme="minorHAnsi" w:cstheme="minorHAnsi"/>
        </w:rPr>
      </w:pPr>
      <w:r w:rsidRPr="00C62C01">
        <w:rPr>
          <w:rFonts w:asciiTheme="minorHAnsi" w:hAnsiTheme="minorHAnsi" w:cstheme="minorHAnsi"/>
          <w:b/>
          <w:bCs/>
          <w:color w:val="1F3864"/>
          <w:sz w:val="30"/>
          <w:szCs w:val="30"/>
        </w:rPr>
        <w:lastRenderedPageBreak/>
        <w:t>8. Architect's Quick Reference — Accounting Period Control Decision Framework</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3"/>
        <w:gridCol w:w="6687"/>
      </w:tblGrid>
      <w:tr w:rsidR="00CE3C80" w:rsidRPr="00C62C01" w14:paraId="60FB59CF" w14:textId="77777777">
        <w:trPr>
          <w:tblHeader/>
        </w:trPr>
        <w:tc>
          <w:tcPr>
            <w:tcW w:w="3000" w:type="dxa"/>
            <w:shd w:val="clear" w:color="auto" w:fill="1F3864"/>
            <w:tcMar>
              <w:top w:w="100" w:type="dxa"/>
              <w:left w:w="120" w:type="dxa"/>
              <w:bottom w:w="100" w:type="dxa"/>
              <w:right w:w="120" w:type="dxa"/>
            </w:tcMar>
            <w:vAlign w:val="center"/>
          </w:tcPr>
          <w:p w14:paraId="60FB59CD" w14:textId="77777777" w:rsidR="00CE3C80" w:rsidRPr="00C62C01" w:rsidRDefault="001F3DB0">
            <w:pPr>
              <w:rPr>
                <w:rFonts w:asciiTheme="minorHAnsi" w:hAnsiTheme="minorHAnsi" w:cstheme="minorHAnsi"/>
              </w:rPr>
            </w:pPr>
            <w:r w:rsidRPr="00C62C01">
              <w:rPr>
                <w:rFonts w:asciiTheme="minorHAnsi" w:eastAsia="Calibri" w:hAnsiTheme="minorHAnsi" w:cstheme="minorHAnsi"/>
                <w:b/>
                <w:bCs/>
                <w:color w:val="FFFFFF"/>
              </w:rPr>
              <w:t>Design Decision</w:t>
            </w:r>
          </w:p>
        </w:tc>
        <w:tc>
          <w:tcPr>
            <w:tcW w:w="6000" w:type="dxa"/>
            <w:shd w:val="clear" w:color="auto" w:fill="1F3864"/>
            <w:tcMar>
              <w:top w:w="100" w:type="dxa"/>
              <w:left w:w="120" w:type="dxa"/>
              <w:bottom w:w="100" w:type="dxa"/>
              <w:right w:w="120" w:type="dxa"/>
            </w:tcMar>
            <w:vAlign w:val="center"/>
          </w:tcPr>
          <w:p w14:paraId="60FB59CE" w14:textId="77777777" w:rsidR="00CE3C80" w:rsidRPr="00C62C01" w:rsidRDefault="001F3DB0">
            <w:pPr>
              <w:rPr>
                <w:rFonts w:asciiTheme="minorHAnsi" w:hAnsiTheme="minorHAnsi" w:cstheme="minorHAnsi"/>
              </w:rPr>
            </w:pPr>
            <w:r w:rsidRPr="00C62C01">
              <w:rPr>
                <w:rFonts w:asciiTheme="minorHAnsi" w:eastAsia="Calibri" w:hAnsiTheme="minorHAnsi" w:cstheme="minorHAnsi"/>
                <w:b/>
                <w:bCs/>
                <w:color w:val="FFFFFF"/>
              </w:rPr>
              <w:t>Recommended Approach</w:t>
            </w:r>
          </w:p>
        </w:tc>
      </w:tr>
      <w:tr w:rsidR="00CE3C80" w:rsidRPr="00C62C01" w14:paraId="60FB59D2" w14:textId="77777777">
        <w:tc>
          <w:tcPr>
            <w:tcW w:w="3000" w:type="dxa"/>
            <w:tcMar>
              <w:top w:w="90" w:type="dxa"/>
              <w:left w:w="120" w:type="dxa"/>
              <w:bottom w:w="90" w:type="dxa"/>
              <w:right w:w="120" w:type="dxa"/>
            </w:tcMar>
            <w:vAlign w:val="center"/>
          </w:tcPr>
          <w:p w14:paraId="60FB59D0"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Preventing routine users from back-posting during month-end review</w:t>
            </w:r>
          </w:p>
        </w:tc>
        <w:tc>
          <w:tcPr>
            <w:tcW w:w="6000" w:type="dxa"/>
            <w:tcMar>
              <w:top w:w="90" w:type="dxa"/>
              <w:left w:w="120" w:type="dxa"/>
              <w:bottom w:w="90" w:type="dxa"/>
              <w:right w:w="120" w:type="dxa"/>
            </w:tcMar>
            <w:vAlign w:val="center"/>
          </w:tcPr>
          <w:p w14:paraId="60FB59D1"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Use Lock A/P / Lock A/R / Lock Payroll / Lock All as the pre-close step — it blocks ordinary users while still letting a role with Override Period Restrictions post if genuinely needed.</w:t>
            </w:r>
          </w:p>
        </w:tc>
      </w:tr>
      <w:tr w:rsidR="00CE3C80" w:rsidRPr="00C62C01" w14:paraId="60FB59D5" w14:textId="77777777">
        <w:tc>
          <w:tcPr>
            <w:tcW w:w="3000" w:type="dxa"/>
            <w:tcMar>
              <w:top w:w="90" w:type="dxa"/>
              <w:left w:w="120" w:type="dxa"/>
              <w:bottom w:w="90" w:type="dxa"/>
              <w:right w:w="120" w:type="dxa"/>
            </w:tcMar>
            <w:vAlign w:val="center"/>
          </w:tcPr>
          <w:p w14:paraId="60FB59D3"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Maintaining enough open periods without manual monthly upkeep</w:t>
            </w:r>
          </w:p>
        </w:tc>
        <w:tc>
          <w:tcPr>
            <w:tcW w:w="6000" w:type="dxa"/>
            <w:tcMar>
              <w:top w:w="90" w:type="dxa"/>
              <w:left w:w="120" w:type="dxa"/>
              <w:bottom w:w="90" w:type="dxa"/>
              <w:right w:w="120" w:type="dxa"/>
            </w:tcMar>
            <w:vAlign w:val="center"/>
          </w:tcPr>
          <w:p w14:paraId="60FB59D4"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Enable the Accounting Period Window preference with a sized Minimum Period Window Size rather than manually locking/unlocking each month.</w:t>
            </w:r>
          </w:p>
        </w:tc>
      </w:tr>
      <w:tr w:rsidR="00CE3C80" w:rsidRPr="00C62C01" w14:paraId="60FB59D8" w14:textId="77777777">
        <w:tc>
          <w:tcPr>
            <w:tcW w:w="3000" w:type="dxa"/>
            <w:tcMar>
              <w:top w:w="90" w:type="dxa"/>
              <w:left w:w="120" w:type="dxa"/>
              <w:bottom w:w="90" w:type="dxa"/>
              <w:right w:w="120" w:type="dxa"/>
            </w:tcMar>
            <w:vAlign w:val="center"/>
          </w:tcPr>
          <w:p w14:paraId="60FB59D6"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Sequencing month-end tasks</w:t>
            </w:r>
          </w:p>
        </w:tc>
        <w:tc>
          <w:tcPr>
            <w:tcW w:w="6000" w:type="dxa"/>
            <w:tcMar>
              <w:top w:w="90" w:type="dxa"/>
              <w:left w:w="120" w:type="dxa"/>
              <w:bottom w:w="90" w:type="dxa"/>
              <w:right w:w="120" w:type="dxa"/>
            </w:tcMar>
            <w:vAlign w:val="center"/>
          </w:tcPr>
          <w:p w14:paraId="60FB59D7"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Work the Period Close Checklist in order — previous periods must be closed before the current period's remaining tasks, including Close, become available.</w:t>
            </w:r>
          </w:p>
        </w:tc>
      </w:tr>
      <w:tr w:rsidR="00CE3C80" w:rsidRPr="00C62C01" w14:paraId="60FB59DB" w14:textId="77777777">
        <w:tc>
          <w:tcPr>
            <w:tcW w:w="3000" w:type="dxa"/>
            <w:tcMar>
              <w:top w:w="90" w:type="dxa"/>
              <w:left w:w="120" w:type="dxa"/>
              <w:bottom w:w="90" w:type="dxa"/>
              <w:right w:w="120" w:type="dxa"/>
            </w:tcMar>
            <w:vAlign w:val="center"/>
          </w:tcPr>
          <w:p w14:paraId="60FB59D9"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Closing several already-closed periods after a correction</w:t>
            </w:r>
          </w:p>
        </w:tc>
        <w:tc>
          <w:tcPr>
            <w:tcW w:w="6000" w:type="dxa"/>
            <w:tcMar>
              <w:top w:w="90" w:type="dxa"/>
              <w:left w:w="120" w:type="dxa"/>
              <w:bottom w:w="90" w:type="dxa"/>
              <w:right w:w="120" w:type="dxa"/>
            </w:tcMar>
            <w:vAlign w:val="center"/>
          </w:tcPr>
          <w:p w14:paraId="60FB59DA"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Use Quick Close in batches of five or fewer periods rather than one large run, to avoid an unresponsive process.</w:t>
            </w:r>
          </w:p>
        </w:tc>
      </w:tr>
      <w:tr w:rsidR="00CE3C80" w:rsidRPr="00C62C01" w14:paraId="60FB59DE" w14:textId="77777777">
        <w:tc>
          <w:tcPr>
            <w:tcW w:w="3000" w:type="dxa"/>
            <w:tcMar>
              <w:top w:w="90" w:type="dxa"/>
              <w:left w:w="120" w:type="dxa"/>
              <w:bottom w:w="90" w:type="dxa"/>
              <w:right w:w="120" w:type="dxa"/>
            </w:tcMar>
            <w:vAlign w:val="center"/>
          </w:tcPr>
          <w:p w14:paraId="60FB59DC"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Reopening a period for a correction</w:t>
            </w:r>
          </w:p>
        </w:tc>
        <w:tc>
          <w:tcPr>
            <w:tcW w:w="6000" w:type="dxa"/>
            <w:tcMar>
              <w:top w:w="90" w:type="dxa"/>
              <w:left w:w="120" w:type="dxa"/>
              <w:bottom w:w="90" w:type="dxa"/>
              <w:right w:w="120" w:type="dxa"/>
            </w:tcMar>
            <w:vAlign w:val="center"/>
          </w:tcPr>
          <w:p w14:paraId="60FB59DD"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Expect the cascade — every later closed period reopens too and needs its checklist redone; document the Justification text since it's retained as a user note.</w:t>
            </w:r>
          </w:p>
        </w:tc>
      </w:tr>
      <w:tr w:rsidR="00CE3C80" w:rsidRPr="00C62C01" w14:paraId="60FB59E1" w14:textId="77777777">
        <w:tc>
          <w:tcPr>
            <w:tcW w:w="3000" w:type="dxa"/>
            <w:tcMar>
              <w:top w:w="90" w:type="dxa"/>
              <w:left w:w="120" w:type="dxa"/>
              <w:bottom w:w="90" w:type="dxa"/>
              <w:right w:w="120" w:type="dxa"/>
            </w:tcMar>
            <w:vAlign w:val="center"/>
          </w:tcPr>
          <w:p w14:paraId="60FB59DF"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Zeroing income and expense accounts at year end</w:t>
            </w:r>
          </w:p>
        </w:tc>
        <w:tc>
          <w:tcPr>
            <w:tcW w:w="6000" w:type="dxa"/>
            <w:tcMar>
              <w:top w:w="90" w:type="dxa"/>
              <w:left w:w="120" w:type="dxa"/>
              <w:bottom w:w="90" w:type="dxa"/>
              <w:right w:w="120" w:type="dxa"/>
            </w:tcMar>
            <w:vAlign w:val="center"/>
          </w:tcPr>
          <w:p w14:paraId="60FB59E0"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Prefer Automatic Close; avoid Manual Close journal entries unless unavoidable, and use Period End Journal Entries instead if GL entries are required.</w:t>
            </w:r>
          </w:p>
        </w:tc>
      </w:tr>
      <w:tr w:rsidR="00CE3C80" w:rsidRPr="00C62C01" w14:paraId="60FB59E4" w14:textId="77777777">
        <w:tc>
          <w:tcPr>
            <w:tcW w:w="3000" w:type="dxa"/>
            <w:tcMar>
              <w:top w:w="90" w:type="dxa"/>
              <w:left w:w="120" w:type="dxa"/>
              <w:bottom w:w="90" w:type="dxa"/>
              <w:right w:w="120" w:type="dxa"/>
            </w:tcMar>
            <w:vAlign w:val="center"/>
          </w:tcPr>
          <w:p w14:paraId="60FB59E2"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 xml:space="preserve">Reading period status from </w:t>
            </w:r>
            <w:proofErr w:type="spellStart"/>
            <w:r w:rsidRPr="00C62C01">
              <w:rPr>
                <w:rFonts w:asciiTheme="minorHAnsi" w:eastAsia="Calibri" w:hAnsiTheme="minorHAnsi" w:cstheme="minorHAnsi"/>
              </w:rPr>
              <w:t>SuiteScript</w:t>
            </w:r>
            <w:proofErr w:type="spellEnd"/>
          </w:p>
        </w:tc>
        <w:tc>
          <w:tcPr>
            <w:tcW w:w="6000" w:type="dxa"/>
            <w:tcMar>
              <w:top w:w="90" w:type="dxa"/>
              <w:left w:w="120" w:type="dxa"/>
              <w:bottom w:w="90" w:type="dxa"/>
              <w:right w:w="120" w:type="dxa"/>
            </w:tcMar>
            <w:vAlign w:val="center"/>
          </w:tcPr>
          <w:p w14:paraId="60FB59E3"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 xml:space="preserve">Load or search the </w:t>
            </w:r>
            <w:proofErr w:type="spellStart"/>
            <w:r w:rsidRPr="00C62C01">
              <w:rPr>
                <w:rFonts w:asciiTheme="minorHAnsi" w:eastAsia="Calibri" w:hAnsiTheme="minorHAnsi" w:cstheme="minorHAnsi"/>
              </w:rPr>
              <w:t>accountingperiod</w:t>
            </w:r>
            <w:proofErr w:type="spellEnd"/>
            <w:r w:rsidRPr="00C62C01">
              <w:rPr>
                <w:rFonts w:asciiTheme="minorHAnsi" w:eastAsia="Calibri" w:hAnsiTheme="minorHAnsi" w:cstheme="minorHAnsi"/>
              </w:rPr>
              <w:t xml:space="preserve"> record's closed field rather than assuming based on date — and account for Extended Accounting Period Close Process changing what that field means for Multi-Book accounts.</w:t>
            </w:r>
          </w:p>
        </w:tc>
      </w:tr>
      <w:tr w:rsidR="00CE3C80" w:rsidRPr="00C62C01" w14:paraId="60FB59E7" w14:textId="77777777">
        <w:tc>
          <w:tcPr>
            <w:tcW w:w="3000" w:type="dxa"/>
            <w:tcMar>
              <w:top w:w="90" w:type="dxa"/>
              <w:left w:w="120" w:type="dxa"/>
              <w:bottom w:w="90" w:type="dxa"/>
              <w:right w:w="120" w:type="dxa"/>
            </w:tcMar>
            <w:vAlign w:val="center"/>
          </w:tcPr>
          <w:p w14:paraId="60FB59E5"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Editing a posting transaction after its period closes</w:t>
            </w:r>
          </w:p>
        </w:tc>
        <w:tc>
          <w:tcPr>
            <w:tcW w:w="6000" w:type="dxa"/>
            <w:tcMar>
              <w:top w:w="90" w:type="dxa"/>
              <w:left w:w="120" w:type="dxa"/>
              <w:bottom w:w="90" w:type="dxa"/>
              <w:right w:w="120" w:type="dxa"/>
            </w:tcMar>
            <w:vAlign w:val="center"/>
          </w:tcPr>
          <w:p w14:paraId="60FB59E6" w14:textId="77777777" w:rsidR="00CE3C80" w:rsidRPr="00C62C01" w:rsidRDefault="001F3DB0">
            <w:pPr>
              <w:rPr>
                <w:rFonts w:asciiTheme="minorHAnsi" w:hAnsiTheme="minorHAnsi" w:cstheme="minorHAnsi"/>
              </w:rPr>
            </w:pPr>
            <w:r w:rsidRPr="00C62C01">
              <w:rPr>
                <w:rFonts w:asciiTheme="minorHAnsi" w:eastAsia="Calibri" w:hAnsiTheme="minorHAnsi" w:cstheme="minorHAnsi"/>
              </w:rPr>
              <w:t>Reopen the period rather than looking for a workaround — no one, including administrators, can make GL-impacting changes to a closed period without it, except non-GL changes explicitly permitted on the period record.</w:t>
            </w:r>
          </w:p>
        </w:tc>
      </w:tr>
    </w:tbl>
    <w:p w14:paraId="60FB59E8" w14:textId="1536E341" w:rsidR="00CE3C80" w:rsidRDefault="00CE3C80">
      <w:pPr>
        <w:spacing w:after="120"/>
        <w:rPr>
          <w:rFonts w:asciiTheme="minorHAnsi" w:hAnsiTheme="minorHAnsi" w:cstheme="minorHAnsi"/>
        </w:rPr>
      </w:pPr>
    </w:p>
    <w:p w14:paraId="75B8EE61" w14:textId="529E012A" w:rsidR="00CB0742" w:rsidRDefault="00CB0742">
      <w:pPr>
        <w:spacing w:after="120"/>
        <w:rPr>
          <w:rFonts w:asciiTheme="minorHAnsi" w:hAnsiTheme="minorHAnsi" w:cstheme="minorHAnsi"/>
        </w:rPr>
      </w:pPr>
    </w:p>
    <w:p w14:paraId="129F80E7" w14:textId="0C20CCD4" w:rsidR="00CB0742" w:rsidRDefault="00CB0742">
      <w:pPr>
        <w:spacing w:after="120"/>
        <w:rPr>
          <w:rFonts w:asciiTheme="minorHAnsi" w:hAnsiTheme="minorHAnsi" w:cstheme="minorHAnsi"/>
        </w:rPr>
      </w:pPr>
    </w:p>
    <w:p w14:paraId="615E8940" w14:textId="02C44AD9" w:rsidR="00CB0742" w:rsidRDefault="00CB0742">
      <w:pPr>
        <w:spacing w:after="120"/>
        <w:rPr>
          <w:rFonts w:asciiTheme="minorHAnsi" w:hAnsiTheme="minorHAnsi" w:cstheme="minorHAnsi"/>
        </w:rPr>
      </w:pPr>
    </w:p>
    <w:p w14:paraId="3F781E34" w14:textId="7E2B93A5" w:rsidR="00CB0742" w:rsidRDefault="00CB0742">
      <w:pPr>
        <w:spacing w:after="120"/>
        <w:rPr>
          <w:rFonts w:asciiTheme="minorHAnsi" w:hAnsiTheme="minorHAnsi" w:cstheme="minorHAnsi"/>
        </w:rPr>
      </w:pPr>
    </w:p>
    <w:p w14:paraId="68CC2137" w14:textId="7A2339FB" w:rsidR="00CB0742" w:rsidRDefault="00CB0742">
      <w:pPr>
        <w:spacing w:after="120"/>
        <w:rPr>
          <w:rFonts w:asciiTheme="minorHAnsi" w:hAnsiTheme="minorHAnsi" w:cstheme="minorHAnsi"/>
        </w:rPr>
      </w:pPr>
    </w:p>
    <w:p w14:paraId="34744DD1" w14:textId="6CDA19AC" w:rsidR="00CB0742" w:rsidRDefault="00CB0742">
      <w:pPr>
        <w:spacing w:after="120"/>
        <w:rPr>
          <w:rFonts w:asciiTheme="minorHAnsi" w:hAnsiTheme="minorHAnsi" w:cstheme="minorHAnsi"/>
        </w:rPr>
      </w:pPr>
    </w:p>
    <w:p w14:paraId="0617D805" w14:textId="5BC6E718" w:rsidR="00CB0742" w:rsidRDefault="00CB0742">
      <w:pPr>
        <w:spacing w:after="120"/>
        <w:rPr>
          <w:rFonts w:asciiTheme="minorHAnsi" w:hAnsiTheme="minorHAnsi" w:cstheme="minorHAnsi"/>
        </w:rPr>
      </w:pPr>
    </w:p>
    <w:p w14:paraId="789C7528" w14:textId="25477FE3" w:rsidR="00CB0742" w:rsidRDefault="00CB0742">
      <w:pPr>
        <w:spacing w:after="120"/>
        <w:rPr>
          <w:rFonts w:asciiTheme="minorHAnsi" w:hAnsiTheme="minorHAnsi" w:cstheme="minorHAnsi"/>
        </w:rPr>
      </w:pPr>
    </w:p>
    <w:p w14:paraId="4301E0C9" w14:textId="3A195723" w:rsidR="00CB0742" w:rsidRDefault="00CB0742">
      <w:pPr>
        <w:spacing w:after="120"/>
        <w:rPr>
          <w:rFonts w:asciiTheme="minorHAnsi" w:hAnsiTheme="minorHAnsi" w:cstheme="minorHAnsi"/>
        </w:rPr>
      </w:pPr>
    </w:p>
    <w:p w14:paraId="7930A491" w14:textId="5A263A1F" w:rsidR="00CB0742" w:rsidRDefault="00CB0742">
      <w:pPr>
        <w:spacing w:after="120"/>
        <w:rPr>
          <w:rFonts w:asciiTheme="minorHAnsi" w:hAnsiTheme="minorHAnsi" w:cstheme="minorHAnsi"/>
        </w:rPr>
      </w:pPr>
    </w:p>
    <w:p w14:paraId="0790A363" w14:textId="52D8C490" w:rsidR="00CB0742" w:rsidRDefault="00CB0742">
      <w:pPr>
        <w:spacing w:after="120"/>
        <w:rPr>
          <w:rFonts w:asciiTheme="minorHAnsi" w:hAnsiTheme="minorHAnsi" w:cstheme="minorHAnsi"/>
        </w:rPr>
      </w:pPr>
    </w:p>
    <w:p w14:paraId="60F9999C" w14:textId="6286D295" w:rsidR="00CB0742" w:rsidRDefault="00CB0742">
      <w:pPr>
        <w:spacing w:after="120"/>
        <w:rPr>
          <w:rFonts w:asciiTheme="minorHAnsi" w:hAnsiTheme="minorHAnsi" w:cstheme="minorHAnsi"/>
        </w:rPr>
      </w:pPr>
    </w:p>
    <w:p w14:paraId="694980F5" w14:textId="43E5273F" w:rsidR="00CB0742" w:rsidRDefault="00CB0742">
      <w:pPr>
        <w:spacing w:after="120"/>
        <w:rPr>
          <w:rFonts w:asciiTheme="minorHAnsi" w:hAnsiTheme="minorHAnsi" w:cstheme="minorHAnsi"/>
        </w:rPr>
      </w:pPr>
    </w:p>
    <w:p w14:paraId="491F7979" w14:textId="77777777" w:rsidR="00CB0742" w:rsidRPr="00C62C01" w:rsidRDefault="00CB0742">
      <w:pPr>
        <w:spacing w:after="120"/>
        <w:rPr>
          <w:rFonts w:asciiTheme="minorHAnsi" w:hAnsiTheme="minorHAnsi" w:cstheme="minorHAnsi"/>
        </w:rPr>
      </w:pP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CE3C80" w:rsidRPr="00C62C01" w14:paraId="60FB59F2" w14:textId="77777777">
        <w:tc>
          <w:tcPr>
            <w:tcW w:w="0" w:type="auto"/>
            <w:shd w:val="clear" w:color="auto" w:fill="DDEBF7"/>
            <w:tcMar>
              <w:top w:w="160" w:type="dxa"/>
              <w:left w:w="200" w:type="dxa"/>
              <w:bottom w:w="160" w:type="dxa"/>
              <w:right w:w="200" w:type="dxa"/>
            </w:tcMar>
          </w:tcPr>
          <w:p w14:paraId="60FB59E9" w14:textId="77777777" w:rsidR="00CE3C80" w:rsidRPr="00C62C01" w:rsidRDefault="001F3DB0">
            <w:pPr>
              <w:spacing w:after="140"/>
              <w:rPr>
                <w:rFonts w:asciiTheme="minorHAnsi" w:hAnsiTheme="minorHAnsi" w:cstheme="minorHAnsi"/>
              </w:rPr>
            </w:pPr>
            <w:r w:rsidRPr="00F94B0A">
              <w:rPr>
                <w:rFonts w:ascii="Segoe UI Emoji" w:eastAsia="Calibri" w:hAnsi="Segoe UI Emoji" w:cs="Segoe UI Emoji"/>
                <w:b/>
                <w:bCs/>
                <w:color w:val="1F3864"/>
                <w:sz w:val="28"/>
                <w:szCs w:val="22"/>
              </w:rPr>
              <w:lastRenderedPageBreak/>
              <w:t>📌</w:t>
            </w:r>
            <w:r w:rsidRPr="00F94B0A">
              <w:rPr>
                <w:rFonts w:asciiTheme="minorHAnsi" w:eastAsia="Calibri" w:hAnsiTheme="minorHAnsi" w:cstheme="minorHAnsi"/>
                <w:b/>
                <w:bCs/>
                <w:color w:val="1F3864"/>
                <w:sz w:val="28"/>
                <w:szCs w:val="22"/>
              </w:rPr>
              <w:t xml:space="preserve"> Week 24 Learning Summary — Accounting Period Control &amp; Closing Process</w:t>
            </w:r>
          </w:p>
          <w:p w14:paraId="60FB59EA" w14:textId="77777777" w:rsidR="00CE3C80" w:rsidRPr="00C62C01" w:rsidRDefault="001F3DB0">
            <w:pPr>
              <w:pStyle w:val="ListParagraph"/>
              <w:numPr>
                <w:ilvl w:val="0"/>
                <w:numId w:val="1"/>
              </w:numPr>
              <w:spacing w:after="100" w:line="270" w:lineRule="auto"/>
              <w:rPr>
                <w:rFonts w:asciiTheme="minorHAnsi" w:hAnsiTheme="minorHAnsi" w:cstheme="minorHAnsi"/>
              </w:rPr>
            </w:pPr>
            <w:r w:rsidRPr="00C62C01">
              <w:rPr>
                <w:rFonts w:asciiTheme="minorHAnsi" w:eastAsia="Calibri" w:hAnsiTheme="minorHAnsi" w:cstheme="minorHAnsi"/>
                <w:sz w:val="21"/>
                <w:szCs w:val="21"/>
              </w:rPr>
              <w:t>Accounting Periods, once enabled, replace real-time posting with a controlled period hierarchy (year, quarter, m</w:t>
            </w:r>
            <w:bookmarkStart w:id="0" w:name="_GoBack"/>
            <w:bookmarkEnd w:id="0"/>
            <w:r w:rsidRPr="00C62C01">
              <w:rPr>
                <w:rFonts w:asciiTheme="minorHAnsi" w:eastAsia="Calibri" w:hAnsiTheme="minorHAnsi" w:cstheme="minorHAnsi"/>
                <w:sz w:val="21"/>
                <w:szCs w:val="21"/>
              </w:rPr>
              <w:t>onth) that every other close-process feature — revaluation, revenue recognition, consolidated exchange rates, GL audit numbering — plugs into as Period Close Checklist tasks.</w:t>
            </w:r>
          </w:p>
          <w:p w14:paraId="60FB59EB" w14:textId="77777777" w:rsidR="00CE3C80" w:rsidRPr="00C62C01" w:rsidRDefault="001F3DB0">
            <w:pPr>
              <w:pStyle w:val="ListParagraph"/>
              <w:numPr>
                <w:ilvl w:val="0"/>
                <w:numId w:val="1"/>
              </w:numPr>
              <w:spacing w:after="100" w:line="270" w:lineRule="auto"/>
              <w:rPr>
                <w:rFonts w:asciiTheme="minorHAnsi" w:hAnsiTheme="minorHAnsi" w:cstheme="minorHAnsi"/>
              </w:rPr>
            </w:pPr>
            <w:r w:rsidRPr="00C62C01">
              <w:rPr>
                <w:rFonts w:asciiTheme="minorHAnsi" w:eastAsia="Calibri" w:hAnsiTheme="minorHAnsi" w:cstheme="minorHAnsi"/>
                <w:sz w:val="21"/>
                <w:szCs w:val="21"/>
              </w:rPr>
              <w:t>Locking (A/P, A/R, Payroll, All) is a reversible, pre-close restriction that blocks only ordinary users; closing is the final, cross-the-board restriction that even administrators can't bypass without reopening the period.</w:t>
            </w:r>
          </w:p>
          <w:p w14:paraId="60FB59EC" w14:textId="77777777" w:rsidR="00CE3C80" w:rsidRPr="00C62C01" w:rsidRDefault="001F3DB0">
            <w:pPr>
              <w:pStyle w:val="ListParagraph"/>
              <w:numPr>
                <w:ilvl w:val="0"/>
                <w:numId w:val="1"/>
              </w:numPr>
              <w:spacing w:after="100" w:line="270" w:lineRule="auto"/>
              <w:rPr>
                <w:rFonts w:asciiTheme="minorHAnsi" w:hAnsiTheme="minorHAnsi" w:cstheme="minorHAnsi"/>
              </w:rPr>
            </w:pPr>
            <w:r w:rsidRPr="00C62C01">
              <w:rPr>
                <w:rFonts w:asciiTheme="minorHAnsi" w:eastAsia="Calibri" w:hAnsiTheme="minorHAnsi" w:cstheme="minorHAnsi"/>
                <w:sz w:val="21"/>
                <w:szCs w:val="21"/>
              </w:rPr>
              <w:t xml:space="preserve">The Period Close Checklist's task list is dynamic — it grows or shrinks based on which features (Multiple Currencies, </w:t>
            </w:r>
            <w:proofErr w:type="spellStart"/>
            <w:r w:rsidRPr="00C62C01">
              <w:rPr>
                <w:rFonts w:asciiTheme="minorHAnsi" w:eastAsia="Calibri" w:hAnsiTheme="minorHAnsi" w:cstheme="minorHAnsi"/>
                <w:sz w:val="21"/>
                <w:szCs w:val="21"/>
              </w:rPr>
              <w:t>OneWorld</w:t>
            </w:r>
            <w:proofErr w:type="spellEnd"/>
            <w:r w:rsidRPr="00C62C01">
              <w:rPr>
                <w:rFonts w:asciiTheme="minorHAnsi" w:eastAsia="Calibri" w:hAnsiTheme="minorHAnsi" w:cstheme="minorHAnsi"/>
                <w:sz w:val="21"/>
                <w:szCs w:val="21"/>
              </w:rPr>
              <w:t>, Advanced Revenue Management, GL Audit Numbering) are enabled, and previous periods must already be closed before the current one's tasks unlock.</w:t>
            </w:r>
          </w:p>
          <w:p w14:paraId="60FB59ED" w14:textId="77777777" w:rsidR="00CE3C80" w:rsidRPr="00C62C01" w:rsidRDefault="001F3DB0">
            <w:pPr>
              <w:pStyle w:val="ListParagraph"/>
              <w:numPr>
                <w:ilvl w:val="0"/>
                <w:numId w:val="1"/>
              </w:numPr>
              <w:spacing w:after="100" w:line="270" w:lineRule="auto"/>
              <w:rPr>
                <w:rFonts w:asciiTheme="minorHAnsi" w:hAnsiTheme="minorHAnsi" w:cstheme="minorHAnsi"/>
              </w:rPr>
            </w:pPr>
            <w:r w:rsidRPr="00C62C01">
              <w:rPr>
                <w:rFonts w:asciiTheme="minorHAnsi" w:eastAsia="Calibri" w:hAnsiTheme="minorHAnsi" w:cstheme="minorHAnsi"/>
                <w:sz w:val="21"/>
                <w:szCs w:val="21"/>
              </w:rPr>
              <w:t>Quick Close marks checklist tasks complete without running the underlying processes and is capped at five periods per run — it's a shortcut for certainty, not a substitute for the checklist.</w:t>
            </w:r>
          </w:p>
          <w:p w14:paraId="60FB59EE" w14:textId="77777777" w:rsidR="00CE3C80" w:rsidRPr="00C62C01" w:rsidRDefault="001F3DB0">
            <w:pPr>
              <w:pStyle w:val="ListParagraph"/>
              <w:numPr>
                <w:ilvl w:val="0"/>
                <w:numId w:val="1"/>
              </w:numPr>
              <w:spacing w:after="100" w:line="270" w:lineRule="auto"/>
              <w:rPr>
                <w:rFonts w:asciiTheme="minorHAnsi" w:hAnsiTheme="minorHAnsi" w:cstheme="minorHAnsi"/>
              </w:rPr>
            </w:pPr>
            <w:r w:rsidRPr="00C62C01">
              <w:rPr>
                <w:rFonts w:asciiTheme="minorHAnsi" w:eastAsia="Calibri" w:hAnsiTheme="minorHAnsi" w:cstheme="minorHAnsi"/>
                <w:sz w:val="21"/>
                <w:szCs w:val="21"/>
              </w:rPr>
              <w:t>Reopening a closed period cascades to every later closed period, which then needs its own checklist redone — reopening is never an isolated, single-period action.</w:t>
            </w:r>
          </w:p>
          <w:p w14:paraId="60FB59EF" w14:textId="77777777" w:rsidR="00CE3C80" w:rsidRPr="00C62C01" w:rsidRDefault="001F3DB0">
            <w:pPr>
              <w:pStyle w:val="ListParagraph"/>
              <w:numPr>
                <w:ilvl w:val="0"/>
                <w:numId w:val="1"/>
              </w:numPr>
              <w:spacing w:after="100" w:line="270" w:lineRule="auto"/>
              <w:rPr>
                <w:rFonts w:asciiTheme="minorHAnsi" w:hAnsiTheme="minorHAnsi" w:cstheme="minorHAnsi"/>
              </w:rPr>
            </w:pPr>
            <w:r w:rsidRPr="00C62C01">
              <w:rPr>
                <w:rFonts w:asciiTheme="minorHAnsi" w:eastAsia="Calibri" w:hAnsiTheme="minorHAnsi" w:cstheme="minorHAnsi"/>
                <w:sz w:val="21"/>
                <w:szCs w:val="21"/>
              </w:rPr>
              <w:t>Year-end closing needs no separate action beyond closing every period in the year; Automatic Close is the strongly recommended method over manual zeroing journal entries.</w:t>
            </w:r>
          </w:p>
          <w:p w14:paraId="60FB59F0" w14:textId="77777777" w:rsidR="00CE3C80" w:rsidRPr="00C62C01" w:rsidRDefault="001F3DB0">
            <w:pPr>
              <w:pStyle w:val="ListParagraph"/>
              <w:numPr>
                <w:ilvl w:val="0"/>
                <w:numId w:val="1"/>
              </w:numPr>
              <w:spacing w:after="100" w:line="270" w:lineRule="auto"/>
              <w:rPr>
                <w:rFonts w:asciiTheme="minorHAnsi" w:hAnsiTheme="minorHAnsi" w:cstheme="minorHAnsi"/>
              </w:rPr>
            </w:pPr>
            <w:proofErr w:type="spellStart"/>
            <w:r w:rsidRPr="00C62C01">
              <w:rPr>
                <w:rFonts w:asciiTheme="minorHAnsi" w:eastAsia="Calibri" w:hAnsiTheme="minorHAnsi" w:cstheme="minorHAnsi"/>
                <w:sz w:val="21"/>
                <w:szCs w:val="21"/>
              </w:rPr>
              <w:t>SuiteScript</w:t>
            </w:r>
            <w:proofErr w:type="spellEnd"/>
            <w:r w:rsidRPr="00C62C01">
              <w:rPr>
                <w:rFonts w:asciiTheme="minorHAnsi" w:eastAsia="Calibri" w:hAnsiTheme="minorHAnsi" w:cstheme="minorHAnsi"/>
                <w:sz w:val="21"/>
                <w:szCs w:val="21"/>
              </w:rPr>
              <w:t xml:space="preserve"> reads period status through the </w:t>
            </w:r>
            <w:proofErr w:type="spellStart"/>
            <w:r w:rsidRPr="00C62C01">
              <w:rPr>
                <w:rFonts w:asciiTheme="minorHAnsi" w:eastAsia="Calibri" w:hAnsiTheme="minorHAnsi" w:cstheme="minorHAnsi"/>
                <w:sz w:val="21"/>
                <w:szCs w:val="21"/>
              </w:rPr>
              <w:t>accountingperiod</w:t>
            </w:r>
            <w:proofErr w:type="spellEnd"/>
            <w:r w:rsidRPr="00C62C01">
              <w:rPr>
                <w:rFonts w:asciiTheme="minorHAnsi" w:eastAsia="Calibri" w:hAnsiTheme="minorHAnsi" w:cstheme="minorHAnsi"/>
                <w:sz w:val="21"/>
                <w:szCs w:val="21"/>
              </w:rPr>
              <w:t xml:space="preserve"> record's closed field via N/record or N/search — </w:t>
            </w:r>
            <w:proofErr w:type="spellStart"/>
            <w:r w:rsidRPr="00C62C01">
              <w:rPr>
                <w:rFonts w:asciiTheme="minorHAnsi" w:eastAsia="Calibri" w:hAnsiTheme="minorHAnsi" w:cstheme="minorHAnsi"/>
                <w:sz w:val="21"/>
                <w:szCs w:val="21"/>
              </w:rPr>
              <w:t>behavior</w:t>
            </w:r>
            <w:proofErr w:type="spellEnd"/>
            <w:r w:rsidRPr="00C62C01">
              <w:rPr>
                <w:rFonts w:asciiTheme="minorHAnsi" w:eastAsia="Calibri" w:hAnsiTheme="minorHAnsi" w:cstheme="minorHAnsi"/>
                <w:sz w:val="21"/>
                <w:szCs w:val="21"/>
              </w:rPr>
              <w:t xml:space="preserve"> differs once Extended Accounting Period Close Process is enabled for Multi-Book Accounting, so that distinction should be confirmed per account before scripts depend on it.</w:t>
            </w:r>
          </w:p>
          <w:p w14:paraId="60FB59F1" w14:textId="77777777" w:rsidR="00CE3C80" w:rsidRPr="00C62C01" w:rsidRDefault="001F3DB0">
            <w:pPr>
              <w:pStyle w:val="ListParagraph"/>
              <w:numPr>
                <w:ilvl w:val="0"/>
                <w:numId w:val="1"/>
              </w:numPr>
              <w:spacing w:after="100" w:line="270" w:lineRule="auto"/>
              <w:rPr>
                <w:rFonts w:asciiTheme="minorHAnsi" w:hAnsiTheme="minorHAnsi" w:cstheme="minorHAnsi"/>
              </w:rPr>
            </w:pPr>
            <w:r w:rsidRPr="00C62C01">
              <w:rPr>
                <w:rFonts w:asciiTheme="minorHAnsi" w:eastAsia="Calibri" w:hAnsiTheme="minorHAnsi" w:cstheme="minorHAnsi"/>
                <w:sz w:val="21"/>
                <w:szCs w:val="21"/>
              </w:rPr>
              <w:t>This document intentionally keeps to the publicly documented Oracle NetSuite accounting period and close-process architecture and does not reference any organization-specific configuration.</w:t>
            </w:r>
          </w:p>
        </w:tc>
      </w:tr>
    </w:tbl>
    <w:p w14:paraId="60FB59F3" w14:textId="77777777" w:rsidR="001F3DB0" w:rsidRPr="00C62C01" w:rsidRDefault="001F3DB0">
      <w:pPr>
        <w:rPr>
          <w:rFonts w:asciiTheme="minorHAnsi" w:hAnsiTheme="minorHAnsi" w:cstheme="minorHAnsi"/>
        </w:rPr>
      </w:pPr>
    </w:p>
    <w:sectPr w:rsidR="001F3DB0" w:rsidRPr="00C62C01" w:rsidSect="009369AF">
      <w:headerReference w:type="even" r:id="rId8"/>
      <w:headerReference w:type="default" r:id="rId9"/>
      <w:footerReference w:type="default" r:id="rId10"/>
      <w:headerReference w:type="first" r:id="rId11"/>
      <w:pgSz w:w="12240" w:h="15840"/>
      <w:pgMar w:top="1000" w:right="1100" w:bottom="1000" w:left="110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974DC4" w14:textId="77777777" w:rsidR="001F3DB0" w:rsidRDefault="001F3DB0" w:rsidP="001B0483">
      <w:r>
        <w:separator/>
      </w:r>
    </w:p>
  </w:endnote>
  <w:endnote w:type="continuationSeparator" w:id="0">
    <w:p w14:paraId="731B364F" w14:textId="77777777" w:rsidR="001F3DB0" w:rsidRDefault="001F3DB0" w:rsidP="001B0483">
      <w:r>
        <w:continuationSeparator/>
      </w:r>
    </w:p>
  </w:endnote>
  <w:endnote w:type="continuationNotice" w:id="1">
    <w:p w14:paraId="7EEC013B" w14:textId="77777777" w:rsidR="004E4528" w:rsidRDefault="00F94B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4CF078" w14:textId="77777777" w:rsidR="001F3DB0" w:rsidRDefault="001F3DB0">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37D7C657" w14:textId="77777777" w:rsidR="001F3DB0" w:rsidRDefault="001F3D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9A3A2B" w14:textId="77777777" w:rsidR="001F3DB0" w:rsidRDefault="001F3DB0" w:rsidP="001B0483">
      <w:r>
        <w:separator/>
      </w:r>
    </w:p>
  </w:footnote>
  <w:footnote w:type="continuationSeparator" w:id="0">
    <w:p w14:paraId="77FEF604" w14:textId="77777777" w:rsidR="001F3DB0" w:rsidRDefault="001F3DB0" w:rsidP="001B0483">
      <w:r>
        <w:continuationSeparator/>
      </w:r>
    </w:p>
  </w:footnote>
  <w:footnote w:type="continuationNotice" w:id="1">
    <w:p w14:paraId="0B728E99" w14:textId="77777777" w:rsidR="004E4528" w:rsidRDefault="00F94B0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5FB1CC" w14:textId="72C28CF9" w:rsidR="001F3DB0" w:rsidRDefault="00F94B0A">
    <w:pPr>
      <w:pStyle w:val="Header"/>
    </w:pPr>
    <w:r>
      <w:rPr>
        <w:noProof/>
      </w:rPr>
      <w:pict w14:anchorId="15C2F1C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2535813" o:spid="_x0000_s2050" type="#_x0000_t136" style="position:absolute;margin-left:0;margin-top:0;width:596pt;height:159.5pt;rotation:315;z-index:-251655168;mso-position-horizontal:center;mso-position-horizontal-relative:margin;mso-position-vertical:center;mso-position-vertical-relative:margin" o:allowincell="f" fillcolor="silver" stroked="f">
          <v:fill opacity=".5"/>
          <v:textpath style="font-family:&quot;Times New Roman&quot;;font-size:2in" string="WEEK 2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EC62CD" w14:textId="53A1AA3C" w:rsidR="001F3DB0" w:rsidRDefault="001F3DB0">
    <w:pPr>
      <w:pStyle w:val="Header"/>
    </w:pPr>
    <w:r>
      <w:rPr>
        <w:noProof/>
      </w:rPr>
      <w:drawing>
        <wp:inline distT="0" distB="0" distL="0" distR="0" wp14:anchorId="2479043B" wp14:editId="51A40786">
          <wp:extent cx="1342857" cy="247619"/>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342857" cy="247619"/>
                  </a:xfrm>
                  <a:prstGeom prst="rect">
                    <a:avLst/>
                  </a:prstGeom>
                </pic:spPr>
              </pic:pic>
            </a:graphicData>
          </a:graphic>
        </wp:inline>
      </w:drawing>
    </w:r>
    <w:r>
      <w:rPr>
        <w:noProof/>
      </w:rPr>
      <w:t xml:space="preserve">                                                                                                       </w:t>
    </w:r>
    <w:r>
      <w:rPr>
        <w:noProof/>
      </w:rPr>
      <w:drawing>
        <wp:inline distT="0" distB="0" distL="0" distR="0" wp14:anchorId="0A0BFF1F" wp14:editId="0946FF30">
          <wp:extent cx="1723810" cy="285714"/>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1723810" cy="285714"/>
                  </a:xfrm>
                  <a:prstGeom prst="rect">
                    <a:avLst/>
                  </a:prstGeom>
                </pic:spPr>
              </pic:pic>
            </a:graphicData>
          </a:graphic>
        </wp:inline>
      </w:drawing>
    </w:r>
    <w:r w:rsidR="00F94B0A">
      <w:rPr>
        <w:noProof/>
      </w:rPr>
      <w:pict w14:anchorId="186B7B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2535814" o:spid="_x0000_s2051" type="#_x0000_t136" style="position:absolute;margin-left:0;margin-top:0;width:596pt;height:159.5pt;rotation:315;z-index:-251653120;mso-position-horizontal:center;mso-position-horizontal-relative:margin;mso-position-vertical:center;mso-position-vertical-relative:margin" o:allowincell="f" fillcolor="silver" stroked="f">
          <v:fill opacity=".5"/>
          <v:textpath style="font-family:&quot;Times New Roman&quot;;font-size:2in" string="WEEK 24"/>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BDC7D" w14:textId="03F5575F" w:rsidR="001F3DB0" w:rsidRDefault="00F94B0A">
    <w:pPr>
      <w:pStyle w:val="Header"/>
    </w:pPr>
    <w:r>
      <w:rPr>
        <w:noProof/>
      </w:rPr>
      <w:pict w14:anchorId="76C523A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2535812" o:spid="_x0000_s2049" type="#_x0000_t136" style="position:absolute;margin-left:0;margin-top:0;width:596pt;height:159.5pt;rotation:315;z-index:-251657216;mso-position-horizontal:center;mso-position-horizontal-relative:margin;mso-position-vertical:center;mso-position-vertical-relative:margin" o:allowincell="f" fillcolor="silver" stroked="f">
          <v:fill opacity=".5"/>
          <v:textpath style="font-family:&quot;Times New Roman&quot;;font-size:2in" string="WEEK 2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8F0FD9"/>
    <w:multiLevelType w:val="hybridMultilevel"/>
    <w:tmpl w:val="434ADA34"/>
    <w:lvl w:ilvl="0" w:tplc="B7D86CEA">
      <w:start w:val="1"/>
      <w:numFmt w:val="bullet"/>
      <w:lvlText w:val="●"/>
      <w:lvlJc w:val="left"/>
      <w:pPr>
        <w:ind w:left="720" w:hanging="360"/>
      </w:pPr>
    </w:lvl>
    <w:lvl w:ilvl="1" w:tplc="B03C6960">
      <w:start w:val="1"/>
      <w:numFmt w:val="bullet"/>
      <w:lvlText w:val="○"/>
      <w:lvlJc w:val="left"/>
      <w:pPr>
        <w:ind w:left="1440" w:hanging="360"/>
      </w:pPr>
    </w:lvl>
    <w:lvl w:ilvl="2" w:tplc="FD565B6C">
      <w:start w:val="1"/>
      <w:numFmt w:val="bullet"/>
      <w:lvlText w:val="■"/>
      <w:lvlJc w:val="left"/>
      <w:pPr>
        <w:ind w:left="2160" w:hanging="360"/>
      </w:pPr>
    </w:lvl>
    <w:lvl w:ilvl="3" w:tplc="A71E9390">
      <w:start w:val="1"/>
      <w:numFmt w:val="bullet"/>
      <w:lvlText w:val="●"/>
      <w:lvlJc w:val="left"/>
      <w:pPr>
        <w:ind w:left="2880" w:hanging="360"/>
      </w:pPr>
    </w:lvl>
    <w:lvl w:ilvl="4" w:tplc="7CD8117C">
      <w:start w:val="1"/>
      <w:numFmt w:val="bullet"/>
      <w:lvlText w:val="○"/>
      <w:lvlJc w:val="left"/>
      <w:pPr>
        <w:ind w:left="3600" w:hanging="360"/>
      </w:pPr>
    </w:lvl>
    <w:lvl w:ilvl="5" w:tplc="38706888">
      <w:start w:val="1"/>
      <w:numFmt w:val="bullet"/>
      <w:lvlText w:val="■"/>
      <w:lvlJc w:val="left"/>
      <w:pPr>
        <w:ind w:left="4320" w:hanging="360"/>
      </w:pPr>
    </w:lvl>
    <w:lvl w:ilvl="6" w:tplc="AC1639EA">
      <w:start w:val="1"/>
      <w:numFmt w:val="bullet"/>
      <w:lvlText w:val="●"/>
      <w:lvlJc w:val="left"/>
      <w:pPr>
        <w:ind w:left="5040" w:hanging="360"/>
      </w:pPr>
    </w:lvl>
    <w:lvl w:ilvl="7" w:tplc="3A540FE0">
      <w:start w:val="1"/>
      <w:numFmt w:val="bullet"/>
      <w:lvlText w:val="●"/>
      <w:lvlJc w:val="left"/>
      <w:pPr>
        <w:ind w:left="5760" w:hanging="360"/>
      </w:pPr>
    </w:lvl>
    <w:lvl w:ilvl="8" w:tplc="4822C57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C80"/>
    <w:rsid w:val="00000A24"/>
    <w:rsid w:val="00057997"/>
    <w:rsid w:val="000B7638"/>
    <w:rsid w:val="001B0483"/>
    <w:rsid w:val="001F3DB0"/>
    <w:rsid w:val="00376027"/>
    <w:rsid w:val="00417DDA"/>
    <w:rsid w:val="00484342"/>
    <w:rsid w:val="00510730"/>
    <w:rsid w:val="00532AB4"/>
    <w:rsid w:val="00564863"/>
    <w:rsid w:val="006C01CF"/>
    <w:rsid w:val="006F13F4"/>
    <w:rsid w:val="0078351C"/>
    <w:rsid w:val="00803226"/>
    <w:rsid w:val="00824912"/>
    <w:rsid w:val="008373BB"/>
    <w:rsid w:val="00882B4B"/>
    <w:rsid w:val="008B5728"/>
    <w:rsid w:val="008E1479"/>
    <w:rsid w:val="009369AF"/>
    <w:rsid w:val="009F670D"/>
    <w:rsid w:val="00A6286F"/>
    <w:rsid w:val="00A73C47"/>
    <w:rsid w:val="00A84176"/>
    <w:rsid w:val="00BB523F"/>
    <w:rsid w:val="00BC39A4"/>
    <w:rsid w:val="00C62C01"/>
    <w:rsid w:val="00CB0742"/>
    <w:rsid w:val="00CD34BC"/>
    <w:rsid w:val="00CE3C80"/>
    <w:rsid w:val="00D604E4"/>
    <w:rsid w:val="00D77F63"/>
    <w:rsid w:val="00DD0182"/>
    <w:rsid w:val="00E16777"/>
    <w:rsid w:val="00E63CFC"/>
    <w:rsid w:val="00F41DA3"/>
    <w:rsid w:val="00F94B0A"/>
    <w:rsid w:val="00FC49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0FB58EE"/>
  <w15:docId w15:val="{549FBED4-28FC-4966-A774-E7601FA40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B0483"/>
    <w:pPr>
      <w:tabs>
        <w:tab w:val="center" w:pos="4513"/>
        <w:tab w:val="right" w:pos="9026"/>
      </w:tabs>
    </w:pPr>
  </w:style>
  <w:style w:type="character" w:customStyle="1" w:styleId="HeaderChar">
    <w:name w:val="Header Char"/>
    <w:basedOn w:val="DefaultParagraphFont"/>
    <w:link w:val="Header"/>
    <w:uiPriority w:val="99"/>
    <w:rsid w:val="001B0483"/>
  </w:style>
  <w:style w:type="paragraph" w:styleId="Footer">
    <w:name w:val="footer"/>
    <w:basedOn w:val="Normal"/>
    <w:link w:val="FooterChar"/>
    <w:uiPriority w:val="99"/>
    <w:unhideWhenUsed/>
    <w:rsid w:val="001B0483"/>
    <w:pPr>
      <w:tabs>
        <w:tab w:val="center" w:pos="4513"/>
        <w:tab w:val="right" w:pos="9026"/>
      </w:tabs>
    </w:pPr>
  </w:style>
  <w:style w:type="character" w:customStyle="1" w:styleId="FooterChar">
    <w:name w:val="Footer Char"/>
    <w:basedOn w:val="DefaultParagraphFont"/>
    <w:link w:val="Footer"/>
    <w:uiPriority w:val="99"/>
    <w:rsid w:val="001B0483"/>
  </w:style>
  <w:style w:type="paragraph" w:styleId="Revision">
    <w:name w:val="Revision"/>
    <w:hidden/>
    <w:uiPriority w:val="99"/>
    <w:semiHidden/>
    <w:rsid w:val="002B6A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13</Pages>
  <Words>3117</Words>
  <Characters>17767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Mohite</cp:lastModifiedBy>
  <cp:revision>79</cp:revision>
  <dcterms:created xsi:type="dcterms:W3CDTF">2026-08-01T06:50:00Z</dcterms:created>
  <dcterms:modified xsi:type="dcterms:W3CDTF">2026-08-01T07:25:00Z</dcterms:modified>
</cp:coreProperties>
</file>