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72EE" w14:textId="77777777" w:rsidR="00096689" w:rsidRDefault="00096689">
      <w:pPr>
        <w:rPr>
          <w:noProof/>
        </w:rPr>
      </w:pPr>
    </w:p>
    <w:tbl>
      <w:tblPr>
        <w:tblpPr w:leftFromText="180" w:rightFromText="180" w:horzAnchor="margin" w:tblpY="420"/>
        <w:tblW w:w="10308" w:type="dxa"/>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CellMar>
          <w:left w:w="10" w:type="dxa"/>
          <w:right w:w="10" w:type="dxa"/>
        </w:tblCellMar>
        <w:tblLook w:val="04A0" w:firstRow="1" w:lastRow="0" w:firstColumn="1" w:lastColumn="0" w:noHBand="0" w:noVBand="1"/>
      </w:tblPr>
      <w:tblGrid>
        <w:gridCol w:w="10308"/>
      </w:tblGrid>
      <w:tr w:rsidR="00096689" w:rsidRPr="00096689" w14:paraId="53329E58" w14:textId="77777777" w:rsidTr="00BD50E6">
        <w:trPr>
          <w:trHeight w:val="1709"/>
        </w:trPr>
        <w:tc>
          <w:tcPr>
            <w:tcW w:w="10308" w:type="dxa"/>
            <w:tcBorders>
              <w:top w:val="single" w:sz="4" w:space="0" w:color="1F3864"/>
              <w:left w:val="single" w:sz="4" w:space="0" w:color="1F3864"/>
              <w:bottom w:val="single" w:sz="4" w:space="0" w:color="1F3864"/>
              <w:right w:val="single" w:sz="4" w:space="0" w:color="1F3864"/>
            </w:tcBorders>
            <w:shd w:val="clear" w:color="auto" w:fill="1F3864"/>
            <w:tcMar>
              <w:top w:w="350" w:type="dxa"/>
              <w:left w:w="300" w:type="dxa"/>
              <w:bottom w:w="350" w:type="dxa"/>
              <w:right w:w="300" w:type="dxa"/>
            </w:tcMar>
            <w:hideMark/>
          </w:tcPr>
          <w:p w14:paraId="34E37835" w14:textId="77777777" w:rsidR="00096689" w:rsidRPr="00073099" w:rsidRDefault="00096689" w:rsidP="00D80582">
            <w:pPr>
              <w:jc w:val="center"/>
              <w:rPr>
                <w:noProof/>
                <w:sz w:val="36"/>
                <w:szCs w:val="36"/>
              </w:rPr>
            </w:pPr>
            <w:r w:rsidRPr="00073099">
              <w:rPr>
                <w:b/>
                <w:bCs/>
                <w:noProof/>
                <w:sz w:val="36"/>
                <w:szCs w:val="36"/>
              </w:rPr>
              <w:t>GST, HSN, SAC Deep Dive</w:t>
            </w:r>
          </w:p>
          <w:p w14:paraId="15876618" w14:textId="77777777" w:rsidR="00096689" w:rsidRPr="00073099" w:rsidRDefault="00096689" w:rsidP="00D80582">
            <w:pPr>
              <w:jc w:val="center"/>
              <w:rPr>
                <w:noProof/>
                <w:sz w:val="28"/>
                <w:szCs w:val="28"/>
              </w:rPr>
            </w:pPr>
            <w:r w:rsidRPr="00073099">
              <w:rPr>
                <w:noProof/>
                <w:sz w:val="28"/>
                <w:szCs w:val="28"/>
              </w:rPr>
              <w:t>India Localization SuiteTax Engine, GST Tax Types, HSN/SAC Classification, Tax Rate Rules, and SuiteScript Tax Automation</w:t>
            </w:r>
          </w:p>
          <w:p w14:paraId="06645C39" w14:textId="77777777" w:rsidR="00096689" w:rsidRPr="00096689" w:rsidRDefault="00096689" w:rsidP="00D80582">
            <w:pPr>
              <w:jc w:val="center"/>
              <w:rPr>
                <w:noProof/>
              </w:rPr>
            </w:pPr>
            <w:r w:rsidRPr="00073099">
              <w:rPr>
                <w:b/>
                <w:bCs/>
                <w:noProof/>
                <w:sz w:val="32"/>
                <w:szCs w:val="32"/>
              </w:rPr>
              <w:t>Weekly Learning Series — Week 22</w:t>
            </w:r>
          </w:p>
        </w:tc>
      </w:tr>
    </w:tbl>
    <w:p w14:paraId="12AC31EC" w14:textId="77777777" w:rsidR="00096689" w:rsidRDefault="00096689">
      <w:pPr>
        <w:rPr>
          <w:noProof/>
        </w:rPr>
      </w:pPr>
    </w:p>
    <w:p w14:paraId="49318A11" w14:textId="77777777" w:rsidR="00096689" w:rsidRDefault="00096689">
      <w:pPr>
        <w:rPr>
          <w:noProof/>
        </w:rPr>
      </w:pPr>
    </w:p>
    <w:p w14:paraId="0D29F968" w14:textId="7E1ECAF9" w:rsidR="00B4496E" w:rsidRPr="00F67E6B" w:rsidRDefault="00096689">
      <w:pPr>
        <w:rPr>
          <w:rFonts w:asciiTheme="minorHAnsi" w:hAnsiTheme="minorHAnsi" w:cstheme="minorHAnsi"/>
        </w:rPr>
      </w:pPr>
      <w:r>
        <w:rPr>
          <w:noProof/>
        </w:rPr>
        <w:drawing>
          <wp:inline distT="0" distB="0" distL="0" distR="0" wp14:anchorId="60D5F5AD" wp14:editId="6A5C541F">
            <wp:extent cx="6400800" cy="5071110"/>
            <wp:effectExtent l="19050" t="19050" r="19050" b="15240"/>
            <wp:docPr id="243034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071110"/>
                    </a:xfrm>
                    <a:prstGeom prst="rect">
                      <a:avLst/>
                    </a:prstGeom>
                    <a:noFill/>
                    <a:ln w="19050">
                      <a:solidFill>
                        <a:schemeClr val="tx1"/>
                      </a:solidFill>
                    </a:ln>
                  </pic:spPr>
                </pic:pic>
              </a:graphicData>
            </a:graphic>
          </wp:inline>
        </w:drawing>
      </w:r>
      <w:r w:rsidR="00BF14D3" w:rsidRPr="00F67E6B">
        <w:rPr>
          <w:rFonts w:asciiTheme="minorHAnsi" w:hAnsiTheme="minorHAnsi" w:cstheme="minorHAnsi"/>
        </w:rPr>
        <w:br w:type="page"/>
      </w:r>
    </w:p>
    <w:p w14:paraId="0D29F969"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1. Introduction</w:t>
      </w:r>
    </w:p>
    <w:p w14:paraId="0D29F96A"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Week 21 covered NetSuite's two tax architectures — legacy tax and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 and established that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hands calculation to a pluggable Tax Engine per nexus. For India, that engine is 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w:t>
      </w:r>
      <w:proofErr w:type="spellStart"/>
      <w:r w:rsidRPr="00F67E6B">
        <w:rPr>
          <w:rFonts w:asciiTheme="minorHAnsi" w:hAnsiTheme="minorHAnsi" w:cstheme="minorHAnsi"/>
        </w:rPr>
        <w:t>SuiteApp</w:t>
      </w:r>
      <w:proofErr w:type="spellEnd"/>
      <w:r w:rsidRPr="00F67E6B">
        <w:rPr>
          <w:rFonts w:asciiTheme="minorHAnsi" w:hAnsiTheme="minorHAnsi" w:cstheme="minorHAnsi"/>
        </w:rPr>
        <w:t xml:space="preserve">, a certified NetSuite-built plug-in that implements the India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interface specifically to support Goods and Services Tax (GST), Tax Deduction at Source (TDS), Tax Collection at Source (TCS), e-Invoicing, and E-Way Bill compliance for Indian subsidiaries.</w:t>
      </w:r>
    </w:p>
    <w:p w14:paraId="0D29F96B"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GST itself is a single, multi-stage, destination-based tax that applies from manufacturer to consumer, charged at every step of value addition, with sellers collecting it from buyers and remitting it to the government. Within NetSuite, 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calculates GST on sales and purchase transactions, and the classification layer that drives which rate applies to a given line — goods or services — is built on HSN and SAC codes. This document goes one level deeper than Week 21's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overview and focuses specifically on how GST, HSN, and SAC codes, and India GST tax rate rules fit together, and how SuiteScript 2.1 can read and validate that data.</w:t>
      </w:r>
    </w:p>
    <w:tbl>
      <w:tblPr>
        <w:tblW w:w="935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9350"/>
      </w:tblGrid>
      <w:tr w:rsidR="00B4496E" w:rsidRPr="00F67E6B" w14:paraId="0D29F971" w14:textId="77777777">
        <w:tc>
          <w:tcPr>
            <w:tcW w:w="9350" w:type="dxa"/>
            <w:shd w:val="clear" w:color="auto" w:fill="EAF1FB"/>
            <w:tcMar>
              <w:top w:w="150" w:type="dxa"/>
              <w:left w:w="200" w:type="dxa"/>
              <w:bottom w:w="150" w:type="dxa"/>
              <w:right w:w="200" w:type="dxa"/>
            </w:tcMar>
          </w:tcPr>
          <w:p w14:paraId="0D29F96C" w14:textId="77777777" w:rsidR="00B4496E" w:rsidRPr="00F67E6B" w:rsidRDefault="00BF14D3">
            <w:pPr>
              <w:spacing w:after="100"/>
              <w:rPr>
                <w:rFonts w:asciiTheme="minorHAnsi" w:hAnsiTheme="minorHAnsi" w:cstheme="minorHAnsi"/>
              </w:rPr>
            </w:pPr>
            <w:r w:rsidRPr="00F67E6B">
              <w:rPr>
                <w:rFonts w:ascii="Segoe UI Emoji" w:hAnsi="Segoe UI Emoji" w:cs="Segoe UI Emoji"/>
                <w:b/>
                <w:bCs/>
                <w:color w:val="1F3864"/>
              </w:rPr>
              <w:t>📌</w:t>
            </w:r>
            <w:r w:rsidRPr="00F67E6B">
              <w:rPr>
                <w:rFonts w:asciiTheme="minorHAnsi" w:hAnsiTheme="minorHAnsi" w:cstheme="minorHAnsi"/>
                <w:b/>
                <w:bCs/>
                <w:color w:val="1F3864"/>
              </w:rPr>
              <w:t xml:space="preserve"> Why HSN/SAC Matters Beyond Classification</w:t>
            </w:r>
          </w:p>
          <w:p w14:paraId="0D29F96D"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 xml:space="preserve">An HSN or SAC code is not just a label — in NetSuite's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the code selected on a transaction line is the key the engine uses to look up the applicable GST Tax Rate Rule</w:t>
            </w:r>
          </w:p>
          <w:p w14:paraId="0D29F96E"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Every taxable line on a GST transaction must have an HSN or SAC code assigned before tax can be calculated — there is no fallback rate</w:t>
            </w:r>
          </w:p>
          <w:p w14:paraId="0D29F96F"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HSN codes classify goods; SAC codes classify services — SAC is based on the same internationally recognized HSN classification system</w:t>
            </w:r>
          </w:p>
          <w:p w14:paraId="0D29F970"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HSN/SAC codes also feed statutory reporting directly — the HSN Summary section of the GSTR-1 return is populated from the codes used on sales transactions</w:t>
            </w:r>
          </w:p>
        </w:tc>
      </w:tr>
    </w:tbl>
    <w:p w14:paraId="0D29F972" w14:textId="77777777" w:rsidR="00B4496E" w:rsidRPr="00F67E6B" w:rsidRDefault="00B4496E">
      <w:pPr>
        <w:spacing w:after="100"/>
        <w:rPr>
          <w:rFonts w:asciiTheme="minorHAnsi" w:hAnsiTheme="minorHAnsi" w:cstheme="minorHAnsi"/>
        </w:rPr>
      </w:pPr>
    </w:p>
    <w:p w14:paraId="2A7ADB72" w14:textId="77777777" w:rsidR="00627D15" w:rsidRDefault="00627D15">
      <w:pPr>
        <w:pStyle w:val="Heading2"/>
        <w:spacing w:before="300" w:after="150"/>
        <w:rPr>
          <w:rFonts w:asciiTheme="minorHAnsi" w:hAnsiTheme="minorHAnsi" w:cstheme="minorHAnsi"/>
          <w:color w:val="1F3864"/>
        </w:rPr>
      </w:pPr>
    </w:p>
    <w:p w14:paraId="56878F77" w14:textId="77777777" w:rsidR="00627D15" w:rsidRDefault="00627D15">
      <w:pPr>
        <w:pStyle w:val="Heading2"/>
        <w:spacing w:before="300" w:after="150"/>
        <w:rPr>
          <w:rFonts w:asciiTheme="minorHAnsi" w:hAnsiTheme="minorHAnsi" w:cstheme="minorHAnsi"/>
          <w:color w:val="1F3864"/>
        </w:rPr>
      </w:pPr>
    </w:p>
    <w:p w14:paraId="39064027" w14:textId="77777777" w:rsidR="00627D15" w:rsidRDefault="00627D15">
      <w:pPr>
        <w:pStyle w:val="Heading2"/>
        <w:spacing w:before="300" w:after="150"/>
        <w:rPr>
          <w:rFonts w:asciiTheme="minorHAnsi" w:hAnsiTheme="minorHAnsi" w:cstheme="minorHAnsi"/>
          <w:color w:val="1F3864"/>
        </w:rPr>
      </w:pPr>
    </w:p>
    <w:p w14:paraId="581EC2E9" w14:textId="77777777" w:rsidR="00627D15" w:rsidRDefault="00627D15">
      <w:pPr>
        <w:pStyle w:val="Heading2"/>
        <w:spacing w:before="300" w:after="150"/>
        <w:rPr>
          <w:rFonts w:asciiTheme="minorHAnsi" w:hAnsiTheme="minorHAnsi" w:cstheme="minorHAnsi"/>
          <w:color w:val="1F3864"/>
        </w:rPr>
      </w:pPr>
    </w:p>
    <w:p w14:paraId="36004C13" w14:textId="77777777" w:rsidR="00627D15" w:rsidRDefault="00627D15">
      <w:pPr>
        <w:pStyle w:val="Heading2"/>
        <w:spacing w:before="300" w:after="150"/>
        <w:rPr>
          <w:rFonts w:asciiTheme="minorHAnsi" w:hAnsiTheme="minorHAnsi" w:cstheme="minorHAnsi"/>
          <w:color w:val="1F3864"/>
        </w:rPr>
      </w:pPr>
    </w:p>
    <w:p w14:paraId="1378E50A" w14:textId="77777777" w:rsidR="00627D15" w:rsidRDefault="00627D15">
      <w:pPr>
        <w:pStyle w:val="Heading2"/>
        <w:spacing w:before="300" w:after="150"/>
        <w:rPr>
          <w:rFonts w:asciiTheme="minorHAnsi" w:hAnsiTheme="minorHAnsi" w:cstheme="minorHAnsi"/>
          <w:color w:val="1F3864"/>
        </w:rPr>
      </w:pPr>
    </w:p>
    <w:p w14:paraId="71C82C55" w14:textId="77777777" w:rsidR="00627D15" w:rsidRDefault="00627D15">
      <w:pPr>
        <w:pStyle w:val="Heading2"/>
        <w:spacing w:before="300" w:after="150"/>
        <w:rPr>
          <w:rFonts w:asciiTheme="minorHAnsi" w:hAnsiTheme="minorHAnsi" w:cstheme="minorHAnsi"/>
          <w:color w:val="1F3864"/>
        </w:rPr>
      </w:pPr>
    </w:p>
    <w:p w14:paraId="34D3F258" w14:textId="77777777" w:rsidR="00627D15" w:rsidRDefault="00627D15">
      <w:pPr>
        <w:pStyle w:val="Heading2"/>
        <w:spacing w:before="300" w:after="150"/>
        <w:rPr>
          <w:rFonts w:asciiTheme="minorHAnsi" w:hAnsiTheme="minorHAnsi" w:cstheme="minorHAnsi"/>
          <w:color w:val="1F3864"/>
        </w:rPr>
      </w:pPr>
    </w:p>
    <w:p w14:paraId="0D29F973" w14:textId="2759A321"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lastRenderedPageBreak/>
        <w:t>1.1 GST Tax Types</w:t>
      </w:r>
    </w:p>
    <w:p w14:paraId="0D29F974"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GST is categorized into four types depending on whether a transaction crosses a state boundary, and each type is tracked through its own tax type/tax code pairing in NetSuite so it posts to the correct GL account: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4500"/>
        <w:gridCol w:w="2250"/>
      </w:tblGrid>
      <w:tr w:rsidR="00B4496E" w:rsidRPr="00F67E6B" w14:paraId="0D29F978" w14:textId="77777777">
        <w:trPr>
          <w:tblHeader/>
        </w:trPr>
        <w:tc>
          <w:tcPr>
            <w:tcW w:w="2600" w:type="dxa"/>
            <w:shd w:val="clear" w:color="auto" w:fill="1F3864"/>
            <w:tcMar>
              <w:top w:w="100" w:type="dxa"/>
              <w:left w:w="120" w:type="dxa"/>
              <w:bottom w:w="100" w:type="dxa"/>
              <w:right w:w="120" w:type="dxa"/>
            </w:tcMar>
            <w:vAlign w:val="center"/>
          </w:tcPr>
          <w:p w14:paraId="0D29F975"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Tax Type</w:t>
            </w:r>
          </w:p>
        </w:tc>
        <w:tc>
          <w:tcPr>
            <w:tcW w:w="4500" w:type="dxa"/>
            <w:shd w:val="clear" w:color="auto" w:fill="1F3864"/>
            <w:tcMar>
              <w:top w:w="100" w:type="dxa"/>
              <w:left w:w="120" w:type="dxa"/>
              <w:bottom w:w="100" w:type="dxa"/>
              <w:right w:w="120" w:type="dxa"/>
            </w:tcMar>
            <w:vAlign w:val="center"/>
          </w:tcPr>
          <w:p w14:paraId="0D29F976"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Applies To</w:t>
            </w:r>
          </w:p>
        </w:tc>
        <w:tc>
          <w:tcPr>
            <w:tcW w:w="2250" w:type="dxa"/>
            <w:shd w:val="clear" w:color="auto" w:fill="1F3864"/>
            <w:tcMar>
              <w:top w:w="100" w:type="dxa"/>
              <w:left w:w="120" w:type="dxa"/>
              <w:bottom w:w="100" w:type="dxa"/>
              <w:right w:w="120" w:type="dxa"/>
            </w:tcMar>
            <w:vAlign w:val="center"/>
          </w:tcPr>
          <w:p w14:paraId="0D29F977"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Collected By</w:t>
            </w:r>
          </w:p>
        </w:tc>
      </w:tr>
      <w:tr w:rsidR="00B4496E" w:rsidRPr="00F67E6B" w14:paraId="0D29F97C" w14:textId="77777777">
        <w:tc>
          <w:tcPr>
            <w:tcW w:w="2600" w:type="dxa"/>
            <w:shd w:val="clear" w:color="auto" w:fill="FFFFFF"/>
            <w:tcMar>
              <w:top w:w="90" w:type="dxa"/>
              <w:left w:w="120" w:type="dxa"/>
              <w:bottom w:w="90" w:type="dxa"/>
              <w:right w:w="120" w:type="dxa"/>
            </w:tcMar>
            <w:vAlign w:val="center"/>
          </w:tcPr>
          <w:p w14:paraId="0D29F97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State GST (SGST)</w:t>
            </w:r>
          </w:p>
        </w:tc>
        <w:tc>
          <w:tcPr>
            <w:tcW w:w="4500" w:type="dxa"/>
            <w:shd w:val="clear" w:color="auto" w:fill="FFFFFF"/>
            <w:tcMar>
              <w:top w:w="90" w:type="dxa"/>
              <w:left w:w="120" w:type="dxa"/>
              <w:bottom w:w="90" w:type="dxa"/>
              <w:right w:w="120" w:type="dxa"/>
            </w:tcMar>
            <w:vAlign w:val="center"/>
          </w:tcPr>
          <w:p w14:paraId="0D29F97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Sales within a state</w:t>
            </w:r>
          </w:p>
        </w:tc>
        <w:tc>
          <w:tcPr>
            <w:tcW w:w="2250" w:type="dxa"/>
            <w:shd w:val="clear" w:color="auto" w:fill="FFFFFF"/>
            <w:tcMar>
              <w:top w:w="90" w:type="dxa"/>
              <w:left w:w="120" w:type="dxa"/>
              <w:bottom w:w="90" w:type="dxa"/>
              <w:right w:w="120" w:type="dxa"/>
            </w:tcMar>
            <w:vAlign w:val="center"/>
          </w:tcPr>
          <w:p w14:paraId="0D29F97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State government</w:t>
            </w:r>
          </w:p>
        </w:tc>
      </w:tr>
      <w:tr w:rsidR="00B4496E" w:rsidRPr="00F67E6B" w14:paraId="0D29F980" w14:textId="77777777">
        <w:tc>
          <w:tcPr>
            <w:tcW w:w="2600" w:type="dxa"/>
            <w:shd w:val="clear" w:color="auto" w:fill="F2F2F2"/>
            <w:tcMar>
              <w:top w:w="90" w:type="dxa"/>
              <w:left w:w="120" w:type="dxa"/>
              <w:bottom w:w="90" w:type="dxa"/>
              <w:right w:w="120" w:type="dxa"/>
            </w:tcMar>
            <w:vAlign w:val="center"/>
          </w:tcPr>
          <w:p w14:paraId="0D29F97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Central GST (CGST)</w:t>
            </w:r>
          </w:p>
        </w:tc>
        <w:tc>
          <w:tcPr>
            <w:tcW w:w="4500" w:type="dxa"/>
            <w:shd w:val="clear" w:color="auto" w:fill="F2F2F2"/>
            <w:tcMar>
              <w:top w:w="90" w:type="dxa"/>
              <w:left w:w="120" w:type="dxa"/>
              <w:bottom w:w="90" w:type="dxa"/>
              <w:right w:w="120" w:type="dxa"/>
            </w:tcMar>
            <w:vAlign w:val="center"/>
          </w:tcPr>
          <w:p w14:paraId="0D29F97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Supplies within a state</w:t>
            </w:r>
          </w:p>
        </w:tc>
        <w:tc>
          <w:tcPr>
            <w:tcW w:w="2250" w:type="dxa"/>
            <w:shd w:val="clear" w:color="auto" w:fill="F2F2F2"/>
            <w:tcMar>
              <w:top w:w="90" w:type="dxa"/>
              <w:left w:w="120" w:type="dxa"/>
              <w:bottom w:w="90" w:type="dxa"/>
              <w:right w:w="120" w:type="dxa"/>
            </w:tcMar>
            <w:vAlign w:val="center"/>
          </w:tcPr>
          <w:p w14:paraId="0D29F97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Central government</w:t>
            </w:r>
          </w:p>
        </w:tc>
      </w:tr>
      <w:tr w:rsidR="00B4496E" w:rsidRPr="00F67E6B" w14:paraId="0D29F984" w14:textId="77777777">
        <w:tc>
          <w:tcPr>
            <w:tcW w:w="2600" w:type="dxa"/>
            <w:shd w:val="clear" w:color="auto" w:fill="FFFFFF"/>
            <w:tcMar>
              <w:top w:w="90" w:type="dxa"/>
              <w:left w:w="120" w:type="dxa"/>
              <w:bottom w:w="90" w:type="dxa"/>
              <w:right w:w="120" w:type="dxa"/>
            </w:tcMar>
            <w:vAlign w:val="center"/>
          </w:tcPr>
          <w:p w14:paraId="0D29F98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Union Territory GST (UTGST)</w:t>
            </w:r>
          </w:p>
        </w:tc>
        <w:tc>
          <w:tcPr>
            <w:tcW w:w="4500" w:type="dxa"/>
            <w:shd w:val="clear" w:color="auto" w:fill="FFFFFF"/>
            <w:tcMar>
              <w:top w:w="90" w:type="dxa"/>
              <w:left w:w="120" w:type="dxa"/>
              <w:bottom w:w="90" w:type="dxa"/>
              <w:right w:w="120" w:type="dxa"/>
            </w:tcMar>
            <w:vAlign w:val="center"/>
          </w:tcPr>
          <w:p w14:paraId="0D29F98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Sales within a Union Territory (e.g. Andaman and Nicobar, Daman and Diu, Chandigarh, Dadra)</w:t>
            </w:r>
          </w:p>
        </w:tc>
        <w:tc>
          <w:tcPr>
            <w:tcW w:w="2250" w:type="dxa"/>
            <w:shd w:val="clear" w:color="auto" w:fill="FFFFFF"/>
            <w:tcMar>
              <w:top w:w="90" w:type="dxa"/>
              <w:left w:w="120" w:type="dxa"/>
              <w:bottom w:w="90" w:type="dxa"/>
              <w:right w:w="120" w:type="dxa"/>
            </w:tcMar>
            <w:vAlign w:val="center"/>
          </w:tcPr>
          <w:p w14:paraId="0D29F98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Central government, on behalf of the UT</w:t>
            </w:r>
          </w:p>
        </w:tc>
      </w:tr>
      <w:tr w:rsidR="00B4496E" w:rsidRPr="00F67E6B" w14:paraId="0D29F988" w14:textId="77777777">
        <w:tc>
          <w:tcPr>
            <w:tcW w:w="2600" w:type="dxa"/>
            <w:shd w:val="clear" w:color="auto" w:fill="F2F2F2"/>
            <w:tcMar>
              <w:top w:w="90" w:type="dxa"/>
              <w:left w:w="120" w:type="dxa"/>
              <w:bottom w:w="90" w:type="dxa"/>
              <w:right w:w="120" w:type="dxa"/>
            </w:tcMar>
            <w:vAlign w:val="center"/>
          </w:tcPr>
          <w:p w14:paraId="0D29F985"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Integrated GST (IGST)</w:t>
            </w:r>
          </w:p>
        </w:tc>
        <w:tc>
          <w:tcPr>
            <w:tcW w:w="4500" w:type="dxa"/>
            <w:shd w:val="clear" w:color="auto" w:fill="F2F2F2"/>
            <w:tcMar>
              <w:top w:w="90" w:type="dxa"/>
              <w:left w:w="120" w:type="dxa"/>
              <w:bottom w:w="90" w:type="dxa"/>
              <w:right w:w="120" w:type="dxa"/>
            </w:tcMar>
            <w:vAlign w:val="center"/>
          </w:tcPr>
          <w:p w14:paraId="0D29F98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Goods or services moving between states</w:t>
            </w:r>
          </w:p>
        </w:tc>
        <w:tc>
          <w:tcPr>
            <w:tcW w:w="2250" w:type="dxa"/>
            <w:shd w:val="clear" w:color="auto" w:fill="F2F2F2"/>
            <w:tcMar>
              <w:top w:w="90" w:type="dxa"/>
              <w:left w:w="120" w:type="dxa"/>
              <w:bottom w:w="90" w:type="dxa"/>
              <w:right w:w="120" w:type="dxa"/>
            </w:tcMar>
            <w:vAlign w:val="center"/>
          </w:tcPr>
          <w:p w14:paraId="0D29F98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Central government</w:t>
            </w:r>
          </w:p>
        </w:tc>
      </w:tr>
    </w:tbl>
    <w:p w14:paraId="0D29F989" w14:textId="77777777" w:rsidR="00B4496E" w:rsidRPr="00F67E6B" w:rsidRDefault="00B4496E">
      <w:pPr>
        <w:spacing w:after="100"/>
        <w:rPr>
          <w:rFonts w:asciiTheme="minorHAnsi" w:hAnsiTheme="minorHAnsi" w:cstheme="minorHAnsi"/>
        </w:rPr>
      </w:pPr>
    </w:p>
    <w:p w14:paraId="0D29F98A"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Whether CGST/SGST (or CGST/UTGST) or IGST applies is decided by the Classification of Supply on the matching GST tax rate rule — intra-state supply splits the rate evenly between CGST and SGST/UTGST, while inter-state supply uses IGST at the full rate. This determination is covered in detail in section 3.2.</w:t>
      </w:r>
    </w:p>
    <w:p w14:paraId="0D29F98B"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1.2 GST Rate Slabs</w:t>
      </w:r>
    </w:p>
    <w:p w14:paraId="0D29F98C"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GST rates in India are organized into slabs, and the HSN or SAC code assigned to a line — combined with the GST tax rate rule built for that code — determines which slab applies: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B4496E" w:rsidRPr="00F67E6B" w14:paraId="0D29F98F" w14:textId="77777777">
        <w:trPr>
          <w:tblHeader/>
        </w:trPr>
        <w:tc>
          <w:tcPr>
            <w:tcW w:w="2400" w:type="dxa"/>
            <w:shd w:val="clear" w:color="auto" w:fill="1F3864"/>
            <w:tcMar>
              <w:top w:w="100" w:type="dxa"/>
              <w:left w:w="120" w:type="dxa"/>
              <w:bottom w:w="100" w:type="dxa"/>
              <w:right w:w="120" w:type="dxa"/>
            </w:tcMar>
            <w:vAlign w:val="center"/>
          </w:tcPr>
          <w:p w14:paraId="0D29F98D"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Slab</w:t>
            </w:r>
          </w:p>
        </w:tc>
        <w:tc>
          <w:tcPr>
            <w:tcW w:w="6950" w:type="dxa"/>
            <w:shd w:val="clear" w:color="auto" w:fill="1F3864"/>
            <w:tcMar>
              <w:top w:w="100" w:type="dxa"/>
              <w:left w:w="120" w:type="dxa"/>
              <w:bottom w:w="100" w:type="dxa"/>
              <w:right w:w="120" w:type="dxa"/>
            </w:tcMar>
            <w:vAlign w:val="center"/>
          </w:tcPr>
          <w:p w14:paraId="0D29F98E"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Typical Coverage</w:t>
            </w:r>
          </w:p>
        </w:tc>
      </w:tr>
      <w:tr w:rsidR="00B4496E" w:rsidRPr="00F67E6B" w14:paraId="0D29F992" w14:textId="77777777">
        <w:tc>
          <w:tcPr>
            <w:tcW w:w="2400" w:type="dxa"/>
            <w:shd w:val="clear" w:color="auto" w:fill="FFFFFF"/>
            <w:tcMar>
              <w:top w:w="90" w:type="dxa"/>
              <w:left w:w="120" w:type="dxa"/>
              <w:bottom w:w="90" w:type="dxa"/>
              <w:right w:w="120" w:type="dxa"/>
            </w:tcMar>
            <w:vAlign w:val="center"/>
          </w:tcPr>
          <w:p w14:paraId="0D29F99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Nil Rated</w:t>
            </w:r>
          </w:p>
        </w:tc>
        <w:tc>
          <w:tcPr>
            <w:tcW w:w="6950" w:type="dxa"/>
            <w:shd w:val="clear" w:color="auto" w:fill="FFFFFF"/>
            <w:tcMar>
              <w:top w:w="90" w:type="dxa"/>
              <w:left w:w="120" w:type="dxa"/>
              <w:bottom w:w="90" w:type="dxa"/>
              <w:right w:w="120" w:type="dxa"/>
            </w:tcMar>
            <w:vAlign w:val="center"/>
          </w:tcPr>
          <w:p w14:paraId="0D29F99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Essential goods and services</w:t>
            </w:r>
          </w:p>
        </w:tc>
      </w:tr>
      <w:tr w:rsidR="00B4496E" w:rsidRPr="00F67E6B" w14:paraId="0D29F995" w14:textId="77777777">
        <w:tc>
          <w:tcPr>
            <w:tcW w:w="2400" w:type="dxa"/>
            <w:shd w:val="clear" w:color="auto" w:fill="F2F2F2"/>
            <w:tcMar>
              <w:top w:w="90" w:type="dxa"/>
              <w:left w:w="120" w:type="dxa"/>
              <w:bottom w:w="90" w:type="dxa"/>
              <w:right w:w="120" w:type="dxa"/>
            </w:tcMar>
            <w:vAlign w:val="center"/>
          </w:tcPr>
          <w:p w14:paraId="0D29F99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Exempted (No tax)</w:t>
            </w:r>
          </w:p>
        </w:tc>
        <w:tc>
          <w:tcPr>
            <w:tcW w:w="6950" w:type="dxa"/>
            <w:shd w:val="clear" w:color="auto" w:fill="F2F2F2"/>
            <w:tcMar>
              <w:top w:w="90" w:type="dxa"/>
              <w:left w:w="120" w:type="dxa"/>
              <w:bottom w:w="90" w:type="dxa"/>
              <w:right w:w="120" w:type="dxa"/>
            </w:tcMar>
            <w:vAlign w:val="center"/>
          </w:tcPr>
          <w:p w14:paraId="0D29F994"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Supplies exempt from GST — Input Tax Credit (ITC) cannot be claimed on these</w:t>
            </w:r>
          </w:p>
        </w:tc>
      </w:tr>
      <w:tr w:rsidR="00B4496E" w:rsidRPr="00F67E6B" w14:paraId="0D29F998" w14:textId="77777777">
        <w:tc>
          <w:tcPr>
            <w:tcW w:w="2400" w:type="dxa"/>
            <w:shd w:val="clear" w:color="auto" w:fill="FFFFFF"/>
            <w:tcMar>
              <w:top w:w="90" w:type="dxa"/>
              <w:left w:w="120" w:type="dxa"/>
              <w:bottom w:w="90" w:type="dxa"/>
              <w:right w:w="120" w:type="dxa"/>
            </w:tcMar>
            <w:vAlign w:val="center"/>
          </w:tcPr>
          <w:p w14:paraId="0D29F99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5%</w:t>
            </w:r>
          </w:p>
        </w:tc>
        <w:tc>
          <w:tcPr>
            <w:tcW w:w="6950" w:type="dxa"/>
            <w:shd w:val="clear" w:color="auto" w:fill="FFFFFF"/>
            <w:tcMar>
              <w:top w:w="90" w:type="dxa"/>
              <w:left w:w="120" w:type="dxa"/>
              <w:bottom w:w="90" w:type="dxa"/>
              <w:right w:w="120" w:type="dxa"/>
            </w:tcMar>
            <w:vAlign w:val="center"/>
          </w:tcPr>
          <w:p w14:paraId="0D29F99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Goods and services in the Consumer Price Index basket and </w:t>
            </w:r>
            <w:proofErr w:type="spellStart"/>
            <w:r w:rsidRPr="00F67E6B">
              <w:rPr>
                <w:rFonts w:asciiTheme="minorHAnsi" w:hAnsiTheme="minorHAnsi" w:cstheme="minorHAnsi"/>
              </w:rPr>
              <w:t>everyday</w:t>
            </w:r>
            <w:proofErr w:type="spellEnd"/>
            <w:r w:rsidRPr="00F67E6B">
              <w:rPr>
                <w:rFonts w:asciiTheme="minorHAnsi" w:hAnsiTheme="minorHAnsi" w:cstheme="minorHAnsi"/>
              </w:rPr>
              <w:t>-use items</w:t>
            </w:r>
          </w:p>
        </w:tc>
      </w:tr>
      <w:tr w:rsidR="00B4496E" w:rsidRPr="00F67E6B" w14:paraId="0D29F99B" w14:textId="77777777">
        <w:tc>
          <w:tcPr>
            <w:tcW w:w="2400" w:type="dxa"/>
            <w:shd w:val="clear" w:color="auto" w:fill="F2F2F2"/>
            <w:tcMar>
              <w:top w:w="90" w:type="dxa"/>
              <w:left w:w="120" w:type="dxa"/>
              <w:bottom w:w="90" w:type="dxa"/>
              <w:right w:w="120" w:type="dxa"/>
            </w:tcMar>
            <w:vAlign w:val="center"/>
          </w:tcPr>
          <w:p w14:paraId="0D29F99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12% / 18%</w:t>
            </w:r>
          </w:p>
        </w:tc>
        <w:tc>
          <w:tcPr>
            <w:tcW w:w="6950" w:type="dxa"/>
            <w:shd w:val="clear" w:color="auto" w:fill="F2F2F2"/>
            <w:tcMar>
              <w:top w:w="90" w:type="dxa"/>
              <w:left w:w="120" w:type="dxa"/>
              <w:bottom w:w="90" w:type="dxa"/>
              <w:right w:w="120" w:type="dxa"/>
            </w:tcMar>
            <w:vAlign w:val="center"/>
          </w:tcPr>
          <w:p w14:paraId="0D29F99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Capital goods, industrial intermediaries, iron and steel, financial and telecom services</w:t>
            </w:r>
          </w:p>
        </w:tc>
      </w:tr>
      <w:tr w:rsidR="00B4496E" w:rsidRPr="00F67E6B" w14:paraId="0D29F99E" w14:textId="77777777">
        <w:tc>
          <w:tcPr>
            <w:tcW w:w="2400" w:type="dxa"/>
            <w:shd w:val="clear" w:color="auto" w:fill="FFFFFF"/>
            <w:tcMar>
              <w:top w:w="90" w:type="dxa"/>
              <w:left w:w="120" w:type="dxa"/>
              <w:bottom w:w="90" w:type="dxa"/>
              <w:right w:w="120" w:type="dxa"/>
            </w:tcMar>
            <w:vAlign w:val="center"/>
          </w:tcPr>
          <w:p w14:paraId="0D29F99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28%</w:t>
            </w:r>
          </w:p>
        </w:tc>
        <w:tc>
          <w:tcPr>
            <w:tcW w:w="6950" w:type="dxa"/>
            <w:shd w:val="clear" w:color="auto" w:fill="FFFFFF"/>
            <w:tcMar>
              <w:top w:w="90" w:type="dxa"/>
              <w:left w:w="120" w:type="dxa"/>
              <w:bottom w:w="90" w:type="dxa"/>
              <w:right w:w="120" w:type="dxa"/>
            </w:tcMar>
            <w:vAlign w:val="center"/>
          </w:tcPr>
          <w:p w14:paraId="0D29F99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Luxury goods and services</w:t>
            </w:r>
          </w:p>
        </w:tc>
      </w:tr>
    </w:tbl>
    <w:p w14:paraId="0D29F99F" w14:textId="77777777" w:rsidR="00B4496E" w:rsidRDefault="00B4496E">
      <w:pPr>
        <w:spacing w:after="100"/>
        <w:rPr>
          <w:rFonts w:asciiTheme="minorHAnsi" w:hAnsiTheme="minorHAnsi" w:cstheme="minorHAnsi"/>
        </w:rPr>
      </w:pPr>
    </w:p>
    <w:p w14:paraId="7F6D7639" w14:textId="77777777" w:rsidR="00886B50" w:rsidRDefault="00886B50">
      <w:pPr>
        <w:spacing w:after="100"/>
        <w:rPr>
          <w:rFonts w:asciiTheme="minorHAnsi" w:hAnsiTheme="minorHAnsi" w:cstheme="minorHAnsi"/>
        </w:rPr>
      </w:pPr>
    </w:p>
    <w:p w14:paraId="0A83307F" w14:textId="77777777" w:rsidR="00886B50" w:rsidRDefault="00886B50">
      <w:pPr>
        <w:spacing w:after="100"/>
        <w:rPr>
          <w:rFonts w:asciiTheme="minorHAnsi" w:hAnsiTheme="minorHAnsi" w:cstheme="minorHAnsi"/>
        </w:rPr>
      </w:pPr>
    </w:p>
    <w:p w14:paraId="18D50114" w14:textId="77777777" w:rsidR="00886B50" w:rsidRDefault="00886B50">
      <w:pPr>
        <w:spacing w:after="100"/>
        <w:rPr>
          <w:rFonts w:asciiTheme="minorHAnsi" w:hAnsiTheme="minorHAnsi" w:cstheme="minorHAnsi"/>
        </w:rPr>
      </w:pPr>
    </w:p>
    <w:p w14:paraId="455A9127" w14:textId="77777777" w:rsidR="00886B50" w:rsidRDefault="00886B50">
      <w:pPr>
        <w:spacing w:after="100"/>
        <w:rPr>
          <w:rFonts w:asciiTheme="minorHAnsi" w:hAnsiTheme="minorHAnsi" w:cstheme="minorHAnsi"/>
        </w:rPr>
      </w:pPr>
    </w:p>
    <w:p w14:paraId="34F15DFB" w14:textId="77777777" w:rsidR="00886B50" w:rsidRPr="00F67E6B" w:rsidRDefault="00886B50">
      <w:pPr>
        <w:spacing w:after="100"/>
        <w:rPr>
          <w:rFonts w:asciiTheme="minorHAnsi" w:hAnsiTheme="minorHAnsi" w:cstheme="minorHAnsi"/>
        </w:rPr>
      </w:pPr>
    </w:p>
    <w:p w14:paraId="0D29F9A0"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2. HSN and SAC Codes — The Classification Layer</w:t>
      </w:r>
    </w:p>
    <w:p w14:paraId="0D29F9A1"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Harmonized System of Nomenclature (HSN) and Services Accounting Codes (SAC) are the classification mechanism that decides which GST applies to each line item on a transaction. An HSN code classifies goods and sets their tax rate; a SAC code — built on the same HSN classification system — classifies services and sets their rate. By default, 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w:t>
      </w:r>
      <w:proofErr w:type="spellStart"/>
      <w:r w:rsidRPr="00F67E6B">
        <w:rPr>
          <w:rFonts w:asciiTheme="minorHAnsi" w:hAnsiTheme="minorHAnsi" w:cstheme="minorHAnsi"/>
        </w:rPr>
        <w:t>SuiteApp</w:t>
      </w:r>
      <w:proofErr w:type="spellEnd"/>
      <w:r w:rsidRPr="00F67E6B">
        <w:rPr>
          <w:rFonts w:asciiTheme="minorHAnsi" w:hAnsiTheme="minorHAnsi" w:cstheme="minorHAnsi"/>
        </w:rPr>
        <w:t xml:space="preserve"> ships with a starter set of HSN/SAC codes; administrators can create, edit, inactivate, or delete additional codes as needed.</w:t>
      </w:r>
    </w:p>
    <w:p w14:paraId="0D29F9A2"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2.1 Core Objects Around HSN/SAC</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50"/>
      </w:tblGrid>
      <w:tr w:rsidR="00B4496E" w:rsidRPr="00F67E6B" w14:paraId="0D29F9A5" w14:textId="77777777">
        <w:trPr>
          <w:tblHeader/>
        </w:trPr>
        <w:tc>
          <w:tcPr>
            <w:tcW w:w="3200" w:type="dxa"/>
            <w:shd w:val="clear" w:color="auto" w:fill="1F3864"/>
            <w:tcMar>
              <w:top w:w="100" w:type="dxa"/>
              <w:left w:w="120" w:type="dxa"/>
              <w:bottom w:w="100" w:type="dxa"/>
              <w:right w:w="120" w:type="dxa"/>
            </w:tcMar>
            <w:vAlign w:val="center"/>
          </w:tcPr>
          <w:p w14:paraId="0D29F9A3"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Object</w:t>
            </w:r>
          </w:p>
        </w:tc>
        <w:tc>
          <w:tcPr>
            <w:tcW w:w="6150" w:type="dxa"/>
            <w:shd w:val="clear" w:color="auto" w:fill="1F3864"/>
            <w:tcMar>
              <w:top w:w="100" w:type="dxa"/>
              <w:left w:w="120" w:type="dxa"/>
              <w:bottom w:w="100" w:type="dxa"/>
              <w:right w:w="120" w:type="dxa"/>
            </w:tcMar>
            <w:vAlign w:val="center"/>
          </w:tcPr>
          <w:p w14:paraId="0D29F9A4"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Role</w:t>
            </w:r>
          </w:p>
        </w:tc>
      </w:tr>
      <w:tr w:rsidR="00B4496E" w:rsidRPr="00F67E6B" w14:paraId="0D29F9A8" w14:textId="77777777">
        <w:tc>
          <w:tcPr>
            <w:tcW w:w="3200" w:type="dxa"/>
            <w:shd w:val="clear" w:color="auto" w:fill="FFFFFF"/>
            <w:tcMar>
              <w:top w:w="90" w:type="dxa"/>
              <w:left w:w="120" w:type="dxa"/>
              <w:bottom w:w="90" w:type="dxa"/>
              <w:right w:w="120" w:type="dxa"/>
            </w:tcMar>
            <w:vAlign w:val="center"/>
          </w:tcPr>
          <w:p w14:paraId="0D29F9A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India Tax HSN and SAC Codes for GST (custom record)</w:t>
            </w:r>
          </w:p>
        </w:tc>
        <w:tc>
          <w:tcPr>
            <w:tcW w:w="6150" w:type="dxa"/>
            <w:shd w:val="clear" w:color="auto" w:fill="FFFFFF"/>
            <w:tcMar>
              <w:top w:w="90" w:type="dxa"/>
              <w:left w:w="120" w:type="dxa"/>
              <w:bottom w:w="90" w:type="dxa"/>
              <w:right w:w="120" w:type="dxa"/>
            </w:tcMar>
            <w:vAlign w:val="center"/>
          </w:tcPr>
          <w:p w14:paraId="0D29F9A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Stores each code's Name, HSN or SAC Code value, and HSN or SAC Description; administrator-managed</w:t>
            </w:r>
          </w:p>
        </w:tc>
      </w:tr>
      <w:tr w:rsidR="00B4496E" w:rsidRPr="00F67E6B" w14:paraId="0D29F9AB" w14:textId="77777777">
        <w:tc>
          <w:tcPr>
            <w:tcW w:w="3200" w:type="dxa"/>
            <w:shd w:val="clear" w:color="auto" w:fill="F2F2F2"/>
            <w:tcMar>
              <w:top w:w="90" w:type="dxa"/>
              <w:left w:w="120" w:type="dxa"/>
              <w:bottom w:w="90" w:type="dxa"/>
              <w:right w:w="120" w:type="dxa"/>
            </w:tcMar>
            <w:vAlign w:val="center"/>
          </w:tcPr>
          <w:p w14:paraId="0D29F9A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India Tax Nature (item field)</w:t>
            </w:r>
          </w:p>
        </w:tc>
        <w:tc>
          <w:tcPr>
            <w:tcW w:w="6150" w:type="dxa"/>
            <w:shd w:val="clear" w:color="auto" w:fill="F2F2F2"/>
            <w:tcMar>
              <w:top w:w="90" w:type="dxa"/>
              <w:left w:w="120" w:type="dxa"/>
              <w:bottom w:w="90" w:type="dxa"/>
              <w:right w:w="120" w:type="dxa"/>
            </w:tcMar>
            <w:vAlign w:val="center"/>
          </w:tcPr>
          <w:p w14:paraId="0D29F9A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Assigned on the item's </w:t>
            </w:r>
            <w:proofErr w:type="gramStart"/>
            <w:r w:rsidRPr="00F67E6B">
              <w:rPr>
                <w:rFonts w:asciiTheme="minorHAnsi" w:hAnsiTheme="minorHAnsi" w:cstheme="minorHAnsi"/>
              </w:rPr>
              <w:t>Accounting</w:t>
            </w:r>
            <w:proofErr w:type="gramEnd"/>
            <w:r w:rsidRPr="00F67E6B">
              <w:rPr>
                <w:rFonts w:asciiTheme="minorHAnsi" w:hAnsiTheme="minorHAnsi" w:cstheme="minorHAnsi"/>
              </w:rPr>
              <w:t xml:space="preserve"> subtab; classifies the item as goods, services, or capital goods, and populates automatically on transaction lines when the item is selected</w:t>
            </w:r>
          </w:p>
        </w:tc>
      </w:tr>
      <w:tr w:rsidR="00B4496E" w:rsidRPr="00F67E6B" w14:paraId="0D29F9AE" w14:textId="77777777">
        <w:tc>
          <w:tcPr>
            <w:tcW w:w="3200" w:type="dxa"/>
            <w:shd w:val="clear" w:color="auto" w:fill="FFFFFF"/>
            <w:tcMar>
              <w:top w:w="90" w:type="dxa"/>
              <w:left w:w="120" w:type="dxa"/>
              <w:bottom w:w="90" w:type="dxa"/>
              <w:right w:w="120" w:type="dxa"/>
            </w:tcMar>
            <w:vAlign w:val="center"/>
          </w:tcPr>
          <w:p w14:paraId="0D29F9A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Unique Quantity Code (UQC)</w:t>
            </w:r>
          </w:p>
        </w:tc>
        <w:tc>
          <w:tcPr>
            <w:tcW w:w="6150" w:type="dxa"/>
            <w:shd w:val="clear" w:color="auto" w:fill="FFFFFF"/>
            <w:tcMar>
              <w:top w:w="90" w:type="dxa"/>
              <w:left w:w="120" w:type="dxa"/>
              <w:bottom w:w="90" w:type="dxa"/>
              <w:right w:w="120" w:type="dxa"/>
            </w:tcMar>
            <w:vAlign w:val="center"/>
          </w:tcPr>
          <w:p w14:paraId="0D29F9A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reporting unit for a line, sourced from the item record's default; appears in the HSN Summary section of the GSTR-1 report</w:t>
            </w:r>
          </w:p>
        </w:tc>
      </w:tr>
      <w:tr w:rsidR="00B4496E" w:rsidRPr="00F67E6B" w14:paraId="0D29F9B1" w14:textId="77777777">
        <w:tc>
          <w:tcPr>
            <w:tcW w:w="3200" w:type="dxa"/>
            <w:shd w:val="clear" w:color="auto" w:fill="F2F2F2"/>
            <w:tcMar>
              <w:top w:w="90" w:type="dxa"/>
              <w:left w:w="120" w:type="dxa"/>
              <w:bottom w:w="90" w:type="dxa"/>
              <w:right w:w="120" w:type="dxa"/>
            </w:tcMar>
            <w:vAlign w:val="center"/>
          </w:tcPr>
          <w:p w14:paraId="0D29F9A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GST Tax Rate Rule</w:t>
            </w:r>
          </w:p>
        </w:tc>
        <w:tc>
          <w:tcPr>
            <w:tcW w:w="6150" w:type="dxa"/>
            <w:shd w:val="clear" w:color="auto" w:fill="F2F2F2"/>
            <w:tcMar>
              <w:top w:w="90" w:type="dxa"/>
              <w:left w:w="120" w:type="dxa"/>
              <w:bottom w:w="90" w:type="dxa"/>
              <w:right w:w="120" w:type="dxa"/>
            </w:tcMar>
            <w:vAlign w:val="center"/>
          </w:tcPr>
          <w:p w14:paraId="0D29F9B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rule record that ties an HSN/SAC code (plus subsidiary/entity registration type) to an actual GST rate and tax code — see section 3</w:t>
            </w:r>
          </w:p>
        </w:tc>
      </w:tr>
    </w:tbl>
    <w:p w14:paraId="0D29F9B2" w14:textId="77777777" w:rsidR="00B4496E" w:rsidRPr="00F67E6B" w:rsidRDefault="00B4496E">
      <w:pPr>
        <w:spacing w:after="100"/>
        <w:rPr>
          <w:rFonts w:asciiTheme="minorHAnsi" w:hAnsiTheme="minorHAnsi" w:cstheme="minorHAnsi"/>
        </w:rPr>
      </w:pPr>
    </w:p>
    <w:p w14:paraId="0D29F9B3"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Note the dependency direction here: the HSN/SAC code itself carries no rate. It is purely a classification key. The rate comes from a separate GST Tax Rate Rule record that references the HSN/SAC code alongside the registration types involved. This two-layer design — classification code, then a rule keyed off that code — is what lets Oracle update rates over time (e.g. following a GST Council rate revision) without needing to touch the HSN/SAC code catalogue itself.</w:t>
      </w:r>
    </w:p>
    <w:p w14:paraId="0D29F9B4"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2.2 Creating and Managing HSN or SAC Codes</w:t>
      </w:r>
    </w:p>
    <w:p w14:paraId="0D29F9B5"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Only administrators can create, edit, inactivate, or delete HSN or SAC codes, via Customization &gt; Lists, Records, &amp; Fields &gt; Record Types, on the India Tax HSN and SAC codes for GST record type.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50"/>
      </w:tblGrid>
      <w:tr w:rsidR="00B4496E" w:rsidRPr="00F67E6B" w14:paraId="0D29F9B8" w14:textId="77777777">
        <w:trPr>
          <w:tblHeader/>
        </w:trPr>
        <w:tc>
          <w:tcPr>
            <w:tcW w:w="2600" w:type="dxa"/>
            <w:shd w:val="clear" w:color="auto" w:fill="1F3864"/>
            <w:tcMar>
              <w:top w:w="100" w:type="dxa"/>
              <w:left w:w="120" w:type="dxa"/>
              <w:bottom w:w="100" w:type="dxa"/>
              <w:right w:w="120" w:type="dxa"/>
            </w:tcMar>
            <w:vAlign w:val="center"/>
          </w:tcPr>
          <w:p w14:paraId="0D29F9B6"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Field</w:t>
            </w:r>
          </w:p>
        </w:tc>
        <w:tc>
          <w:tcPr>
            <w:tcW w:w="6750" w:type="dxa"/>
            <w:shd w:val="clear" w:color="auto" w:fill="1F3864"/>
            <w:tcMar>
              <w:top w:w="100" w:type="dxa"/>
              <w:left w:w="120" w:type="dxa"/>
              <w:bottom w:w="100" w:type="dxa"/>
              <w:right w:w="120" w:type="dxa"/>
            </w:tcMar>
            <w:vAlign w:val="center"/>
          </w:tcPr>
          <w:p w14:paraId="0D29F9B7"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Purpose</w:t>
            </w:r>
          </w:p>
        </w:tc>
      </w:tr>
      <w:tr w:rsidR="00B4496E" w:rsidRPr="00F67E6B" w14:paraId="0D29F9BB" w14:textId="77777777">
        <w:tc>
          <w:tcPr>
            <w:tcW w:w="2600" w:type="dxa"/>
            <w:shd w:val="clear" w:color="auto" w:fill="FFFFFF"/>
            <w:tcMar>
              <w:top w:w="90" w:type="dxa"/>
              <w:left w:w="120" w:type="dxa"/>
              <w:bottom w:w="90" w:type="dxa"/>
              <w:right w:w="120" w:type="dxa"/>
            </w:tcMar>
            <w:vAlign w:val="center"/>
          </w:tcPr>
          <w:p w14:paraId="0D29F9B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Name</w:t>
            </w:r>
          </w:p>
        </w:tc>
        <w:tc>
          <w:tcPr>
            <w:tcW w:w="6750" w:type="dxa"/>
            <w:shd w:val="clear" w:color="auto" w:fill="FFFFFF"/>
            <w:tcMar>
              <w:top w:w="90" w:type="dxa"/>
              <w:left w:w="120" w:type="dxa"/>
              <w:bottom w:w="90" w:type="dxa"/>
              <w:right w:w="120" w:type="dxa"/>
            </w:tcMar>
            <w:vAlign w:val="center"/>
          </w:tcPr>
          <w:p w14:paraId="0D29F9B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 unique identifier for the code within the record</w:t>
            </w:r>
          </w:p>
        </w:tc>
      </w:tr>
      <w:tr w:rsidR="00B4496E" w:rsidRPr="00F67E6B" w14:paraId="0D29F9BE" w14:textId="77777777">
        <w:tc>
          <w:tcPr>
            <w:tcW w:w="2600" w:type="dxa"/>
            <w:shd w:val="clear" w:color="auto" w:fill="F2F2F2"/>
            <w:tcMar>
              <w:top w:w="90" w:type="dxa"/>
              <w:left w:w="120" w:type="dxa"/>
              <w:bottom w:w="90" w:type="dxa"/>
              <w:right w:w="120" w:type="dxa"/>
            </w:tcMar>
            <w:vAlign w:val="center"/>
          </w:tcPr>
          <w:p w14:paraId="0D29F9B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HSN or SAC Code</w:t>
            </w:r>
          </w:p>
        </w:tc>
        <w:tc>
          <w:tcPr>
            <w:tcW w:w="6750" w:type="dxa"/>
            <w:shd w:val="clear" w:color="auto" w:fill="F2F2F2"/>
            <w:tcMar>
              <w:top w:w="90" w:type="dxa"/>
              <w:left w:w="120" w:type="dxa"/>
              <w:bottom w:w="90" w:type="dxa"/>
              <w:right w:w="120" w:type="dxa"/>
            </w:tcMar>
            <w:vAlign w:val="center"/>
          </w:tcPr>
          <w:p w14:paraId="0D29F9B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actual HSN/SAC classification code value</w:t>
            </w:r>
          </w:p>
        </w:tc>
      </w:tr>
      <w:tr w:rsidR="00B4496E" w:rsidRPr="00F67E6B" w14:paraId="0D29F9C1" w14:textId="77777777">
        <w:tc>
          <w:tcPr>
            <w:tcW w:w="2600" w:type="dxa"/>
            <w:shd w:val="clear" w:color="auto" w:fill="FFFFFF"/>
            <w:tcMar>
              <w:top w:w="90" w:type="dxa"/>
              <w:left w:w="120" w:type="dxa"/>
              <w:bottom w:w="90" w:type="dxa"/>
              <w:right w:w="120" w:type="dxa"/>
            </w:tcMar>
            <w:vAlign w:val="center"/>
          </w:tcPr>
          <w:p w14:paraId="0D29F9B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HSN or SAC Description</w:t>
            </w:r>
          </w:p>
        </w:tc>
        <w:tc>
          <w:tcPr>
            <w:tcW w:w="6750" w:type="dxa"/>
            <w:shd w:val="clear" w:color="auto" w:fill="FFFFFF"/>
            <w:tcMar>
              <w:top w:w="90" w:type="dxa"/>
              <w:left w:w="120" w:type="dxa"/>
              <w:bottom w:w="90" w:type="dxa"/>
              <w:right w:w="120" w:type="dxa"/>
            </w:tcMar>
            <w:vAlign w:val="center"/>
          </w:tcPr>
          <w:p w14:paraId="0D29F9C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 description of the goods or service the code represents</w:t>
            </w:r>
          </w:p>
        </w:tc>
      </w:tr>
    </w:tbl>
    <w:p w14:paraId="0D29F9C2" w14:textId="77777777" w:rsidR="00B4496E" w:rsidRPr="00F67E6B" w:rsidRDefault="00B4496E">
      <w:pPr>
        <w:spacing w:after="100"/>
        <w:rPr>
          <w:rFonts w:asciiTheme="minorHAnsi" w:hAnsiTheme="minorHAnsi" w:cstheme="minorHAnsi"/>
        </w:rPr>
      </w:pPr>
    </w:p>
    <w:tbl>
      <w:tblPr>
        <w:tblW w:w="9350"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9350"/>
      </w:tblGrid>
      <w:tr w:rsidR="00B4496E" w:rsidRPr="00F67E6B" w14:paraId="0D29F9C7" w14:textId="77777777">
        <w:tc>
          <w:tcPr>
            <w:tcW w:w="9350" w:type="dxa"/>
            <w:shd w:val="clear" w:color="auto" w:fill="EAF1FB"/>
            <w:tcMar>
              <w:top w:w="150" w:type="dxa"/>
              <w:left w:w="200" w:type="dxa"/>
              <w:bottom w:w="150" w:type="dxa"/>
              <w:right w:w="200" w:type="dxa"/>
            </w:tcMar>
          </w:tcPr>
          <w:p w14:paraId="0D29F9C3" w14:textId="77777777" w:rsidR="00B4496E" w:rsidRPr="00F67E6B" w:rsidRDefault="00BF14D3">
            <w:pPr>
              <w:spacing w:after="100"/>
              <w:rPr>
                <w:rFonts w:asciiTheme="minorHAnsi" w:hAnsiTheme="minorHAnsi" w:cstheme="minorHAnsi"/>
              </w:rPr>
            </w:pPr>
            <w:r w:rsidRPr="00F67E6B">
              <w:rPr>
                <w:rFonts w:ascii="Segoe UI Emoji" w:hAnsi="Segoe UI Emoji" w:cs="Segoe UI Emoji"/>
                <w:b/>
                <w:bCs/>
                <w:color w:val="1F3864"/>
              </w:rPr>
              <w:lastRenderedPageBreak/>
              <w:t>📌</w:t>
            </w:r>
            <w:r w:rsidRPr="00F67E6B">
              <w:rPr>
                <w:rFonts w:asciiTheme="minorHAnsi" w:hAnsiTheme="minorHAnsi" w:cstheme="minorHAnsi"/>
                <w:b/>
                <w:bCs/>
                <w:color w:val="1F3864"/>
              </w:rPr>
              <w:t xml:space="preserve"> Inactivating vs. Deleting a Code</w:t>
            </w:r>
          </w:p>
          <w:p w14:paraId="0D29F9C4"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Inactivating a code removes it from the India HSN and SAC Codes list and prevents it from being selected on new transactions, reports, or records, while keeping its history intact</w:t>
            </w:r>
          </w:p>
          <w:p w14:paraId="0D29F9C5"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Deleting a code is a harder removal via the record's Actions menu, and should only be used for codes that were never actually used on a transaction</w:t>
            </w:r>
          </w:p>
          <w:p w14:paraId="0D29F9C6"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Either way, any GST Tax Rate Rule built against a retired code should be reviewed, since a rule without a live HSN/SAC code can no longer be matched on new transactions</w:t>
            </w:r>
          </w:p>
        </w:tc>
      </w:tr>
    </w:tbl>
    <w:p w14:paraId="0D29F9C8" w14:textId="77777777" w:rsidR="00B4496E" w:rsidRDefault="00B4496E">
      <w:pPr>
        <w:spacing w:after="100"/>
        <w:rPr>
          <w:rFonts w:asciiTheme="minorHAnsi" w:hAnsiTheme="minorHAnsi" w:cstheme="minorHAnsi"/>
        </w:rPr>
      </w:pPr>
    </w:p>
    <w:p w14:paraId="486C0871" w14:textId="77777777" w:rsidR="00F64D65" w:rsidRDefault="00F64D65">
      <w:pPr>
        <w:spacing w:after="100"/>
        <w:rPr>
          <w:rFonts w:asciiTheme="minorHAnsi" w:hAnsiTheme="minorHAnsi" w:cstheme="minorHAnsi"/>
        </w:rPr>
      </w:pPr>
    </w:p>
    <w:p w14:paraId="7A61CA5B" w14:textId="77777777" w:rsidR="00F64D65" w:rsidRDefault="00F64D65">
      <w:pPr>
        <w:spacing w:after="100"/>
        <w:rPr>
          <w:rFonts w:asciiTheme="minorHAnsi" w:hAnsiTheme="minorHAnsi" w:cstheme="minorHAnsi"/>
        </w:rPr>
      </w:pPr>
    </w:p>
    <w:p w14:paraId="64C34566" w14:textId="77777777" w:rsidR="00F64D65" w:rsidRDefault="00F64D65">
      <w:pPr>
        <w:spacing w:after="100"/>
        <w:rPr>
          <w:rFonts w:asciiTheme="minorHAnsi" w:hAnsiTheme="minorHAnsi" w:cstheme="minorHAnsi"/>
        </w:rPr>
      </w:pPr>
    </w:p>
    <w:p w14:paraId="65CF31AD" w14:textId="77777777" w:rsidR="00F64D65" w:rsidRDefault="00F64D65">
      <w:pPr>
        <w:spacing w:after="100"/>
        <w:rPr>
          <w:rFonts w:asciiTheme="minorHAnsi" w:hAnsiTheme="minorHAnsi" w:cstheme="minorHAnsi"/>
        </w:rPr>
      </w:pPr>
    </w:p>
    <w:p w14:paraId="34A8BCFE" w14:textId="77777777" w:rsidR="00F64D65" w:rsidRDefault="00F64D65">
      <w:pPr>
        <w:spacing w:after="100"/>
        <w:rPr>
          <w:rFonts w:asciiTheme="minorHAnsi" w:hAnsiTheme="minorHAnsi" w:cstheme="minorHAnsi"/>
        </w:rPr>
      </w:pPr>
    </w:p>
    <w:p w14:paraId="37830B84" w14:textId="77777777" w:rsidR="00F64D65" w:rsidRDefault="00F64D65">
      <w:pPr>
        <w:spacing w:after="100"/>
        <w:rPr>
          <w:rFonts w:asciiTheme="minorHAnsi" w:hAnsiTheme="minorHAnsi" w:cstheme="minorHAnsi"/>
        </w:rPr>
      </w:pPr>
    </w:p>
    <w:p w14:paraId="53FD6ACF" w14:textId="77777777" w:rsidR="00F64D65" w:rsidRDefault="00F64D65">
      <w:pPr>
        <w:spacing w:after="100"/>
        <w:rPr>
          <w:rFonts w:asciiTheme="minorHAnsi" w:hAnsiTheme="minorHAnsi" w:cstheme="minorHAnsi"/>
        </w:rPr>
      </w:pPr>
    </w:p>
    <w:p w14:paraId="204F0065" w14:textId="77777777" w:rsidR="00F64D65" w:rsidRDefault="00F64D65">
      <w:pPr>
        <w:spacing w:after="100"/>
        <w:rPr>
          <w:rFonts w:asciiTheme="minorHAnsi" w:hAnsiTheme="minorHAnsi" w:cstheme="minorHAnsi"/>
        </w:rPr>
      </w:pPr>
    </w:p>
    <w:p w14:paraId="4BE328C7" w14:textId="77777777" w:rsidR="00F64D65" w:rsidRDefault="00F64D65">
      <w:pPr>
        <w:spacing w:after="100"/>
        <w:rPr>
          <w:rFonts w:asciiTheme="minorHAnsi" w:hAnsiTheme="minorHAnsi" w:cstheme="minorHAnsi"/>
        </w:rPr>
      </w:pPr>
    </w:p>
    <w:p w14:paraId="713EEB0C" w14:textId="77777777" w:rsidR="00F64D65" w:rsidRDefault="00F64D65">
      <w:pPr>
        <w:spacing w:after="100"/>
        <w:rPr>
          <w:rFonts w:asciiTheme="minorHAnsi" w:hAnsiTheme="minorHAnsi" w:cstheme="minorHAnsi"/>
        </w:rPr>
      </w:pPr>
    </w:p>
    <w:p w14:paraId="51EA04ED" w14:textId="77777777" w:rsidR="00F64D65" w:rsidRDefault="00F64D65">
      <w:pPr>
        <w:spacing w:after="100"/>
        <w:rPr>
          <w:rFonts w:asciiTheme="minorHAnsi" w:hAnsiTheme="minorHAnsi" w:cstheme="minorHAnsi"/>
        </w:rPr>
      </w:pPr>
    </w:p>
    <w:p w14:paraId="3E413354" w14:textId="77777777" w:rsidR="00F64D65" w:rsidRDefault="00F64D65">
      <w:pPr>
        <w:spacing w:after="100"/>
        <w:rPr>
          <w:rFonts w:asciiTheme="minorHAnsi" w:hAnsiTheme="minorHAnsi" w:cstheme="minorHAnsi"/>
        </w:rPr>
      </w:pPr>
    </w:p>
    <w:p w14:paraId="4C937B6D" w14:textId="77777777" w:rsidR="00F64D65" w:rsidRDefault="00F64D65">
      <w:pPr>
        <w:spacing w:after="100"/>
        <w:rPr>
          <w:rFonts w:asciiTheme="minorHAnsi" w:hAnsiTheme="minorHAnsi" w:cstheme="minorHAnsi"/>
        </w:rPr>
      </w:pPr>
    </w:p>
    <w:p w14:paraId="11015837" w14:textId="77777777" w:rsidR="00F64D65" w:rsidRDefault="00F64D65">
      <w:pPr>
        <w:spacing w:after="100"/>
        <w:rPr>
          <w:rFonts w:asciiTheme="minorHAnsi" w:hAnsiTheme="minorHAnsi" w:cstheme="minorHAnsi"/>
        </w:rPr>
      </w:pPr>
    </w:p>
    <w:p w14:paraId="0ECAD091" w14:textId="77777777" w:rsidR="00F64D65" w:rsidRDefault="00F64D65">
      <w:pPr>
        <w:spacing w:after="100"/>
        <w:rPr>
          <w:rFonts w:asciiTheme="minorHAnsi" w:hAnsiTheme="minorHAnsi" w:cstheme="minorHAnsi"/>
        </w:rPr>
      </w:pPr>
    </w:p>
    <w:p w14:paraId="1ADB79AC" w14:textId="77777777" w:rsidR="00F64D65" w:rsidRDefault="00F64D65">
      <w:pPr>
        <w:spacing w:after="100"/>
        <w:rPr>
          <w:rFonts w:asciiTheme="minorHAnsi" w:hAnsiTheme="minorHAnsi" w:cstheme="minorHAnsi"/>
        </w:rPr>
      </w:pPr>
    </w:p>
    <w:p w14:paraId="14A8DAF4" w14:textId="77777777" w:rsidR="00F64D65" w:rsidRDefault="00F64D65">
      <w:pPr>
        <w:spacing w:after="100"/>
        <w:rPr>
          <w:rFonts w:asciiTheme="minorHAnsi" w:hAnsiTheme="minorHAnsi" w:cstheme="minorHAnsi"/>
        </w:rPr>
      </w:pPr>
    </w:p>
    <w:p w14:paraId="57150638" w14:textId="77777777" w:rsidR="00F64D65" w:rsidRDefault="00F64D65">
      <w:pPr>
        <w:spacing w:after="100"/>
        <w:rPr>
          <w:rFonts w:asciiTheme="minorHAnsi" w:hAnsiTheme="minorHAnsi" w:cstheme="minorHAnsi"/>
        </w:rPr>
      </w:pPr>
    </w:p>
    <w:p w14:paraId="7AA6B972" w14:textId="77777777" w:rsidR="00F64D65" w:rsidRDefault="00F64D65">
      <w:pPr>
        <w:spacing w:after="100"/>
        <w:rPr>
          <w:rFonts w:asciiTheme="minorHAnsi" w:hAnsiTheme="minorHAnsi" w:cstheme="minorHAnsi"/>
        </w:rPr>
      </w:pPr>
    </w:p>
    <w:p w14:paraId="56A0E1A9" w14:textId="77777777" w:rsidR="00F64D65" w:rsidRDefault="00F64D65">
      <w:pPr>
        <w:spacing w:after="100"/>
        <w:rPr>
          <w:rFonts w:asciiTheme="minorHAnsi" w:hAnsiTheme="minorHAnsi" w:cstheme="minorHAnsi"/>
        </w:rPr>
      </w:pPr>
    </w:p>
    <w:p w14:paraId="4F8249C4" w14:textId="77777777" w:rsidR="00F64D65" w:rsidRDefault="00F64D65">
      <w:pPr>
        <w:spacing w:after="100"/>
        <w:rPr>
          <w:rFonts w:asciiTheme="minorHAnsi" w:hAnsiTheme="minorHAnsi" w:cstheme="minorHAnsi"/>
        </w:rPr>
      </w:pPr>
    </w:p>
    <w:p w14:paraId="521CBCE4" w14:textId="77777777" w:rsidR="00F64D65" w:rsidRDefault="00F64D65">
      <w:pPr>
        <w:spacing w:after="100"/>
        <w:rPr>
          <w:rFonts w:asciiTheme="minorHAnsi" w:hAnsiTheme="minorHAnsi" w:cstheme="minorHAnsi"/>
        </w:rPr>
      </w:pPr>
    </w:p>
    <w:p w14:paraId="6B286B07" w14:textId="77777777" w:rsidR="00F64D65" w:rsidRDefault="00F64D65">
      <w:pPr>
        <w:spacing w:after="100"/>
        <w:rPr>
          <w:rFonts w:asciiTheme="minorHAnsi" w:hAnsiTheme="minorHAnsi" w:cstheme="minorHAnsi"/>
        </w:rPr>
      </w:pPr>
    </w:p>
    <w:p w14:paraId="543F8AB3" w14:textId="77777777" w:rsidR="00F64D65" w:rsidRDefault="00F64D65">
      <w:pPr>
        <w:spacing w:after="100"/>
        <w:rPr>
          <w:rFonts w:asciiTheme="minorHAnsi" w:hAnsiTheme="minorHAnsi" w:cstheme="minorHAnsi"/>
        </w:rPr>
      </w:pPr>
    </w:p>
    <w:p w14:paraId="64ADA0BC" w14:textId="77777777" w:rsidR="00F64D65" w:rsidRDefault="00F64D65">
      <w:pPr>
        <w:spacing w:after="100"/>
        <w:rPr>
          <w:rFonts w:asciiTheme="minorHAnsi" w:hAnsiTheme="minorHAnsi" w:cstheme="minorHAnsi"/>
        </w:rPr>
      </w:pPr>
    </w:p>
    <w:p w14:paraId="2FD64A45" w14:textId="77777777" w:rsidR="00F64D65" w:rsidRDefault="00F64D65">
      <w:pPr>
        <w:spacing w:after="100"/>
        <w:rPr>
          <w:rFonts w:asciiTheme="minorHAnsi" w:hAnsiTheme="minorHAnsi" w:cstheme="minorHAnsi"/>
        </w:rPr>
      </w:pPr>
    </w:p>
    <w:p w14:paraId="5BE373DE" w14:textId="77777777" w:rsidR="00F64D65" w:rsidRDefault="00F64D65">
      <w:pPr>
        <w:spacing w:after="100"/>
        <w:rPr>
          <w:rFonts w:asciiTheme="minorHAnsi" w:hAnsiTheme="minorHAnsi" w:cstheme="minorHAnsi"/>
        </w:rPr>
      </w:pPr>
    </w:p>
    <w:p w14:paraId="34DE9AE8" w14:textId="77777777" w:rsidR="00F64D65" w:rsidRPr="00F67E6B" w:rsidRDefault="00F64D65">
      <w:pPr>
        <w:spacing w:after="100"/>
        <w:rPr>
          <w:rFonts w:asciiTheme="minorHAnsi" w:hAnsiTheme="minorHAnsi" w:cstheme="minorHAnsi"/>
        </w:rPr>
      </w:pPr>
    </w:p>
    <w:p w14:paraId="0D29F9C9"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3. GST Tax Rate Rules — Where HSN/SAC Meets Rate Determination</w:t>
      </w:r>
    </w:p>
    <w:p w14:paraId="0D29F9CA"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uses GST Tax Rate Rules to actually calculate GST on sales and purchase transactions. The engine selects the applicable rule based on the HSN or SAC code assigned to the line, cross-referenced against the registration types of the parties involved. Rules are entered at Setup &gt; India Localization &gt; GST Tax Rate Rules.</w:t>
      </w:r>
    </w:p>
    <w:p w14:paraId="0D29F9CB"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3.1 Core Rule Fields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450"/>
      </w:tblGrid>
      <w:tr w:rsidR="00B4496E" w:rsidRPr="00F67E6B" w14:paraId="0D29F9CE" w14:textId="77777777">
        <w:trPr>
          <w:tblHeader/>
        </w:trPr>
        <w:tc>
          <w:tcPr>
            <w:tcW w:w="2900" w:type="dxa"/>
            <w:shd w:val="clear" w:color="auto" w:fill="1F3864"/>
            <w:tcMar>
              <w:top w:w="100" w:type="dxa"/>
              <w:left w:w="120" w:type="dxa"/>
              <w:bottom w:w="100" w:type="dxa"/>
              <w:right w:w="120" w:type="dxa"/>
            </w:tcMar>
            <w:vAlign w:val="center"/>
          </w:tcPr>
          <w:p w14:paraId="0D29F9CC"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Field</w:t>
            </w:r>
          </w:p>
        </w:tc>
        <w:tc>
          <w:tcPr>
            <w:tcW w:w="6450" w:type="dxa"/>
            <w:shd w:val="clear" w:color="auto" w:fill="1F3864"/>
            <w:tcMar>
              <w:top w:w="100" w:type="dxa"/>
              <w:left w:w="120" w:type="dxa"/>
              <w:bottom w:w="100" w:type="dxa"/>
              <w:right w:w="120" w:type="dxa"/>
            </w:tcMar>
            <w:vAlign w:val="center"/>
          </w:tcPr>
          <w:p w14:paraId="0D29F9CD"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Purpose</w:t>
            </w:r>
          </w:p>
        </w:tc>
      </w:tr>
      <w:tr w:rsidR="00B4496E" w:rsidRPr="00F67E6B" w14:paraId="0D29F9D1" w14:textId="77777777">
        <w:tc>
          <w:tcPr>
            <w:tcW w:w="2900" w:type="dxa"/>
            <w:shd w:val="clear" w:color="auto" w:fill="FFFFFF"/>
            <w:tcMar>
              <w:top w:w="90" w:type="dxa"/>
              <w:left w:w="120" w:type="dxa"/>
              <w:bottom w:w="90" w:type="dxa"/>
              <w:right w:w="120" w:type="dxa"/>
            </w:tcMar>
            <w:vAlign w:val="center"/>
          </w:tcPr>
          <w:p w14:paraId="0D29F9C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Subsidiary Registration Type</w:t>
            </w:r>
          </w:p>
        </w:tc>
        <w:tc>
          <w:tcPr>
            <w:tcW w:w="6450" w:type="dxa"/>
            <w:shd w:val="clear" w:color="auto" w:fill="FFFFFF"/>
            <w:tcMar>
              <w:top w:w="90" w:type="dxa"/>
              <w:left w:w="120" w:type="dxa"/>
              <w:bottom w:w="90" w:type="dxa"/>
              <w:right w:w="120" w:type="dxa"/>
            </w:tcMar>
            <w:vAlign w:val="center"/>
          </w:tcPr>
          <w:p w14:paraId="0D29F9D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registration type of the subsidiary the rule applies to</w:t>
            </w:r>
          </w:p>
        </w:tc>
      </w:tr>
      <w:tr w:rsidR="00B4496E" w:rsidRPr="00F67E6B" w14:paraId="0D29F9D4" w14:textId="77777777">
        <w:tc>
          <w:tcPr>
            <w:tcW w:w="2900" w:type="dxa"/>
            <w:shd w:val="clear" w:color="auto" w:fill="F2F2F2"/>
            <w:tcMar>
              <w:top w:w="90" w:type="dxa"/>
              <w:left w:w="120" w:type="dxa"/>
              <w:bottom w:w="90" w:type="dxa"/>
              <w:right w:w="120" w:type="dxa"/>
            </w:tcMar>
            <w:vAlign w:val="center"/>
          </w:tcPr>
          <w:p w14:paraId="0D29F9D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Available On</w:t>
            </w:r>
          </w:p>
        </w:tc>
        <w:tc>
          <w:tcPr>
            <w:tcW w:w="6450" w:type="dxa"/>
            <w:shd w:val="clear" w:color="auto" w:fill="F2F2F2"/>
            <w:tcMar>
              <w:top w:w="90" w:type="dxa"/>
              <w:left w:w="120" w:type="dxa"/>
              <w:bottom w:w="90" w:type="dxa"/>
              <w:right w:w="120" w:type="dxa"/>
            </w:tcMar>
            <w:vAlign w:val="center"/>
          </w:tcPr>
          <w:p w14:paraId="0D29F9D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Purchase Transactions or Sales Transactions — determines whether Vendor Registration Type or Customer Registration Type becomes available</w:t>
            </w:r>
          </w:p>
        </w:tc>
      </w:tr>
      <w:tr w:rsidR="00B4496E" w:rsidRPr="00F67E6B" w14:paraId="0D29F9D7" w14:textId="77777777">
        <w:tc>
          <w:tcPr>
            <w:tcW w:w="2900" w:type="dxa"/>
            <w:shd w:val="clear" w:color="auto" w:fill="FFFFFF"/>
            <w:tcMar>
              <w:top w:w="90" w:type="dxa"/>
              <w:left w:w="120" w:type="dxa"/>
              <w:bottom w:w="90" w:type="dxa"/>
              <w:right w:w="120" w:type="dxa"/>
            </w:tcMar>
            <w:vAlign w:val="center"/>
          </w:tcPr>
          <w:p w14:paraId="0D29F9D5"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Customer or Vendor Registration Type</w:t>
            </w:r>
          </w:p>
        </w:tc>
        <w:tc>
          <w:tcPr>
            <w:tcW w:w="6450" w:type="dxa"/>
            <w:shd w:val="clear" w:color="auto" w:fill="FFFFFF"/>
            <w:tcMar>
              <w:top w:w="90" w:type="dxa"/>
              <w:left w:w="120" w:type="dxa"/>
              <w:bottom w:w="90" w:type="dxa"/>
              <w:right w:w="120" w:type="dxa"/>
            </w:tcMar>
            <w:vAlign w:val="center"/>
          </w:tcPr>
          <w:p w14:paraId="0D29F9D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counterparty's registration type for this rule</w:t>
            </w:r>
          </w:p>
        </w:tc>
      </w:tr>
      <w:tr w:rsidR="00B4496E" w:rsidRPr="00F67E6B" w14:paraId="0D29F9DA" w14:textId="77777777">
        <w:tc>
          <w:tcPr>
            <w:tcW w:w="2900" w:type="dxa"/>
            <w:shd w:val="clear" w:color="auto" w:fill="F2F2F2"/>
            <w:tcMar>
              <w:top w:w="90" w:type="dxa"/>
              <w:left w:w="120" w:type="dxa"/>
              <w:bottom w:w="90" w:type="dxa"/>
              <w:right w:w="120" w:type="dxa"/>
            </w:tcMar>
            <w:vAlign w:val="center"/>
          </w:tcPr>
          <w:p w14:paraId="0D29F9D8"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HSN or SAC Code</w:t>
            </w:r>
          </w:p>
        </w:tc>
        <w:tc>
          <w:tcPr>
            <w:tcW w:w="6450" w:type="dxa"/>
            <w:shd w:val="clear" w:color="auto" w:fill="F2F2F2"/>
            <w:tcMar>
              <w:top w:w="90" w:type="dxa"/>
              <w:left w:w="120" w:type="dxa"/>
              <w:bottom w:w="90" w:type="dxa"/>
              <w:right w:w="120" w:type="dxa"/>
            </w:tcMar>
            <w:vAlign w:val="center"/>
          </w:tcPr>
          <w:p w14:paraId="0D29F9D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classification code this rule is keyed to</w:t>
            </w:r>
          </w:p>
        </w:tc>
      </w:tr>
      <w:tr w:rsidR="00B4496E" w:rsidRPr="00F67E6B" w14:paraId="0D29F9DD" w14:textId="77777777">
        <w:tc>
          <w:tcPr>
            <w:tcW w:w="2900" w:type="dxa"/>
            <w:shd w:val="clear" w:color="auto" w:fill="FFFFFF"/>
            <w:tcMar>
              <w:top w:w="90" w:type="dxa"/>
              <w:left w:w="120" w:type="dxa"/>
              <w:bottom w:w="90" w:type="dxa"/>
              <w:right w:w="120" w:type="dxa"/>
            </w:tcMar>
            <w:vAlign w:val="center"/>
          </w:tcPr>
          <w:p w14:paraId="0D29F9D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GST Rate</w:t>
            </w:r>
          </w:p>
        </w:tc>
        <w:tc>
          <w:tcPr>
            <w:tcW w:w="6450" w:type="dxa"/>
            <w:shd w:val="clear" w:color="auto" w:fill="FFFFFF"/>
            <w:tcMar>
              <w:top w:w="90" w:type="dxa"/>
              <w:left w:w="120" w:type="dxa"/>
              <w:bottom w:w="90" w:type="dxa"/>
              <w:right w:w="120" w:type="dxa"/>
            </w:tcMar>
            <w:vAlign w:val="center"/>
          </w:tcPr>
          <w:p w14:paraId="0D29F9D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tax rate for this rule — the Ineligible for ITC box is checked by default for Nil Rated or Exempted rates, since ITC cannot be claimed on those</w:t>
            </w:r>
          </w:p>
        </w:tc>
      </w:tr>
      <w:tr w:rsidR="00B4496E" w:rsidRPr="00F67E6B" w14:paraId="0D29F9E0" w14:textId="77777777">
        <w:tc>
          <w:tcPr>
            <w:tcW w:w="2900" w:type="dxa"/>
            <w:shd w:val="clear" w:color="auto" w:fill="F2F2F2"/>
            <w:tcMar>
              <w:top w:w="90" w:type="dxa"/>
              <w:left w:w="120" w:type="dxa"/>
              <w:bottom w:w="90" w:type="dxa"/>
              <w:right w:w="120" w:type="dxa"/>
            </w:tcMar>
            <w:vAlign w:val="center"/>
          </w:tcPr>
          <w:p w14:paraId="0D29F9D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Classification of Supply</w:t>
            </w:r>
          </w:p>
        </w:tc>
        <w:tc>
          <w:tcPr>
            <w:tcW w:w="6450" w:type="dxa"/>
            <w:shd w:val="clear" w:color="auto" w:fill="F2F2F2"/>
            <w:tcMar>
              <w:top w:w="90" w:type="dxa"/>
              <w:left w:w="120" w:type="dxa"/>
              <w:bottom w:w="90" w:type="dxa"/>
              <w:right w:w="120" w:type="dxa"/>
            </w:tcMar>
            <w:vAlign w:val="center"/>
          </w:tcPr>
          <w:p w14:paraId="0D29F9D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Inter-State Supply or Intra-State Supply — not available when the subsidiary registration type is SEZ (see section 3.2)</w:t>
            </w:r>
          </w:p>
        </w:tc>
      </w:tr>
      <w:tr w:rsidR="00B4496E" w:rsidRPr="00F67E6B" w14:paraId="0D29F9E3" w14:textId="77777777">
        <w:tc>
          <w:tcPr>
            <w:tcW w:w="2900" w:type="dxa"/>
            <w:shd w:val="clear" w:color="auto" w:fill="FFFFFF"/>
            <w:tcMar>
              <w:top w:w="90" w:type="dxa"/>
              <w:left w:w="120" w:type="dxa"/>
              <w:bottom w:w="90" w:type="dxa"/>
              <w:right w:w="120" w:type="dxa"/>
            </w:tcMar>
            <w:vAlign w:val="center"/>
          </w:tcPr>
          <w:p w14:paraId="0D29F9E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Effective From / Valid Until</w:t>
            </w:r>
          </w:p>
        </w:tc>
        <w:tc>
          <w:tcPr>
            <w:tcW w:w="6450" w:type="dxa"/>
            <w:shd w:val="clear" w:color="auto" w:fill="FFFFFF"/>
            <w:tcMar>
              <w:top w:w="90" w:type="dxa"/>
              <w:left w:w="120" w:type="dxa"/>
              <w:bottom w:w="90" w:type="dxa"/>
              <w:right w:w="120" w:type="dxa"/>
            </w:tcMar>
            <w:vAlign w:val="center"/>
          </w:tcPr>
          <w:p w14:paraId="0D29F9E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The date </w:t>
            </w:r>
            <w:proofErr w:type="gramStart"/>
            <w:r w:rsidRPr="00F67E6B">
              <w:rPr>
                <w:rFonts w:asciiTheme="minorHAnsi" w:hAnsiTheme="minorHAnsi" w:cstheme="minorHAnsi"/>
              </w:rPr>
              <w:t>range</w:t>
            </w:r>
            <w:proofErr w:type="gramEnd"/>
            <w:r w:rsidRPr="00F67E6B">
              <w:rPr>
                <w:rFonts w:asciiTheme="minorHAnsi" w:hAnsiTheme="minorHAnsi" w:cstheme="minorHAnsi"/>
              </w:rPr>
              <w:t xml:space="preserve"> the rule is active for</w:t>
            </w:r>
          </w:p>
        </w:tc>
      </w:tr>
      <w:tr w:rsidR="00B4496E" w:rsidRPr="00F67E6B" w14:paraId="0D29F9E6" w14:textId="77777777">
        <w:tc>
          <w:tcPr>
            <w:tcW w:w="2900" w:type="dxa"/>
            <w:shd w:val="clear" w:color="auto" w:fill="F2F2F2"/>
            <w:tcMar>
              <w:top w:w="90" w:type="dxa"/>
              <w:left w:w="120" w:type="dxa"/>
              <w:bottom w:w="90" w:type="dxa"/>
              <w:right w:w="120" w:type="dxa"/>
            </w:tcMar>
            <w:vAlign w:val="center"/>
          </w:tcPr>
          <w:p w14:paraId="0D29F9E4"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Taxable</w:t>
            </w:r>
          </w:p>
        </w:tc>
        <w:tc>
          <w:tcPr>
            <w:tcW w:w="6450" w:type="dxa"/>
            <w:shd w:val="clear" w:color="auto" w:fill="F2F2F2"/>
            <w:tcMar>
              <w:top w:w="90" w:type="dxa"/>
              <w:left w:w="120" w:type="dxa"/>
              <w:bottom w:w="90" w:type="dxa"/>
              <w:right w:w="120" w:type="dxa"/>
            </w:tcMar>
            <w:vAlign w:val="center"/>
          </w:tcPr>
          <w:p w14:paraId="0D29F9E5"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Whether this rule is taxable</w:t>
            </w:r>
          </w:p>
        </w:tc>
      </w:tr>
      <w:tr w:rsidR="00B4496E" w:rsidRPr="00F67E6B" w14:paraId="0D29F9E9" w14:textId="77777777">
        <w:tc>
          <w:tcPr>
            <w:tcW w:w="2900" w:type="dxa"/>
            <w:shd w:val="clear" w:color="auto" w:fill="FFFFFF"/>
            <w:tcMar>
              <w:top w:w="90" w:type="dxa"/>
              <w:left w:w="120" w:type="dxa"/>
              <w:bottom w:w="90" w:type="dxa"/>
              <w:right w:w="120" w:type="dxa"/>
            </w:tcMar>
            <w:vAlign w:val="center"/>
          </w:tcPr>
          <w:p w14:paraId="0D29F9E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Amount Based</w:t>
            </w:r>
          </w:p>
        </w:tc>
        <w:tc>
          <w:tcPr>
            <w:tcW w:w="6450" w:type="dxa"/>
            <w:shd w:val="clear" w:color="auto" w:fill="FFFFFF"/>
            <w:tcMar>
              <w:top w:w="90" w:type="dxa"/>
              <w:left w:w="120" w:type="dxa"/>
              <w:bottom w:w="90" w:type="dxa"/>
              <w:right w:w="120" w:type="dxa"/>
            </w:tcMar>
            <w:vAlign w:val="center"/>
          </w:tcPr>
          <w:p w14:paraId="0D29F9E8"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If checked, the rule's rate depends on a From Amount/To Amount range rather than applying uniformly</w:t>
            </w:r>
          </w:p>
        </w:tc>
      </w:tr>
      <w:tr w:rsidR="00B4496E" w:rsidRPr="00F67E6B" w14:paraId="0D29F9EC" w14:textId="77777777">
        <w:tc>
          <w:tcPr>
            <w:tcW w:w="2900" w:type="dxa"/>
            <w:shd w:val="clear" w:color="auto" w:fill="F2F2F2"/>
            <w:tcMar>
              <w:top w:w="90" w:type="dxa"/>
              <w:left w:w="120" w:type="dxa"/>
              <w:bottom w:w="90" w:type="dxa"/>
              <w:right w:w="120" w:type="dxa"/>
            </w:tcMar>
            <w:vAlign w:val="center"/>
          </w:tcPr>
          <w:p w14:paraId="0D29F9E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Reverse Charge</w:t>
            </w:r>
          </w:p>
        </w:tc>
        <w:tc>
          <w:tcPr>
            <w:tcW w:w="6450" w:type="dxa"/>
            <w:shd w:val="clear" w:color="auto" w:fill="F2F2F2"/>
            <w:tcMar>
              <w:top w:w="90" w:type="dxa"/>
              <w:left w:w="120" w:type="dxa"/>
              <w:bottom w:w="90" w:type="dxa"/>
              <w:right w:w="120" w:type="dxa"/>
            </w:tcMar>
            <w:vAlign w:val="center"/>
          </w:tcPr>
          <w:p w14:paraId="0D29F9E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Available only for purchase transactions; marks the rule as reverse-charge</w:t>
            </w:r>
          </w:p>
        </w:tc>
      </w:tr>
      <w:tr w:rsidR="00B4496E" w:rsidRPr="00F67E6B" w14:paraId="0D29F9EF" w14:textId="77777777">
        <w:tc>
          <w:tcPr>
            <w:tcW w:w="2900" w:type="dxa"/>
            <w:shd w:val="clear" w:color="auto" w:fill="FFFFFF"/>
            <w:tcMar>
              <w:top w:w="90" w:type="dxa"/>
              <w:left w:w="120" w:type="dxa"/>
              <w:bottom w:w="90" w:type="dxa"/>
              <w:right w:w="120" w:type="dxa"/>
            </w:tcMar>
            <w:vAlign w:val="center"/>
          </w:tcPr>
          <w:p w14:paraId="0D29F9E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Ineligible for ITC</w:t>
            </w:r>
          </w:p>
        </w:tc>
        <w:tc>
          <w:tcPr>
            <w:tcW w:w="6450" w:type="dxa"/>
            <w:shd w:val="clear" w:color="auto" w:fill="FFFFFF"/>
            <w:tcMar>
              <w:top w:w="90" w:type="dxa"/>
              <w:left w:w="120" w:type="dxa"/>
              <w:bottom w:w="90" w:type="dxa"/>
              <w:right w:w="120" w:type="dxa"/>
            </w:tcMar>
            <w:vAlign w:val="center"/>
          </w:tcPr>
          <w:p w14:paraId="0D29F9E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Marks the rule as ineligible for Input Tax Credit; the tax amount is added to the item's or expense's cost, and applies only to purchase transactions</w:t>
            </w:r>
          </w:p>
        </w:tc>
      </w:tr>
      <w:tr w:rsidR="00B4496E" w:rsidRPr="00F67E6B" w14:paraId="0D29F9F2" w14:textId="77777777">
        <w:tc>
          <w:tcPr>
            <w:tcW w:w="2900" w:type="dxa"/>
            <w:shd w:val="clear" w:color="auto" w:fill="F2F2F2"/>
            <w:tcMar>
              <w:top w:w="90" w:type="dxa"/>
              <w:left w:w="120" w:type="dxa"/>
              <w:bottom w:w="90" w:type="dxa"/>
              <w:right w:w="120" w:type="dxa"/>
            </w:tcMar>
            <w:vAlign w:val="center"/>
          </w:tcPr>
          <w:p w14:paraId="0D29F9F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Compensation Cess</w:t>
            </w:r>
          </w:p>
        </w:tc>
        <w:tc>
          <w:tcPr>
            <w:tcW w:w="6450" w:type="dxa"/>
            <w:shd w:val="clear" w:color="auto" w:fill="F2F2F2"/>
            <w:tcMar>
              <w:top w:w="90" w:type="dxa"/>
              <w:left w:w="120" w:type="dxa"/>
              <w:bottom w:w="90" w:type="dxa"/>
              <w:right w:w="120" w:type="dxa"/>
            </w:tcMar>
            <w:vAlign w:val="center"/>
          </w:tcPr>
          <w:p w14:paraId="0D29F9F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If checked, exposes the Cess Rate Type, Cess %, Cess Rate Per Unit, and Units fields (see section 3.4)</w:t>
            </w:r>
          </w:p>
        </w:tc>
      </w:tr>
    </w:tbl>
    <w:p w14:paraId="0D29F9F3" w14:textId="77777777" w:rsidR="00B4496E" w:rsidRDefault="00B4496E">
      <w:pPr>
        <w:spacing w:after="100"/>
        <w:rPr>
          <w:rFonts w:asciiTheme="minorHAnsi" w:hAnsiTheme="minorHAnsi" w:cstheme="minorHAnsi"/>
        </w:rPr>
      </w:pPr>
    </w:p>
    <w:p w14:paraId="1D6E102B" w14:textId="77777777" w:rsidR="003A15C4" w:rsidRDefault="003A15C4">
      <w:pPr>
        <w:spacing w:after="100"/>
        <w:rPr>
          <w:rFonts w:asciiTheme="minorHAnsi" w:hAnsiTheme="minorHAnsi" w:cstheme="minorHAnsi"/>
        </w:rPr>
      </w:pPr>
    </w:p>
    <w:p w14:paraId="172AA155" w14:textId="77777777" w:rsidR="003A15C4" w:rsidRPr="00F67E6B" w:rsidRDefault="003A15C4">
      <w:pPr>
        <w:spacing w:after="100"/>
        <w:rPr>
          <w:rFonts w:asciiTheme="minorHAnsi" w:hAnsiTheme="minorHAnsi" w:cstheme="minorHAnsi"/>
        </w:rPr>
      </w:pPr>
    </w:p>
    <w:p w14:paraId="0D29F9F4"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lastRenderedPageBreak/>
        <w:t>3.2 Classification of Supply: Inter-State vs. Intra-State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2400"/>
        <w:gridCol w:w="4750"/>
      </w:tblGrid>
      <w:tr w:rsidR="00B4496E" w:rsidRPr="00F67E6B" w14:paraId="0D29F9F8" w14:textId="77777777">
        <w:trPr>
          <w:tblHeader/>
        </w:trPr>
        <w:tc>
          <w:tcPr>
            <w:tcW w:w="2200" w:type="dxa"/>
            <w:shd w:val="clear" w:color="auto" w:fill="1F3864"/>
            <w:tcMar>
              <w:top w:w="100" w:type="dxa"/>
              <w:left w:w="120" w:type="dxa"/>
              <w:bottom w:w="100" w:type="dxa"/>
              <w:right w:w="120" w:type="dxa"/>
            </w:tcMar>
            <w:vAlign w:val="center"/>
          </w:tcPr>
          <w:p w14:paraId="0D29F9F5"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Classification</w:t>
            </w:r>
          </w:p>
        </w:tc>
        <w:tc>
          <w:tcPr>
            <w:tcW w:w="2400" w:type="dxa"/>
            <w:shd w:val="clear" w:color="auto" w:fill="1F3864"/>
            <w:tcMar>
              <w:top w:w="100" w:type="dxa"/>
              <w:left w:w="120" w:type="dxa"/>
              <w:bottom w:w="100" w:type="dxa"/>
              <w:right w:w="120" w:type="dxa"/>
            </w:tcMar>
            <w:vAlign w:val="center"/>
          </w:tcPr>
          <w:p w14:paraId="0D29F9F6"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Tax Applied</w:t>
            </w:r>
          </w:p>
        </w:tc>
        <w:tc>
          <w:tcPr>
            <w:tcW w:w="4750" w:type="dxa"/>
            <w:shd w:val="clear" w:color="auto" w:fill="1F3864"/>
            <w:tcMar>
              <w:top w:w="100" w:type="dxa"/>
              <w:left w:w="120" w:type="dxa"/>
              <w:bottom w:w="100" w:type="dxa"/>
              <w:right w:w="120" w:type="dxa"/>
            </w:tcMar>
            <w:vAlign w:val="center"/>
          </w:tcPr>
          <w:p w14:paraId="0D29F9F7"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Detail</w:t>
            </w:r>
          </w:p>
        </w:tc>
      </w:tr>
      <w:tr w:rsidR="00B4496E" w:rsidRPr="00F67E6B" w14:paraId="0D29F9FC" w14:textId="77777777">
        <w:tc>
          <w:tcPr>
            <w:tcW w:w="2200" w:type="dxa"/>
            <w:shd w:val="clear" w:color="auto" w:fill="FFFFFF"/>
            <w:tcMar>
              <w:top w:w="90" w:type="dxa"/>
              <w:left w:w="120" w:type="dxa"/>
              <w:bottom w:w="90" w:type="dxa"/>
              <w:right w:w="120" w:type="dxa"/>
            </w:tcMar>
            <w:vAlign w:val="center"/>
          </w:tcPr>
          <w:p w14:paraId="0D29F9F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Inter-State Supply</w:t>
            </w:r>
          </w:p>
        </w:tc>
        <w:tc>
          <w:tcPr>
            <w:tcW w:w="2400" w:type="dxa"/>
            <w:shd w:val="clear" w:color="auto" w:fill="FFFFFF"/>
            <w:tcMar>
              <w:top w:w="90" w:type="dxa"/>
              <w:left w:w="120" w:type="dxa"/>
              <w:bottom w:w="90" w:type="dxa"/>
              <w:right w:w="120" w:type="dxa"/>
            </w:tcMar>
            <w:vAlign w:val="center"/>
          </w:tcPr>
          <w:p w14:paraId="0D29F9F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IGST</w:t>
            </w:r>
          </w:p>
        </w:tc>
        <w:tc>
          <w:tcPr>
            <w:tcW w:w="4750" w:type="dxa"/>
            <w:shd w:val="clear" w:color="auto" w:fill="FFFFFF"/>
            <w:tcMar>
              <w:top w:w="90" w:type="dxa"/>
              <w:left w:w="120" w:type="dxa"/>
              <w:bottom w:w="90" w:type="dxa"/>
              <w:right w:w="120" w:type="dxa"/>
            </w:tcMar>
            <w:vAlign w:val="center"/>
          </w:tcPr>
          <w:p w14:paraId="0D29F9F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tax rate matches the GST Rate on the rule directly; visible in the Tax Code and Rate columns</w:t>
            </w:r>
          </w:p>
        </w:tc>
      </w:tr>
      <w:tr w:rsidR="00B4496E" w:rsidRPr="00F67E6B" w14:paraId="0D29FA00" w14:textId="77777777">
        <w:tc>
          <w:tcPr>
            <w:tcW w:w="2200" w:type="dxa"/>
            <w:shd w:val="clear" w:color="auto" w:fill="F2F2F2"/>
            <w:tcMar>
              <w:top w:w="90" w:type="dxa"/>
              <w:left w:w="120" w:type="dxa"/>
              <w:bottom w:w="90" w:type="dxa"/>
              <w:right w:w="120" w:type="dxa"/>
            </w:tcMar>
            <w:vAlign w:val="center"/>
          </w:tcPr>
          <w:p w14:paraId="0D29F9F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Intra-State Supply</w:t>
            </w:r>
          </w:p>
        </w:tc>
        <w:tc>
          <w:tcPr>
            <w:tcW w:w="2400" w:type="dxa"/>
            <w:shd w:val="clear" w:color="auto" w:fill="F2F2F2"/>
            <w:tcMar>
              <w:top w:w="90" w:type="dxa"/>
              <w:left w:w="120" w:type="dxa"/>
              <w:bottom w:w="90" w:type="dxa"/>
              <w:right w:w="120" w:type="dxa"/>
            </w:tcMar>
            <w:vAlign w:val="center"/>
          </w:tcPr>
          <w:p w14:paraId="0D29F9F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CGST + SGST, or CGST + UTGST</w:t>
            </w:r>
          </w:p>
        </w:tc>
        <w:tc>
          <w:tcPr>
            <w:tcW w:w="4750" w:type="dxa"/>
            <w:shd w:val="clear" w:color="auto" w:fill="F2F2F2"/>
            <w:tcMar>
              <w:top w:w="90" w:type="dxa"/>
              <w:left w:w="120" w:type="dxa"/>
              <w:bottom w:w="90" w:type="dxa"/>
              <w:right w:w="120" w:type="dxa"/>
            </w:tcMar>
            <w:vAlign w:val="center"/>
          </w:tcPr>
          <w:p w14:paraId="0D29F9F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rate and amount split evenly between the two components; requires checking Within the State or Within the Union Territory as applicable</w:t>
            </w:r>
          </w:p>
        </w:tc>
      </w:tr>
    </w:tbl>
    <w:p w14:paraId="0D29FA01" w14:textId="77777777" w:rsidR="00B4496E" w:rsidRPr="00F67E6B" w:rsidRDefault="00B4496E">
      <w:pPr>
        <w:spacing w:after="100"/>
        <w:rPr>
          <w:rFonts w:asciiTheme="minorHAnsi" w:hAnsiTheme="minorHAnsi" w:cstheme="minorHAnsi"/>
        </w:rPr>
      </w:pPr>
    </w:p>
    <w:p w14:paraId="0D29FA02"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The Classification of Supply field is not available at all when the subsidiary's registration type is SEZ (Special Economic Zone) — SEZ supply follows its own treatment outside this inter-state/intra-state split.</w:t>
      </w:r>
    </w:p>
    <w:p w14:paraId="0D29FA03"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3.3 Amount-Based Rules and Reverse Charge</w:t>
      </w:r>
    </w:p>
    <w:p w14:paraId="0D29FA04"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Two rule variants change how the rate itself is derived rather than which tax type applies:</w:t>
      </w:r>
    </w:p>
    <w:p w14:paraId="0D29FA05" w14:textId="77777777" w:rsidR="00B4496E" w:rsidRPr="00F67E6B" w:rsidRDefault="00BF14D3">
      <w:pPr>
        <w:pStyle w:val="ListParagraph"/>
        <w:numPr>
          <w:ilvl w:val="0"/>
          <w:numId w:val="2"/>
        </w:numPr>
        <w:spacing w:after="80"/>
        <w:rPr>
          <w:rFonts w:asciiTheme="minorHAnsi" w:hAnsiTheme="minorHAnsi" w:cstheme="minorHAnsi"/>
        </w:rPr>
      </w:pPr>
      <w:r w:rsidRPr="00F67E6B">
        <w:rPr>
          <w:rFonts w:asciiTheme="minorHAnsi" w:hAnsiTheme="minorHAnsi" w:cstheme="minorHAnsi"/>
        </w:rPr>
        <w:t>Amount Based rules use the HSN or SAC code to set the tax rate based on a From Amount/To Amount range rather than a single flat rate — useful where GST rate depends on transaction value bands for a given code.</w:t>
      </w:r>
    </w:p>
    <w:p w14:paraId="0D29FA06" w14:textId="77777777" w:rsidR="00B4496E" w:rsidRPr="00F67E6B" w:rsidRDefault="00BF14D3">
      <w:pPr>
        <w:pStyle w:val="ListParagraph"/>
        <w:numPr>
          <w:ilvl w:val="0"/>
          <w:numId w:val="2"/>
        </w:numPr>
        <w:spacing w:after="80"/>
        <w:rPr>
          <w:rFonts w:asciiTheme="minorHAnsi" w:hAnsiTheme="minorHAnsi" w:cstheme="minorHAnsi"/>
        </w:rPr>
      </w:pPr>
      <w:r w:rsidRPr="00F67E6B">
        <w:rPr>
          <w:rFonts w:asciiTheme="minorHAnsi" w:hAnsiTheme="minorHAnsi" w:cstheme="minorHAnsi"/>
        </w:rPr>
        <w:t>Reverse Charge rules (purchase transactions only) shift the liability to remit tax from the seller to the buyer; this is set at the rule level rather than the tax type level for GST rate rules specifically.</w:t>
      </w:r>
    </w:p>
    <w:p w14:paraId="0D29FA07" w14:textId="77777777" w:rsidR="00B4496E" w:rsidRPr="00F67E6B" w:rsidRDefault="00B4496E">
      <w:pPr>
        <w:spacing w:after="100"/>
        <w:rPr>
          <w:rFonts w:asciiTheme="minorHAnsi" w:hAnsiTheme="minorHAnsi" w:cstheme="minorHAnsi"/>
        </w:rPr>
      </w:pPr>
    </w:p>
    <w:p w14:paraId="0D29FA08"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3.4 Compensation Cess</w:t>
      </w:r>
    </w:p>
    <w:p w14:paraId="0D29FA09"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Checking the Compensation Cess box on a rule exposes the fields NetSuite uses to calculate GST Cess alongside the base GST rate: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50"/>
      </w:tblGrid>
      <w:tr w:rsidR="00B4496E" w:rsidRPr="00F67E6B" w14:paraId="0D29FA0C" w14:textId="77777777">
        <w:trPr>
          <w:tblHeader/>
        </w:trPr>
        <w:tc>
          <w:tcPr>
            <w:tcW w:w="3200" w:type="dxa"/>
            <w:shd w:val="clear" w:color="auto" w:fill="1F3864"/>
            <w:tcMar>
              <w:top w:w="100" w:type="dxa"/>
              <w:left w:w="120" w:type="dxa"/>
              <w:bottom w:w="100" w:type="dxa"/>
              <w:right w:w="120" w:type="dxa"/>
            </w:tcMar>
            <w:vAlign w:val="center"/>
          </w:tcPr>
          <w:p w14:paraId="0D29FA0A"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Cess Rate Type</w:t>
            </w:r>
          </w:p>
        </w:tc>
        <w:tc>
          <w:tcPr>
            <w:tcW w:w="6150" w:type="dxa"/>
            <w:shd w:val="clear" w:color="auto" w:fill="1F3864"/>
            <w:tcMar>
              <w:top w:w="100" w:type="dxa"/>
              <w:left w:w="120" w:type="dxa"/>
              <w:bottom w:w="100" w:type="dxa"/>
              <w:right w:w="120" w:type="dxa"/>
            </w:tcMar>
            <w:vAlign w:val="center"/>
          </w:tcPr>
          <w:p w14:paraId="0D29FA0B"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Calculation Basis</w:t>
            </w:r>
          </w:p>
        </w:tc>
      </w:tr>
      <w:tr w:rsidR="00B4496E" w:rsidRPr="00F67E6B" w14:paraId="0D29FA0F" w14:textId="77777777">
        <w:tc>
          <w:tcPr>
            <w:tcW w:w="3200" w:type="dxa"/>
            <w:shd w:val="clear" w:color="auto" w:fill="FFFFFF"/>
            <w:tcMar>
              <w:top w:w="90" w:type="dxa"/>
              <w:left w:w="120" w:type="dxa"/>
              <w:bottom w:w="90" w:type="dxa"/>
              <w:right w:w="120" w:type="dxa"/>
            </w:tcMar>
            <w:vAlign w:val="center"/>
          </w:tcPr>
          <w:p w14:paraId="0D29FA0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Percentage</w:t>
            </w:r>
          </w:p>
        </w:tc>
        <w:tc>
          <w:tcPr>
            <w:tcW w:w="6150" w:type="dxa"/>
            <w:shd w:val="clear" w:color="auto" w:fill="FFFFFF"/>
            <w:tcMar>
              <w:top w:w="90" w:type="dxa"/>
              <w:left w:w="120" w:type="dxa"/>
              <w:bottom w:w="90" w:type="dxa"/>
              <w:right w:w="120" w:type="dxa"/>
            </w:tcMar>
            <w:vAlign w:val="center"/>
          </w:tcPr>
          <w:p w14:paraId="0D29FA0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GST Cess as a percentage of the taxable value</w:t>
            </w:r>
          </w:p>
        </w:tc>
      </w:tr>
      <w:tr w:rsidR="00B4496E" w:rsidRPr="00F67E6B" w14:paraId="0D29FA12" w14:textId="77777777">
        <w:tc>
          <w:tcPr>
            <w:tcW w:w="3200" w:type="dxa"/>
            <w:shd w:val="clear" w:color="auto" w:fill="F2F2F2"/>
            <w:tcMar>
              <w:top w:w="90" w:type="dxa"/>
              <w:left w:w="120" w:type="dxa"/>
              <w:bottom w:w="90" w:type="dxa"/>
              <w:right w:w="120" w:type="dxa"/>
            </w:tcMar>
            <w:vAlign w:val="center"/>
          </w:tcPr>
          <w:p w14:paraId="0D29FA1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Quantity</w:t>
            </w:r>
          </w:p>
        </w:tc>
        <w:tc>
          <w:tcPr>
            <w:tcW w:w="6150" w:type="dxa"/>
            <w:shd w:val="clear" w:color="auto" w:fill="F2F2F2"/>
            <w:tcMar>
              <w:top w:w="90" w:type="dxa"/>
              <w:left w:w="120" w:type="dxa"/>
              <w:bottom w:w="90" w:type="dxa"/>
              <w:right w:w="120" w:type="dxa"/>
            </w:tcMar>
            <w:vAlign w:val="center"/>
          </w:tcPr>
          <w:p w14:paraId="0D29FA1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Based on the Cess Rate Per Unit and the number of Units</w:t>
            </w:r>
          </w:p>
        </w:tc>
      </w:tr>
      <w:tr w:rsidR="00B4496E" w:rsidRPr="00F67E6B" w14:paraId="0D29FA15" w14:textId="77777777">
        <w:tc>
          <w:tcPr>
            <w:tcW w:w="3200" w:type="dxa"/>
            <w:shd w:val="clear" w:color="auto" w:fill="FFFFFF"/>
            <w:tcMar>
              <w:top w:w="90" w:type="dxa"/>
              <w:left w:w="120" w:type="dxa"/>
              <w:bottom w:w="90" w:type="dxa"/>
              <w:right w:w="120" w:type="dxa"/>
            </w:tcMar>
            <w:vAlign w:val="center"/>
          </w:tcPr>
          <w:p w14:paraId="0D29FA1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Percentage + Quantity</w:t>
            </w:r>
          </w:p>
        </w:tc>
        <w:tc>
          <w:tcPr>
            <w:tcW w:w="6150" w:type="dxa"/>
            <w:shd w:val="clear" w:color="auto" w:fill="FFFFFF"/>
            <w:tcMar>
              <w:top w:w="90" w:type="dxa"/>
              <w:left w:w="120" w:type="dxa"/>
              <w:bottom w:w="90" w:type="dxa"/>
              <w:right w:w="120" w:type="dxa"/>
            </w:tcMar>
            <w:vAlign w:val="center"/>
          </w:tcPr>
          <w:p w14:paraId="0D29FA14"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Both the percentage and the per-unit rate are applied together</w:t>
            </w:r>
          </w:p>
        </w:tc>
      </w:tr>
      <w:tr w:rsidR="00B4496E" w:rsidRPr="00F67E6B" w14:paraId="0D29FA18" w14:textId="77777777">
        <w:tc>
          <w:tcPr>
            <w:tcW w:w="3200" w:type="dxa"/>
            <w:shd w:val="clear" w:color="auto" w:fill="F2F2F2"/>
            <w:tcMar>
              <w:top w:w="90" w:type="dxa"/>
              <w:left w:w="120" w:type="dxa"/>
              <w:bottom w:w="90" w:type="dxa"/>
              <w:right w:w="120" w:type="dxa"/>
            </w:tcMar>
            <w:vAlign w:val="center"/>
          </w:tcPr>
          <w:p w14:paraId="0D29FA1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Percentage or Quantity (Higher)</w:t>
            </w:r>
          </w:p>
        </w:tc>
        <w:tc>
          <w:tcPr>
            <w:tcW w:w="6150" w:type="dxa"/>
            <w:shd w:val="clear" w:color="auto" w:fill="F2F2F2"/>
            <w:tcMar>
              <w:top w:w="90" w:type="dxa"/>
              <w:left w:w="120" w:type="dxa"/>
              <w:bottom w:w="90" w:type="dxa"/>
              <w:right w:w="120" w:type="dxa"/>
            </w:tcMar>
            <w:vAlign w:val="center"/>
          </w:tcPr>
          <w:p w14:paraId="0D29FA1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Whichever of the percentage or per-unit calculation yields the higher amount</w:t>
            </w:r>
          </w:p>
        </w:tc>
      </w:tr>
    </w:tbl>
    <w:p w14:paraId="0D29FA19" w14:textId="77777777" w:rsidR="00B4496E" w:rsidRPr="00F67E6B" w:rsidRDefault="00B4496E">
      <w:pPr>
        <w:spacing w:after="100"/>
        <w:rPr>
          <w:rFonts w:asciiTheme="minorHAnsi" w:hAnsiTheme="minorHAnsi" w:cstheme="minorHAnsi"/>
        </w:rPr>
      </w:pPr>
    </w:p>
    <w:p w14:paraId="0D29FA1A" w14:textId="77777777" w:rsidR="00B4496E" w:rsidRDefault="00BF14D3">
      <w:pPr>
        <w:spacing w:after="160" w:line="276" w:lineRule="auto"/>
        <w:rPr>
          <w:rFonts w:asciiTheme="minorHAnsi" w:hAnsiTheme="minorHAnsi" w:cstheme="minorHAnsi"/>
        </w:rPr>
      </w:pPr>
      <w:r w:rsidRPr="00F67E6B">
        <w:rPr>
          <w:rFonts w:asciiTheme="minorHAnsi" w:hAnsiTheme="minorHAnsi" w:cstheme="minorHAnsi"/>
        </w:rPr>
        <w:t xml:space="preserve">On a saved transaction, calculated GST Cess appears in the Details column of the Tax Details subtab, broken out as </w:t>
      </w:r>
      <w:proofErr w:type="spellStart"/>
      <w:r w:rsidRPr="00F67E6B">
        <w:rPr>
          <w:rFonts w:asciiTheme="minorHAnsi" w:hAnsiTheme="minorHAnsi" w:cstheme="minorHAnsi"/>
        </w:rPr>
        <w:t>Advol</w:t>
      </w:r>
      <w:proofErr w:type="spellEnd"/>
      <w:r w:rsidRPr="00F67E6B">
        <w:rPr>
          <w:rFonts w:asciiTheme="minorHAnsi" w:hAnsiTheme="minorHAnsi" w:cstheme="minorHAnsi"/>
        </w:rPr>
        <w:t xml:space="preserve"> (the percentage-based component) and Non </w:t>
      </w:r>
      <w:proofErr w:type="spellStart"/>
      <w:r w:rsidRPr="00F67E6B">
        <w:rPr>
          <w:rFonts w:asciiTheme="minorHAnsi" w:hAnsiTheme="minorHAnsi" w:cstheme="minorHAnsi"/>
        </w:rPr>
        <w:t>Advol</w:t>
      </w:r>
      <w:proofErr w:type="spellEnd"/>
      <w:r w:rsidRPr="00F67E6B">
        <w:rPr>
          <w:rFonts w:asciiTheme="minorHAnsi" w:hAnsiTheme="minorHAnsi" w:cstheme="minorHAnsi"/>
        </w:rPr>
        <w:t xml:space="preserve"> (the quantity-based component) — for example, “</w:t>
      </w:r>
      <w:proofErr w:type="spellStart"/>
      <w:r w:rsidRPr="00F67E6B">
        <w:rPr>
          <w:rFonts w:asciiTheme="minorHAnsi" w:hAnsiTheme="minorHAnsi" w:cstheme="minorHAnsi"/>
        </w:rPr>
        <w:t>Advol</w:t>
      </w:r>
      <w:proofErr w:type="spellEnd"/>
      <w:r w:rsidRPr="00F67E6B">
        <w:rPr>
          <w:rFonts w:asciiTheme="minorHAnsi" w:hAnsiTheme="minorHAnsi" w:cstheme="minorHAnsi"/>
        </w:rPr>
        <w:t xml:space="preserve">: 25, Non </w:t>
      </w:r>
      <w:proofErr w:type="spellStart"/>
      <w:r w:rsidRPr="00F67E6B">
        <w:rPr>
          <w:rFonts w:asciiTheme="minorHAnsi" w:hAnsiTheme="minorHAnsi" w:cstheme="minorHAnsi"/>
        </w:rPr>
        <w:t>Advol</w:t>
      </w:r>
      <w:proofErr w:type="spellEnd"/>
      <w:r w:rsidRPr="00F67E6B">
        <w:rPr>
          <w:rFonts w:asciiTheme="minorHAnsi" w:hAnsiTheme="minorHAnsi" w:cstheme="minorHAnsi"/>
        </w:rPr>
        <w:t>: 0” for a cess calculated purely as a percentage.</w:t>
      </w:r>
    </w:p>
    <w:p w14:paraId="0C8CE6EE" w14:textId="77777777" w:rsidR="004911A2" w:rsidRDefault="004911A2">
      <w:pPr>
        <w:spacing w:after="160" w:line="276" w:lineRule="auto"/>
        <w:rPr>
          <w:rFonts w:asciiTheme="minorHAnsi" w:hAnsiTheme="minorHAnsi" w:cstheme="minorHAnsi"/>
        </w:rPr>
      </w:pPr>
    </w:p>
    <w:p w14:paraId="133843FD" w14:textId="77777777" w:rsidR="004911A2" w:rsidRDefault="004911A2">
      <w:pPr>
        <w:spacing w:after="160" w:line="276" w:lineRule="auto"/>
        <w:rPr>
          <w:rFonts w:asciiTheme="minorHAnsi" w:hAnsiTheme="minorHAnsi" w:cstheme="minorHAnsi"/>
        </w:rPr>
      </w:pPr>
    </w:p>
    <w:p w14:paraId="203EEB4F" w14:textId="77777777" w:rsidR="004911A2" w:rsidRPr="00F67E6B" w:rsidRDefault="004911A2">
      <w:pPr>
        <w:spacing w:after="160" w:line="276" w:lineRule="auto"/>
        <w:rPr>
          <w:rFonts w:asciiTheme="minorHAnsi" w:hAnsiTheme="minorHAnsi" w:cstheme="minorHAnsi"/>
        </w:rPr>
      </w:pPr>
    </w:p>
    <w:p w14:paraId="0D29FA1B"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4. Applying GST on Transactions</w:t>
      </w:r>
    </w:p>
    <w:p w14:paraId="0D29FA1C"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Once HSN/SAC codes and GST tax rate rules exist, 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calculates GST automatically on supported transaction types — but every taxable line still needs an HSN or SAC code before tax can be calculated at all.</w:t>
      </w:r>
    </w:p>
    <w:p w14:paraId="0D29FA1D"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4.1 Purchase Transactions</w:t>
      </w:r>
    </w:p>
    <w:p w14:paraId="0D29FA1E"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GST is calculated on Bills, Purchase Orders, Purchase Requests, and Vendor Credits. Key fields on a purchase transaction: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6450"/>
      </w:tblGrid>
      <w:tr w:rsidR="00B4496E" w:rsidRPr="00F67E6B" w14:paraId="0D29FA21" w14:textId="77777777">
        <w:trPr>
          <w:tblHeader/>
        </w:trPr>
        <w:tc>
          <w:tcPr>
            <w:tcW w:w="2900" w:type="dxa"/>
            <w:shd w:val="clear" w:color="auto" w:fill="1F3864"/>
            <w:tcMar>
              <w:top w:w="100" w:type="dxa"/>
              <w:left w:w="120" w:type="dxa"/>
              <w:bottom w:w="100" w:type="dxa"/>
              <w:right w:w="120" w:type="dxa"/>
            </w:tcMar>
            <w:vAlign w:val="center"/>
          </w:tcPr>
          <w:p w14:paraId="0D29FA1F"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Field</w:t>
            </w:r>
          </w:p>
        </w:tc>
        <w:tc>
          <w:tcPr>
            <w:tcW w:w="6450" w:type="dxa"/>
            <w:shd w:val="clear" w:color="auto" w:fill="1F3864"/>
            <w:tcMar>
              <w:top w:w="100" w:type="dxa"/>
              <w:left w:w="120" w:type="dxa"/>
              <w:bottom w:w="100" w:type="dxa"/>
              <w:right w:w="120" w:type="dxa"/>
            </w:tcMar>
            <w:vAlign w:val="center"/>
          </w:tcPr>
          <w:p w14:paraId="0D29FA20"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Behavior</w:t>
            </w:r>
          </w:p>
        </w:tc>
      </w:tr>
      <w:tr w:rsidR="00B4496E" w:rsidRPr="00F67E6B" w14:paraId="0D29FA24" w14:textId="77777777">
        <w:tc>
          <w:tcPr>
            <w:tcW w:w="2900" w:type="dxa"/>
            <w:shd w:val="clear" w:color="auto" w:fill="FFFFFF"/>
            <w:tcMar>
              <w:top w:w="90" w:type="dxa"/>
              <w:left w:w="120" w:type="dxa"/>
              <w:bottom w:w="90" w:type="dxa"/>
              <w:right w:w="120" w:type="dxa"/>
            </w:tcMar>
            <w:vAlign w:val="center"/>
          </w:tcPr>
          <w:p w14:paraId="0D29FA2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Place of Supply</w:t>
            </w:r>
          </w:p>
        </w:tc>
        <w:tc>
          <w:tcPr>
            <w:tcW w:w="6450" w:type="dxa"/>
            <w:shd w:val="clear" w:color="auto" w:fill="FFFFFF"/>
            <w:tcMar>
              <w:top w:w="90" w:type="dxa"/>
              <w:left w:w="120" w:type="dxa"/>
              <w:bottom w:w="90" w:type="dxa"/>
              <w:right w:w="120" w:type="dxa"/>
            </w:tcMar>
            <w:vAlign w:val="center"/>
          </w:tcPr>
          <w:p w14:paraId="0D29FA2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Determines intra-state vs. inter-state, and therefore SGST/CGST vs. IGST; auto-populates from the subsidiary's main address state code if left blank</w:t>
            </w:r>
          </w:p>
        </w:tc>
      </w:tr>
      <w:tr w:rsidR="00B4496E" w:rsidRPr="00F67E6B" w14:paraId="0D29FA27" w14:textId="77777777">
        <w:tc>
          <w:tcPr>
            <w:tcW w:w="2900" w:type="dxa"/>
            <w:shd w:val="clear" w:color="auto" w:fill="F2F2F2"/>
            <w:tcMar>
              <w:top w:w="90" w:type="dxa"/>
              <w:left w:w="120" w:type="dxa"/>
              <w:bottom w:w="90" w:type="dxa"/>
              <w:right w:w="120" w:type="dxa"/>
            </w:tcMar>
            <w:vAlign w:val="center"/>
          </w:tcPr>
          <w:p w14:paraId="0D29FA25"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Nature of Document</w:t>
            </w:r>
          </w:p>
        </w:tc>
        <w:tc>
          <w:tcPr>
            <w:tcW w:w="6450" w:type="dxa"/>
            <w:shd w:val="clear" w:color="auto" w:fill="F2F2F2"/>
            <w:tcMar>
              <w:top w:w="90" w:type="dxa"/>
              <w:left w:w="120" w:type="dxa"/>
              <w:bottom w:w="90" w:type="dxa"/>
              <w:right w:w="120" w:type="dxa"/>
            </w:tcMar>
            <w:vAlign w:val="center"/>
          </w:tcPr>
          <w:p w14:paraId="0D29FA2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e.g. Invoices for inward supply from unregistered person (bills) or Debit Note (vendor credits, which also requires a Reason for Issuing Note) — feeds the List of Documents Issued on GSTR-1</w:t>
            </w:r>
          </w:p>
        </w:tc>
      </w:tr>
      <w:tr w:rsidR="00B4496E" w:rsidRPr="00F67E6B" w14:paraId="0D29FA2A" w14:textId="77777777">
        <w:tc>
          <w:tcPr>
            <w:tcW w:w="2900" w:type="dxa"/>
            <w:shd w:val="clear" w:color="auto" w:fill="FFFFFF"/>
            <w:tcMar>
              <w:top w:w="90" w:type="dxa"/>
              <w:left w:w="120" w:type="dxa"/>
              <w:bottom w:w="90" w:type="dxa"/>
              <w:right w:w="120" w:type="dxa"/>
            </w:tcMar>
            <w:vAlign w:val="center"/>
          </w:tcPr>
          <w:p w14:paraId="0D29FA28"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India HSN or SAC Code (line column)</w:t>
            </w:r>
          </w:p>
        </w:tc>
        <w:tc>
          <w:tcPr>
            <w:tcW w:w="6450" w:type="dxa"/>
            <w:shd w:val="clear" w:color="auto" w:fill="FFFFFF"/>
            <w:tcMar>
              <w:top w:w="90" w:type="dxa"/>
              <w:left w:w="120" w:type="dxa"/>
              <w:bottom w:w="90" w:type="dxa"/>
              <w:right w:w="120" w:type="dxa"/>
            </w:tcMar>
            <w:vAlign w:val="center"/>
          </w:tcPr>
          <w:p w14:paraId="0D29FA2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Required on every taxable line; defaults from the item record if one is assigned there</w:t>
            </w:r>
          </w:p>
        </w:tc>
      </w:tr>
      <w:tr w:rsidR="00B4496E" w:rsidRPr="00F67E6B" w14:paraId="0D29FA2D" w14:textId="77777777">
        <w:tc>
          <w:tcPr>
            <w:tcW w:w="2900" w:type="dxa"/>
            <w:shd w:val="clear" w:color="auto" w:fill="F2F2F2"/>
            <w:tcMar>
              <w:top w:w="90" w:type="dxa"/>
              <w:left w:w="120" w:type="dxa"/>
              <w:bottom w:w="90" w:type="dxa"/>
              <w:right w:w="120" w:type="dxa"/>
            </w:tcMar>
            <w:vAlign w:val="center"/>
          </w:tcPr>
          <w:p w14:paraId="0D29FA2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India Tax UQC / India Tax Nature (line columns)</w:t>
            </w:r>
          </w:p>
        </w:tc>
        <w:tc>
          <w:tcPr>
            <w:tcW w:w="6450" w:type="dxa"/>
            <w:shd w:val="clear" w:color="auto" w:fill="F2F2F2"/>
            <w:tcMar>
              <w:top w:w="90" w:type="dxa"/>
              <w:left w:w="120" w:type="dxa"/>
              <w:bottom w:w="90" w:type="dxa"/>
              <w:right w:w="120" w:type="dxa"/>
            </w:tcMar>
            <w:vAlign w:val="center"/>
          </w:tcPr>
          <w:p w14:paraId="0D29FA2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Default from the item record; India Tax Nature is required for imported goods/services transactions when filing GSTR-3B</w:t>
            </w:r>
          </w:p>
        </w:tc>
      </w:tr>
      <w:tr w:rsidR="00B4496E" w:rsidRPr="00F67E6B" w14:paraId="0D29FA30" w14:textId="77777777">
        <w:tc>
          <w:tcPr>
            <w:tcW w:w="2900" w:type="dxa"/>
            <w:shd w:val="clear" w:color="auto" w:fill="FFFFFF"/>
            <w:tcMar>
              <w:top w:w="90" w:type="dxa"/>
              <w:left w:w="120" w:type="dxa"/>
              <w:bottom w:w="90" w:type="dxa"/>
              <w:right w:w="120" w:type="dxa"/>
            </w:tcMar>
            <w:vAlign w:val="center"/>
          </w:tcPr>
          <w:p w14:paraId="0D29FA2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Port Code / Bill of Entry Number / Date / Value</w:t>
            </w:r>
          </w:p>
        </w:tc>
        <w:tc>
          <w:tcPr>
            <w:tcW w:w="6450" w:type="dxa"/>
            <w:shd w:val="clear" w:color="auto" w:fill="FFFFFF"/>
            <w:tcMar>
              <w:top w:w="90" w:type="dxa"/>
              <w:left w:w="120" w:type="dxa"/>
              <w:bottom w:w="90" w:type="dxa"/>
              <w:right w:w="120" w:type="dxa"/>
            </w:tcMar>
            <w:vAlign w:val="center"/>
          </w:tcPr>
          <w:p w14:paraId="0D29FA2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Under India Tax Details on the Billing subtab; Port Code is left blank for imported services</w:t>
            </w:r>
          </w:p>
        </w:tc>
      </w:tr>
    </w:tbl>
    <w:p w14:paraId="0D29FA31" w14:textId="77777777" w:rsidR="00B4496E" w:rsidRPr="00F67E6B" w:rsidRDefault="00B4496E">
      <w:pPr>
        <w:spacing w:after="100"/>
        <w:rPr>
          <w:rFonts w:asciiTheme="minorHAnsi" w:hAnsiTheme="minorHAnsi" w:cstheme="minorHAnsi"/>
        </w:rPr>
      </w:pPr>
    </w:p>
    <w:tbl>
      <w:tblPr>
        <w:tblW w:w="9350" w:type="dxa"/>
        <w:tblBorders>
          <w:top w:val="single" w:sz="4" w:space="0" w:color="C9971C"/>
          <w:left w:val="single" w:sz="4" w:space="0" w:color="C9971C"/>
          <w:bottom w:val="single" w:sz="4" w:space="0" w:color="C9971C"/>
          <w:right w:val="single" w:sz="4" w:space="0" w:color="C9971C"/>
          <w:insideH w:val="single" w:sz="4" w:space="0" w:color="C9971C"/>
          <w:insideV w:val="single" w:sz="4" w:space="0" w:color="C9971C"/>
        </w:tblBorders>
        <w:tblCellMar>
          <w:left w:w="10" w:type="dxa"/>
          <w:right w:w="10" w:type="dxa"/>
        </w:tblCellMar>
        <w:tblLook w:val="04A0" w:firstRow="1" w:lastRow="0" w:firstColumn="1" w:lastColumn="0" w:noHBand="0" w:noVBand="1"/>
      </w:tblPr>
      <w:tblGrid>
        <w:gridCol w:w="9350"/>
      </w:tblGrid>
      <w:tr w:rsidR="00B4496E" w:rsidRPr="00F67E6B" w14:paraId="0D29FA34" w14:textId="77777777">
        <w:tc>
          <w:tcPr>
            <w:tcW w:w="9350" w:type="dxa"/>
            <w:shd w:val="clear" w:color="auto" w:fill="FDF2D0"/>
            <w:tcMar>
              <w:top w:w="150" w:type="dxa"/>
              <w:left w:w="200" w:type="dxa"/>
              <w:bottom w:w="150" w:type="dxa"/>
              <w:right w:w="200" w:type="dxa"/>
            </w:tcMar>
          </w:tcPr>
          <w:p w14:paraId="0D29FA32" w14:textId="77777777" w:rsidR="00B4496E" w:rsidRPr="00F67E6B" w:rsidRDefault="00BF14D3">
            <w:pPr>
              <w:spacing w:after="100"/>
              <w:rPr>
                <w:rFonts w:asciiTheme="minorHAnsi" w:hAnsiTheme="minorHAnsi" w:cstheme="minorHAnsi"/>
              </w:rPr>
            </w:pPr>
            <w:r w:rsidRPr="00F67E6B">
              <w:rPr>
                <w:rFonts w:ascii="Segoe UI Emoji" w:hAnsi="Segoe UI Emoji" w:cs="Segoe UI Emoji"/>
                <w:b/>
                <w:bCs/>
                <w:color w:val="1F3864"/>
              </w:rPr>
              <w:t>⚠️</w:t>
            </w:r>
            <w:r w:rsidRPr="00F67E6B">
              <w:rPr>
                <w:rFonts w:asciiTheme="minorHAnsi" w:hAnsiTheme="minorHAnsi" w:cstheme="minorHAnsi"/>
                <w:b/>
                <w:bCs/>
                <w:color w:val="1F3864"/>
              </w:rPr>
              <w:t xml:space="preserve"> CSV Import and SuiteScript Creation Require Explicit Nexus and Place of Supply</w:t>
            </w:r>
          </w:p>
          <w:p w14:paraId="0D29FA33"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When importing purchase or sales transactions with CSV Import or SuiteScript, the Nexus and Place of Supply fields must be explicitly set for GST to calculate — they are not reliably inferred the way they are through the UI</w:t>
            </w:r>
          </w:p>
        </w:tc>
      </w:tr>
    </w:tbl>
    <w:p w14:paraId="0D29FA35" w14:textId="77777777" w:rsidR="00B4496E" w:rsidRPr="00F67E6B" w:rsidRDefault="00B4496E">
      <w:pPr>
        <w:spacing w:after="100"/>
        <w:rPr>
          <w:rFonts w:asciiTheme="minorHAnsi" w:hAnsiTheme="minorHAnsi" w:cstheme="minorHAnsi"/>
        </w:rPr>
      </w:pPr>
    </w:p>
    <w:p w14:paraId="0D29FA36"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4.2 Sales Transactions</w:t>
      </w:r>
    </w:p>
    <w:p w14:paraId="0D29FA37"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Applying India GST on sales transactions follows the same shape as purchase transactions: every line needs an HSN or SAC code before Preview Tax or Save can calculate GST, and the India Tax UQC column reflects the item's assigned unit. Sales-side specifics include export handling — Port Code, Shipping Bill Number, and Shipping Bill Date fields for exported goods — and shipping/handling lines, where the India Tax Shipping HSN or SAC Code and India Handling HSN or SAC Code populate automatically based on the shipping method selected. As with purchase transactions, Preview Tax determines the correct nexus first and then calculates tax, with results appearing on the Tax Details subtab.</w:t>
      </w:r>
    </w:p>
    <w:p w14:paraId="0D29FA38"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lastRenderedPageBreak/>
        <w:t>4.3 Viewing and Overriding GST Details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50"/>
      </w:tblGrid>
      <w:tr w:rsidR="00B4496E" w:rsidRPr="00F67E6B" w14:paraId="0D29FA3B" w14:textId="77777777">
        <w:trPr>
          <w:tblHeader/>
        </w:trPr>
        <w:tc>
          <w:tcPr>
            <w:tcW w:w="3200" w:type="dxa"/>
            <w:shd w:val="clear" w:color="auto" w:fill="1F3864"/>
            <w:tcMar>
              <w:top w:w="100" w:type="dxa"/>
              <w:left w:w="120" w:type="dxa"/>
              <w:bottom w:w="100" w:type="dxa"/>
              <w:right w:w="120" w:type="dxa"/>
            </w:tcMar>
            <w:vAlign w:val="center"/>
          </w:tcPr>
          <w:p w14:paraId="0D29FA39"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Task</w:t>
            </w:r>
          </w:p>
        </w:tc>
        <w:tc>
          <w:tcPr>
            <w:tcW w:w="6150" w:type="dxa"/>
            <w:shd w:val="clear" w:color="auto" w:fill="1F3864"/>
            <w:tcMar>
              <w:top w:w="100" w:type="dxa"/>
              <w:left w:w="120" w:type="dxa"/>
              <w:bottom w:w="100" w:type="dxa"/>
              <w:right w:w="120" w:type="dxa"/>
            </w:tcMar>
            <w:vAlign w:val="center"/>
          </w:tcPr>
          <w:p w14:paraId="0D29FA3A"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How</w:t>
            </w:r>
          </w:p>
        </w:tc>
      </w:tr>
      <w:tr w:rsidR="00B4496E" w:rsidRPr="00F67E6B" w14:paraId="0D29FA3E" w14:textId="77777777">
        <w:tc>
          <w:tcPr>
            <w:tcW w:w="3200" w:type="dxa"/>
            <w:shd w:val="clear" w:color="auto" w:fill="FFFFFF"/>
            <w:tcMar>
              <w:top w:w="90" w:type="dxa"/>
              <w:left w:w="120" w:type="dxa"/>
              <w:bottom w:w="90" w:type="dxa"/>
              <w:right w:w="120" w:type="dxa"/>
            </w:tcMar>
            <w:vAlign w:val="center"/>
          </w:tcPr>
          <w:p w14:paraId="0D29FA3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View GST details across transactions</w:t>
            </w:r>
          </w:p>
        </w:tc>
        <w:tc>
          <w:tcPr>
            <w:tcW w:w="6150" w:type="dxa"/>
            <w:shd w:val="clear" w:color="auto" w:fill="FFFFFF"/>
            <w:tcMar>
              <w:top w:w="90" w:type="dxa"/>
              <w:left w:w="120" w:type="dxa"/>
              <w:bottom w:w="90" w:type="dxa"/>
              <w:right w:w="120" w:type="dxa"/>
            </w:tcMar>
            <w:vAlign w:val="center"/>
          </w:tcPr>
          <w:p w14:paraId="0D29FA3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The India GST Tax Details saved search (installed with the </w:t>
            </w:r>
            <w:proofErr w:type="spellStart"/>
            <w:r w:rsidRPr="00F67E6B">
              <w:rPr>
                <w:rFonts w:asciiTheme="minorHAnsi" w:hAnsiTheme="minorHAnsi" w:cstheme="minorHAnsi"/>
              </w:rPr>
              <w:t>SuiteApp</w:t>
            </w:r>
            <w:proofErr w:type="spellEnd"/>
            <w:r w:rsidRPr="00F67E6B">
              <w:rPr>
                <w:rFonts w:asciiTheme="minorHAnsi" w:hAnsiTheme="minorHAnsi" w:cstheme="minorHAnsi"/>
              </w:rPr>
              <w:t>) covers both purchase and sales transactions; accessible to Administrator or India Tax Manager roles, or copy it into a custom saved search for other filters</w:t>
            </w:r>
          </w:p>
        </w:tc>
      </w:tr>
      <w:tr w:rsidR="00B4496E" w:rsidRPr="00F67E6B" w14:paraId="0D29FA41" w14:textId="77777777">
        <w:tc>
          <w:tcPr>
            <w:tcW w:w="3200" w:type="dxa"/>
            <w:shd w:val="clear" w:color="auto" w:fill="F2F2F2"/>
            <w:tcMar>
              <w:top w:w="90" w:type="dxa"/>
              <w:left w:w="120" w:type="dxa"/>
              <w:bottom w:w="90" w:type="dxa"/>
              <w:right w:w="120" w:type="dxa"/>
            </w:tcMar>
            <w:vAlign w:val="center"/>
          </w:tcPr>
          <w:p w14:paraId="0D29FA3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Override calculated tax</w:t>
            </w:r>
          </w:p>
        </w:tc>
        <w:tc>
          <w:tcPr>
            <w:tcW w:w="6150" w:type="dxa"/>
            <w:shd w:val="clear" w:color="auto" w:fill="F2F2F2"/>
            <w:tcMar>
              <w:top w:w="90" w:type="dxa"/>
              <w:left w:w="120" w:type="dxa"/>
              <w:bottom w:w="90" w:type="dxa"/>
              <w:right w:w="120" w:type="dxa"/>
            </w:tcMar>
            <w:vAlign w:val="center"/>
          </w:tcPr>
          <w:p w14:paraId="0D29FA4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On the Tax Details subtab, check Tax Details Override (requires at least Edit-level Tax Details Tab permission), then edit Tax Type, Tax Code, Tax Basis, Tax Rate, and Tax Amount for the selected Tax Details Reference ID — all fields become required once overriding</w:t>
            </w:r>
          </w:p>
        </w:tc>
      </w:tr>
    </w:tbl>
    <w:p w14:paraId="0D29FA42" w14:textId="77777777" w:rsidR="00B4496E" w:rsidRPr="00F67E6B" w:rsidRDefault="00B4496E">
      <w:pPr>
        <w:spacing w:after="100"/>
        <w:rPr>
          <w:rFonts w:asciiTheme="minorHAnsi" w:hAnsiTheme="minorHAnsi" w:cstheme="minorHAnsi"/>
        </w:rPr>
      </w:pPr>
    </w:p>
    <w:tbl>
      <w:tblPr>
        <w:tblW w:w="9350" w:type="dxa"/>
        <w:tblBorders>
          <w:top w:val="single" w:sz="4" w:space="0" w:color="C9971C"/>
          <w:left w:val="single" w:sz="4" w:space="0" w:color="C9971C"/>
          <w:bottom w:val="single" w:sz="4" w:space="0" w:color="C9971C"/>
          <w:right w:val="single" w:sz="4" w:space="0" w:color="C9971C"/>
          <w:insideH w:val="single" w:sz="4" w:space="0" w:color="C9971C"/>
          <w:insideV w:val="single" w:sz="4" w:space="0" w:color="C9971C"/>
        </w:tblBorders>
        <w:tblCellMar>
          <w:left w:w="10" w:type="dxa"/>
          <w:right w:w="10" w:type="dxa"/>
        </w:tblCellMar>
        <w:tblLook w:val="04A0" w:firstRow="1" w:lastRow="0" w:firstColumn="1" w:lastColumn="0" w:noHBand="0" w:noVBand="1"/>
      </w:tblPr>
      <w:tblGrid>
        <w:gridCol w:w="9350"/>
      </w:tblGrid>
      <w:tr w:rsidR="00B4496E" w:rsidRPr="00F67E6B" w14:paraId="0D29FA46" w14:textId="77777777">
        <w:tc>
          <w:tcPr>
            <w:tcW w:w="9350" w:type="dxa"/>
            <w:shd w:val="clear" w:color="auto" w:fill="FDF2D0"/>
            <w:tcMar>
              <w:top w:w="150" w:type="dxa"/>
              <w:left w:w="200" w:type="dxa"/>
              <w:bottom w:w="150" w:type="dxa"/>
              <w:right w:w="200" w:type="dxa"/>
            </w:tcMar>
          </w:tcPr>
          <w:p w14:paraId="0D29FA43" w14:textId="77777777" w:rsidR="00B4496E" w:rsidRPr="00F67E6B" w:rsidRDefault="00BF14D3">
            <w:pPr>
              <w:spacing w:after="100"/>
              <w:rPr>
                <w:rFonts w:asciiTheme="minorHAnsi" w:hAnsiTheme="minorHAnsi" w:cstheme="minorHAnsi"/>
              </w:rPr>
            </w:pPr>
            <w:r w:rsidRPr="00F67E6B">
              <w:rPr>
                <w:rFonts w:ascii="Segoe UI Emoji" w:hAnsi="Segoe UI Emoji" w:cs="Segoe UI Emoji"/>
                <w:b/>
                <w:bCs/>
                <w:color w:val="1F3864"/>
              </w:rPr>
              <w:t>⚠️</w:t>
            </w:r>
            <w:r w:rsidRPr="00F67E6B">
              <w:rPr>
                <w:rFonts w:asciiTheme="minorHAnsi" w:hAnsiTheme="minorHAnsi" w:cstheme="minorHAnsi"/>
                <w:b/>
                <w:bCs/>
                <w:color w:val="1F3864"/>
              </w:rPr>
              <w:t xml:space="preserve"> Override Disables Preview and Deleting It Deletes the Tax</w:t>
            </w:r>
          </w:p>
          <w:p w14:paraId="0D29FA44"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Tax cannot be previewed while Tax Details Override is checked</w:t>
            </w:r>
          </w:p>
          <w:p w14:paraId="0D29FA45"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Unchecking Tax Details Override after an override was applied deletes the calculated tax entirely, rather than reverting to the engine's original calculation</w:t>
            </w:r>
          </w:p>
        </w:tc>
      </w:tr>
    </w:tbl>
    <w:p w14:paraId="0D29FA47" w14:textId="77777777" w:rsidR="00B4496E" w:rsidRDefault="00B4496E">
      <w:pPr>
        <w:spacing w:after="100"/>
        <w:rPr>
          <w:rFonts w:asciiTheme="minorHAnsi" w:hAnsiTheme="minorHAnsi" w:cstheme="minorHAnsi"/>
        </w:rPr>
      </w:pPr>
    </w:p>
    <w:p w14:paraId="2C50EEC8" w14:textId="77777777" w:rsidR="006067EE" w:rsidRDefault="006067EE">
      <w:pPr>
        <w:spacing w:after="100"/>
        <w:rPr>
          <w:rFonts w:asciiTheme="minorHAnsi" w:hAnsiTheme="minorHAnsi" w:cstheme="minorHAnsi"/>
        </w:rPr>
      </w:pPr>
    </w:p>
    <w:p w14:paraId="6EF62604" w14:textId="77777777" w:rsidR="006067EE" w:rsidRDefault="006067EE">
      <w:pPr>
        <w:spacing w:after="100"/>
        <w:rPr>
          <w:rFonts w:asciiTheme="minorHAnsi" w:hAnsiTheme="minorHAnsi" w:cstheme="minorHAnsi"/>
        </w:rPr>
      </w:pPr>
    </w:p>
    <w:p w14:paraId="27802562" w14:textId="77777777" w:rsidR="006067EE" w:rsidRDefault="006067EE">
      <w:pPr>
        <w:spacing w:after="100"/>
        <w:rPr>
          <w:rFonts w:asciiTheme="minorHAnsi" w:hAnsiTheme="minorHAnsi" w:cstheme="minorHAnsi"/>
        </w:rPr>
      </w:pPr>
    </w:p>
    <w:p w14:paraId="419F7289" w14:textId="77777777" w:rsidR="006067EE" w:rsidRDefault="006067EE">
      <w:pPr>
        <w:spacing w:after="100"/>
        <w:rPr>
          <w:rFonts w:asciiTheme="minorHAnsi" w:hAnsiTheme="minorHAnsi" w:cstheme="minorHAnsi"/>
        </w:rPr>
      </w:pPr>
    </w:p>
    <w:p w14:paraId="386655ED" w14:textId="77777777" w:rsidR="006067EE" w:rsidRDefault="006067EE">
      <w:pPr>
        <w:spacing w:after="100"/>
        <w:rPr>
          <w:rFonts w:asciiTheme="minorHAnsi" w:hAnsiTheme="minorHAnsi" w:cstheme="minorHAnsi"/>
        </w:rPr>
      </w:pPr>
    </w:p>
    <w:p w14:paraId="6AE680A2" w14:textId="77777777" w:rsidR="006067EE" w:rsidRDefault="006067EE">
      <w:pPr>
        <w:spacing w:after="100"/>
        <w:rPr>
          <w:rFonts w:asciiTheme="minorHAnsi" w:hAnsiTheme="minorHAnsi" w:cstheme="minorHAnsi"/>
        </w:rPr>
      </w:pPr>
    </w:p>
    <w:p w14:paraId="16DB6CAB" w14:textId="77777777" w:rsidR="006067EE" w:rsidRDefault="006067EE">
      <w:pPr>
        <w:spacing w:after="100"/>
        <w:rPr>
          <w:rFonts w:asciiTheme="minorHAnsi" w:hAnsiTheme="minorHAnsi" w:cstheme="minorHAnsi"/>
        </w:rPr>
      </w:pPr>
    </w:p>
    <w:p w14:paraId="3184A2CB" w14:textId="77777777" w:rsidR="006067EE" w:rsidRDefault="006067EE">
      <w:pPr>
        <w:spacing w:after="100"/>
        <w:rPr>
          <w:rFonts w:asciiTheme="minorHAnsi" w:hAnsiTheme="minorHAnsi" w:cstheme="minorHAnsi"/>
        </w:rPr>
      </w:pPr>
    </w:p>
    <w:p w14:paraId="0E586BE1" w14:textId="77777777" w:rsidR="006067EE" w:rsidRDefault="006067EE">
      <w:pPr>
        <w:spacing w:after="100"/>
        <w:rPr>
          <w:rFonts w:asciiTheme="minorHAnsi" w:hAnsiTheme="minorHAnsi" w:cstheme="minorHAnsi"/>
        </w:rPr>
      </w:pPr>
    </w:p>
    <w:p w14:paraId="3D4D7C84" w14:textId="77777777" w:rsidR="006067EE" w:rsidRDefault="006067EE">
      <w:pPr>
        <w:spacing w:after="100"/>
        <w:rPr>
          <w:rFonts w:asciiTheme="minorHAnsi" w:hAnsiTheme="minorHAnsi" w:cstheme="minorHAnsi"/>
        </w:rPr>
      </w:pPr>
    </w:p>
    <w:p w14:paraId="28651563" w14:textId="77777777" w:rsidR="006067EE" w:rsidRDefault="006067EE">
      <w:pPr>
        <w:spacing w:after="100"/>
        <w:rPr>
          <w:rFonts w:asciiTheme="minorHAnsi" w:hAnsiTheme="minorHAnsi" w:cstheme="minorHAnsi"/>
        </w:rPr>
      </w:pPr>
    </w:p>
    <w:p w14:paraId="0E10BA31" w14:textId="77777777" w:rsidR="006067EE" w:rsidRDefault="006067EE">
      <w:pPr>
        <w:spacing w:after="100"/>
        <w:rPr>
          <w:rFonts w:asciiTheme="minorHAnsi" w:hAnsiTheme="minorHAnsi" w:cstheme="minorHAnsi"/>
        </w:rPr>
      </w:pPr>
    </w:p>
    <w:p w14:paraId="14E00531" w14:textId="77777777" w:rsidR="006067EE" w:rsidRDefault="006067EE">
      <w:pPr>
        <w:spacing w:after="100"/>
        <w:rPr>
          <w:rFonts w:asciiTheme="minorHAnsi" w:hAnsiTheme="minorHAnsi" w:cstheme="minorHAnsi"/>
        </w:rPr>
      </w:pPr>
    </w:p>
    <w:p w14:paraId="70E37B71" w14:textId="77777777" w:rsidR="006067EE" w:rsidRDefault="006067EE">
      <w:pPr>
        <w:spacing w:after="100"/>
        <w:rPr>
          <w:rFonts w:asciiTheme="minorHAnsi" w:hAnsiTheme="minorHAnsi" w:cstheme="minorHAnsi"/>
        </w:rPr>
      </w:pPr>
    </w:p>
    <w:p w14:paraId="3C711CAD" w14:textId="77777777" w:rsidR="006067EE" w:rsidRDefault="006067EE">
      <w:pPr>
        <w:spacing w:after="100"/>
        <w:rPr>
          <w:rFonts w:asciiTheme="minorHAnsi" w:hAnsiTheme="minorHAnsi" w:cstheme="minorHAnsi"/>
        </w:rPr>
      </w:pPr>
    </w:p>
    <w:p w14:paraId="131C471F" w14:textId="77777777" w:rsidR="006067EE" w:rsidRDefault="006067EE">
      <w:pPr>
        <w:spacing w:after="100"/>
        <w:rPr>
          <w:rFonts w:asciiTheme="minorHAnsi" w:hAnsiTheme="minorHAnsi" w:cstheme="minorHAnsi"/>
        </w:rPr>
      </w:pPr>
    </w:p>
    <w:p w14:paraId="614C96FD" w14:textId="77777777" w:rsidR="006067EE" w:rsidRDefault="006067EE">
      <w:pPr>
        <w:spacing w:after="100"/>
        <w:rPr>
          <w:rFonts w:asciiTheme="minorHAnsi" w:hAnsiTheme="minorHAnsi" w:cstheme="minorHAnsi"/>
        </w:rPr>
      </w:pPr>
    </w:p>
    <w:p w14:paraId="64099F44" w14:textId="77777777" w:rsidR="006067EE" w:rsidRDefault="006067EE">
      <w:pPr>
        <w:spacing w:after="100"/>
        <w:rPr>
          <w:rFonts w:asciiTheme="minorHAnsi" w:hAnsiTheme="minorHAnsi" w:cstheme="minorHAnsi"/>
        </w:rPr>
      </w:pPr>
    </w:p>
    <w:p w14:paraId="29BE47B0" w14:textId="77777777" w:rsidR="006067EE" w:rsidRDefault="006067EE">
      <w:pPr>
        <w:spacing w:after="100"/>
        <w:rPr>
          <w:rFonts w:asciiTheme="minorHAnsi" w:hAnsiTheme="minorHAnsi" w:cstheme="minorHAnsi"/>
        </w:rPr>
      </w:pPr>
    </w:p>
    <w:p w14:paraId="0D29FA48"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5. India GST Setup Sequence</w:t>
      </w:r>
    </w:p>
    <w:p w14:paraId="0D29FA49"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Oracle documents a specific order for configuring India GST, since later steps depend on records created earlier: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700"/>
        <w:gridCol w:w="3700"/>
        <w:gridCol w:w="4950"/>
      </w:tblGrid>
      <w:tr w:rsidR="00B4496E" w:rsidRPr="00F67E6B" w14:paraId="0D29FA4D" w14:textId="77777777">
        <w:trPr>
          <w:tblHeader/>
        </w:trPr>
        <w:tc>
          <w:tcPr>
            <w:tcW w:w="700" w:type="dxa"/>
            <w:shd w:val="clear" w:color="auto" w:fill="1F3864"/>
            <w:tcMar>
              <w:top w:w="100" w:type="dxa"/>
              <w:left w:w="120" w:type="dxa"/>
              <w:bottom w:w="100" w:type="dxa"/>
              <w:right w:w="120" w:type="dxa"/>
            </w:tcMar>
            <w:vAlign w:val="center"/>
          </w:tcPr>
          <w:p w14:paraId="0D29FA4A"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Step</w:t>
            </w:r>
          </w:p>
        </w:tc>
        <w:tc>
          <w:tcPr>
            <w:tcW w:w="3700" w:type="dxa"/>
            <w:shd w:val="clear" w:color="auto" w:fill="1F3864"/>
            <w:tcMar>
              <w:top w:w="100" w:type="dxa"/>
              <w:left w:w="120" w:type="dxa"/>
              <w:bottom w:w="100" w:type="dxa"/>
              <w:right w:w="120" w:type="dxa"/>
            </w:tcMar>
            <w:vAlign w:val="center"/>
          </w:tcPr>
          <w:p w14:paraId="0D29FA4B"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Action</w:t>
            </w:r>
          </w:p>
        </w:tc>
        <w:tc>
          <w:tcPr>
            <w:tcW w:w="4950" w:type="dxa"/>
            <w:shd w:val="clear" w:color="auto" w:fill="1F3864"/>
            <w:tcMar>
              <w:top w:w="100" w:type="dxa"/>
              <w:left w:w="120" w:type="dxa"/>
              <w:bottom w:w="100" w:type="dxa"/>
              <w:right w:w="120" w:type="dxa"/>
            </w:tcMar>
            <w:vAlign w:val="center"/>
          </w:tcPr>
          <w:p w14:paraId="0D29FA4C"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Detail</w:t>
            </w:r>
          </w:p>
        </w:tc>
      </w:tr>
      <w:tr w:rsidR="00B4496E" w:rsidRPr="00F67E6B" w14:paraId="0D29FA51" w14:textId="77777777">
        <w:tc>
          <w:tcPr>
            <w:tcW w:w="700" w:type="dxa"/>
            <w:shd w:val="clear" w:color="auto" w:fill="FFFFFF"/>
            <w:tcMar>
              <w:top w:w="90" w:type="dxa"/>
              <w:left w:w="120" w:type="dxa"/>
              <w:bottom w:w="90" w:type="dxa"/>
              <w:right w:w="120" w:type="dxa"/>
            </w:tcMar>
            <w:vAlign w:val="center"/>
          </w:tcPr>
          <w:p w14:paraId="0D29FA4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1</w:t>
            </w:r>
          </w:p>
        </w:tc>
        <w:tc>
          <w:tcPr>
            <w:tcW w:w="3700" w:type="dxa"/>
            <w:shd w:val="clear" w:color="auto" w:fill="FFFFFF"/>
            <w:tcMar>
              <w:top w:w="90" w:type="dxa"/>
              <w:left w:w="120" w:type="dxa"/>
              <w:bottom w:w="90" w:type="dxa"/>
              <w:right w:w="120" w:type="dxa"/>
            </w:tcMar>
            <w:vAlign w:val="center"/>
          </w:tcPr>
          <w:p w14:paraId="0D29FA4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Set up India GST tax registrations for vendors and customers</w:t>
            </w:r>
          </w:p>
        </w:tc>
        <w:tc>
          <w:tcPr>
            <w:tcW w:w="4950" w:type="dxa"/>
            <w:shd w:val="clear" w:color="auto" w:fill="FFFFFF"/>
            <w:tcMar>
              <w:top w:w="90" w:type="dxa"/>
              <w:left w:w="120" w:type="dxa"/>
              <w:bottom w:w="90" w:type="dxa"/>
              <w:right w:w="120" w:type="dxa"/>
            </w:tcMar>
            <w:vAlign w:val="center"/>
          </w:tcPr>
          <w:p w14:paraId="0D29FA5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GSTIN and registration type on entity records</w:t>
            </w:r>
          </w:p>
        </w:tc>
      </w:tr>
      <w:tr w:rsidR="00B4496E" w:rsidRPr="00F67E6B" w14:paraId="0D29FA55" w14:textId="77777777">
        <w:tc>
          <w:tcPr>
            <w:tcW w:w="700" w:type="dxa"/>
            <w:shd w:val="clear" w:color="auto" w:fill="F2F2F2"/>
            <w:tcMar>
              <w:top w:w="90" w:type="dxa"/>
              <w:left w:w="120" w:type="dxa"/>
              <w:bottom w:w="90" w:type="dxa"/>
              <w:right w:w="120" w:type="dxa"/>
            </w:tcMar>
            <w:vAlign w:val="center"/>
          </w:tcPr>
          <w:p w14:paraId="0D29FA5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2</w:t>
            </w:r>
          </w:p>
        </w:tc>
        <w:tc>
          <w:tcPr>
            <w:tcW w:w="3700" w:type="dxa"/>
            <w:shd w:val="clear" w:color="auto" w:fill="F2F2F2"/>
            <w:tcMar>
              <w:top w:w="90" w:type="dxa"/>
              <w:left w:w="120" w:type="dxa"/>
              <w:bottom w:w="90" w:type="dxa"/>
              <w:right w:w="120" w:type="dxa"/>
            </w:tcMar>
            <w:vAlign w:val="center"/>
          </w:tcPr>
          <w:p w14:paraId="0D29FA5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Assign a default India tax nature to items</w:t>
            </w:r>
          </w:p>
        </w:tc>
        <w:tc>
          <w:tcPr>
            <w:tcW w:w="4950" w:type="dxa"/>
            <w:shd w:val="clear" w:color="auto" w:fill="F2F2F2"/>
            <w:tcMar>
              <w:top w:w="90" w:type="dxa"/>
              <w:left w:w="120" w:type="dxa"/>
              <w:bottom w:w="90" w:type="dxa"/>
              <w:right w:w="120" w:type="dxa"/>
            </w:tcMar>
            <w:vAlign w:val="center"/>
          </w:tcPr>
          <w:p w14:paraId="0D29FA54"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Goods, services, or capital goods</w:t>
            </w:r>
          </w:p>
        </w:tc>
      </w:tr>
      <w:tr w:rsidR="00B4496E" w:rsidRPr="00F67E6B" w14:paraId="0D29FA59" w14:textId="77777777">
        <w:tc>
          <w:tcPr>
            <w:tcW w:w="700" w:type="dxa"/>
            <w:shd w:val="clear" w:color="auto" w:fill="FFFFFF"/>
            <w:tcMar>
              <w:top w:w="90" w:type="dxa"/>
              <w:left w:w="120" w:type="dxa"/>
              <w:bottom w:w="90" w:type="dxa"/>
              <w:right w:w="120" w:type="dxa"/>
            </w:tcMar>
            <w:vAlign w:val="center"/>
          </w:tcPr>
          <w:p w14:paraId="0D29FA5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3</w:t>
            </w:r>
          </w:p>
        </w:tc>
        <w:tc>
          <w:tcPr>
            <w:tcW w:w="3700" w:type="dxa"/>
            <w:shd w:val="clear" w:color="auto" w:fill="FFFFFF"/>
            <w:tcMar>
              <w:top w:w="90" w:type="dxa"/>
              <w:left w:w="120" w:type="dxa"/>
              <w:bottom w:w="90" w:type="dxa"/>
              <w:right w:w="120" w:type="dxa"/>
            </w:tcMar>
            <w:vAlign w:val="center"/>
          </w:tcPr>
          <w:p w14:paraId="0D29FA5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Assign tax accounts to each GST type</w:t>
            </w:r>
          </w:p>
        </w:tc>
        <w:tc>
          <w:tcPr>
            <w:tcW w:w="4950" w:type="dxa"/>
            <w:shd w:val="clear" w:color="auto" w:fill="FFFFFF"/>
            <w:tcMar>
              <w:top w:w="90" w:type="dxa"/>
              <w:left w:w="120" w:type="dxa"/>
              <w:bottom w:w="90" w:type="dxa"/>
              <w:right w:w="120" w:type="dxa"/>
            </w:tcMar>
            <w:vAlign w:val="center"/>
          </w:tcPr>
          <w:p w14:paraId="0D29FA58"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Where GST is deposited, per nexus, on the Tax Type record</w:t>
            </w:r>
          </w:p>
        </w:tc>
      </w:tr>
      <w:tr w:rsidR="00B4496E" w:rsidRPr="00F67E6B" w14:paraId="0D29FA5D" w14:textId="77777777">
        <w:tc>
          <w:tcPr>
            <w:tcW w:w="700" w:type="dxa"/>
            <w:shd w:val="clear" w:color="auto" w:fill="F2F2F2"/>
            <w:tcMar>
              <w:top w:w="90" w:type="dxa"/>
              <w:left w:w="120" w:type="dxa"/>
              <w:bottom w:w="90" w:type="dxa"/>
              <w:right w:w="120" w:type="dxa"/>
            </w:tcMar>
            <w:vAlign w:val="center"/>
          </w:tcPr>
          <w:p w14:paraId="0D29FA5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4</w:t>
            </w:r>
          </w:p>
        </w:tc>
        <w:tc>
          <w:tcPr>
            <w:tcW w:w="3700" w:type="dxa"/>
            <w:shd w:val="clear" w:color="auto" w:fill="F2F2F2"/>
            <w:tcMar>
              <w:top w:w="90" w:type="dxa"/>
              <w:left w:w="120" w:type="dxa"/>
              <w:bottom w:w="90" w:type="dxa"/>
              <w:right w:w="120" w:type="dxa"/>
            </w:tcMar>
            <w:vAlign w:val="center"/>
          </w:tcPr>
          <w:p w14:paraId="0D29FA5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Set up HSN and SAC codes for GST</w:t>
            </w:r>
          </w:p>
        </w:tc>
        <w:tc>
          <w:tcPr>
            <w:tcW w:w="4950" w:type="dxa"/>
            <w:shd w:val="clear" w:color="auto" w:fill="F2F2F2"/>
            <w:tcMar>
              <w:top w:w="90" w:type="dxa"/>
              <w:left w:w="120" w:type="dxa"/>
              <w:bottom w:w="90" w:type="dxa"/>
              <w:right w:w="120" w:type="dxa"/>
            </w:tcMar>
            <w:vAlign w:val="center"/>
          </w:tcPr>
          <w:p w14:paraId="0D29FA5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The classification catalogue (section 2)</w:t>
            </w:r>
          </w:p>
        </w:tc>
      </w:tr>
      <w:tr w:rsidR="00B4496E" w:rsidRPr="00F67E6B" w14:paraId="0D29FA61" w14:textId="77777777">
        <w:tc>
          <w:tcPr>
            <w:tcW w:w="700" w:type="dxa"/>
            <w:shd w:val="clear" w:color="auto" w:fill="FFFFFF"/>
            <w:tcMar>
              <w:top w:w="90" w:type="dxa"/>
              <w:left w:w="120" w:type="dxa"/>
              <w:bottom w:w="90" w:type="dxa"/>
              <w:right w:w="120" w:type="dxa"/>
            </w:tcMar>
            <w:vAlign w:val="center"/>
          </w:tcPr>
          <w:p w14:paraId="0D29FA5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5</w:t>
            </w:r>
          </w:p>
        </w:tc>
        <w:tc>
          <w:tcPr>
            <w:tcW w:w="3700" w:type="dxa"/>
            <w:shd w:val="clear" w:color="auto" w:fill="FFFFFF"/>
            <w:tcMar>
              <w:top w:w="90" w:type="dxa"/>
              <w:left w:w="120" w:type="dxa"/>
              <w:bottom w:w="90" w:type="dxa"/>
              <w:right w:w="120" w:type="dxa"/>
            </w:tcMar>
            <w:vAlign w:val="center"/>
          </w:tcPr>
          <w:p w14:paraId="0D29FA5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Create GST tax rate rules</w:t>
            </w:r>
          </w:p>
        </w:tc>
        <w:tc>
          <w:tcPr>
            <w:tcW w:w="4950" w:type="dxa"/>
            <w:shd w:val="clear" w:color="auto" w:fill="FFFFFF"/>
            <w:tcMar>
              <w:top w:w="90" w:type="dxa"/>
              <w:left w:w="120" w:type="dxa"/>
              <w:bottom w:w="90" w:type="dxa"/>
              <w:right w:w="120" w:type="dxa"/>
            </w:tcMar>
            <w:vAlign w:val="center"/>
          </w:tcPr>
          <w:p w14:paraId="0D29FA6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Ties HSN/SAC codes to actual rates (section 3)</w:t>
            </w:r>
          </w:p>
        </w:tc>
      </w:tr>
      <w:tr w:rsidR="00B4496E" w:rsidRPr="00F67E6B" w14:paraId="0D29FA65" w14:textId="77777777">
        <w:tc>
          <w:tcPr>
            <w:tcW w:w="700" w:type="dxa"/>
            <w:shd w:val="clear" w:color="auto" w:fill="F2F2F2"/>
            <w:tcMar>
              <w:top w:w="90" w:type="dxa"/>
              <w:left w:w="120" w:type="dxa"/>
              <w:bottom w:w="90" w:type="dxa"/>
              <w:right w:w="120" w:type="dxa"/>
            </w:tcMar>
            <w:vAlign w:val="center"/>
          </w:tcPr>
          <w:p w14:paraId="0D29FA6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6</w:t>
            </w:r>
          </w:p>
        </w:tc>
        <w:tc>
          <w:tcPr>
            <w:tcW w:w="3700" w:type="dxa"/>
            <w:shd w:val="clear" w:color="auto" w:fill="F2F2F2"/>
            <w:tcMar>
              <w:top w:w="90" w:type="dxa"/>
              <w:left w:w="120" w:type="dxa"/>
              <w:bottom w:w="90" w:type="dxa"/>
              <w:right w:w="120" w:type="dxa"/>
            </w:tcMar>
            <w:vAlign w:val="center"/>
          </w:tcPr>
          <w:p w14:paraId="0D29FA6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Set up Unique Quantity Code (UQC) for items</w:t>
            </w:r>
          </w:p>
        </w:tc>
        <w:tc>
          <w:tcPr>
            <w:tcW w:w="4950" w:type="dxa"/>
            <w:shd w:val="clear" w:color="auto" w:fill="F2F2F2"/>
            <w:tcMar>
              <w:top w:w="90" w:type="dxa"/>
              <w:left w:w="120" w:type="dxa"/>
              <w:bottom w:w="90" w:type="dxa"/>
              <w:right w:w="120" w:type="dxa"/>
            </w:tcMar>
            <w:vAlign w:val="center"/>
          </w:tcPr>
          <w:p w14:paraId="0D29FA64"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Reporting units for the GSTR-1 HSN Summary</w:t>
            </w:r>
          </w:p>
        </w:tc>
      </w:tr>
    </w:tbl>
    <w:p w14:paraId="0D29FA66" w14:textId="77777777" w:rsidR="00B4496E" w:rsidRPr="00F67E6B" w:rsidRDefault="00B4496E">
      <w:pPr>
        <w:spacing w:after="100"/>
        <w:rPr>
          <w:rFonts w:asciiTheme="minorHAnsi" w:hAnsiTheme="minorHAnsi" w:cstheme="minorHAnsi"/>
        </w:rPr>
      </w:pPr>
    </w:p>
    <w:p w14:paraId="0D29FA67" w14:textId="77777777" w:rsidR="00B4496E" w:rsidRDefault="00BF14D3">
      <w:pPr>
        <w:spacing w:after="160" w:line="276" w:lineRule="auto"/>
        <w:rPr>
          <w:rFonts w:asciiTheme="minorHAnsi" w:hAnsiTheme="minorHAnsi" w:cstheme="minorHAnsi"/>
        </w:rPr>
      </w:pPr>
      <w:r w:rsidRPr="00F67E6B">
        <w:rPr>
          <w:rFonts w:asciiTheme="minorHAnsi" w:hAnsiTheme="minorHAnsi" w:cstheme="minorHAnsi"/>
        </w:rPr>
        <w:t xml:space="preserve">Tax registrations are set up on the entity's </w:t>
      </w:r>
      <w:proofErr w:type="gramStart"/>
      <w:r w:rsidRPr="00F67E6B">
        <w:rPr>
          <w:rFonts w:asciiTheme="minorHAnsi" w:hAnsiTheme="minorHAnsi" w:cstheme="minorHAnsi"/>
        </w:rPr>
        <w:t>Financial</w:t>
      </w:r>
      <w:proofErr w:type="gramEnd"/>
      <w:r w:rsidRPr="00F67E6B">
        <w:rPr>
          <w:rFonts w:asciiTheme="minorHAnsi" w:hAnsiTheme="minorHAnsi" w:cstheme="minorHAnsi"/>
        </w:rPr>
        <w:t xml:space="preserve"> subtab, under Tax Registrations, selecting India as the country, a nexus, an address, and the GSTIN in the Tax Reg. Number field. Multiple registrations can be added per entity, with the first one saved becoming the default (changeable via Default Tax Reg.).</w:t>
      </w:r>
    </w:p>
    <w:p w14:paraId="5DBB5AD1" w14:textId="77777777" w:rsidR="0020014E" w:rsidRDefault="0020014E">
      <w:pPr>
        <w:spacing w:after="160" w:line="276" w:lineRule="auto"/>
        <w:rPr>
          <w:rFonts w:asciiTheme="minorHAnsi" w:hAnsiTheme="minorHAnsi" w:cstheme="minorHAnsi"/>
        </w:rPr>
      </w:pPr>
    </w:p>
    <w:p w14:paraId="1970EAE0" w14:textId="77777777" w:rsidR="0020014E" w:rsidRDefault="0020014E">
      <w:pPr>
        <w:spacing w:after="160" w:line="276" w:lineRule="auto"/>
        <w:rPr>
          <w:rFonts w:asciiTheme="minorHAnsi" w:hAnsiTheme="minorHAnsi" w:cstheme="minorHAnsi"/>
        </w:rPr>
      </w:pPr>
    </w:p>
    <w:p w14:paraId="488BC7B1" w14:textId="77777777" w:rsidR="0020014E" w:rsidRDefault="0020014E">
      <w:pPr>
        <w:spacing w:after="160" w:line="276" w:lineRule="auto"/>
        <w:rPr>
          <w:rFonts w:asciiTheme="minorHAnsi" w:hAnsiTheme="minorHAnsi" w:cstheme="minorHAnsi"/>
        </w:rPr>
      </w:pPr>
    </w:p>
    <w:p w14:paraId="6FF72502" w14:textId="77777777" w:rsidR="0020014E" w:rsidRDefault="0020014E">
      <w:pPr>
        <w:spacing w:after="160" w:line="276" w:lineRule="auto"/>
        <w:rPr>
          <w:rFonts w:asciiTheme="minorHAnsi" w:hAnsiTheme="minorHAnsi" w:cstheme="minorHAnsi"/>
        </w:rPr>
      </w:pPr>
    </w:p>
    <w:p w14:paraId="60BBBB73" w14:textId="77777777" w:rsidR="0020014E" w:rsidRDefault="0020014E">
      <w:pPr>
        <w:spacing w:after="160" w:line="276" w:lineRule="auto"/>
        <w:rPr>
          <w:rFonts w:asciiTheme="minorHAnsi" w:hAnsiTheme="minorHAnsi" w:cstheme="minorHAnsi"/>
        </w:rPr>
      </w:pPr>
    </w:p>
    <w:p w14:paraId="015F4823" w14:textId="77777777" w:rsidR="0020014E" w:rsidRDefault="0020014E">
      <w:pPr>
        <w:spacing w:after="160" w:line="276" w:lineRule="auto"/>
        <w:rPr>
          <w:rFonts w:asciiTheme="minorHAnsi" w:hAnsiTheme="minorHAnsi" w:cstheme="minorHAnsi"/>
        </w:rPr>
      </w:pPr>
    </w:p>
    <w:p w14:paraId="4059C602" w14:textId="77777777" w:rsidR="0020014E" w:rsidRDefault="0020014E">
      <w:pPr>
        <w:spacing w:after="160" w:line="276" w:lineRule="auto"/>
        <w:rPr>
          <w:rFonts w:asciiTheme="minorHAnsi" w:hAnsiTheme="minorHAnsi" w:cstheme="minorHAnsi"/>
        </w:rPr>
      </w:pPr>
    </w:p>
    <w:p w14:paraId="6715D46D" w14:textId="77777777" w:rsidR="0020014E" w:rsidRDefault="0020014E">
      <w:pPr>
        <w:spacing w:after="160" w:line="276" w:lineRule="auto"/>
        <w:rPr>
          <w:rFonts w:asciiTheme="minorHAnsi" w:hAnsiTheme="minorHAnsi" w:cstheme="minorHAnsi"/>
        </w:rPr>
      </w:pPr>
    </w:p>
    <w:p w14:paraId="08DC81DD" w14:textId="77777777" w:rsidR="0020014E" w:rsidRDefault="0020014E">
      <w:pPr>
        <w:spacing w:after="160" w:line="276" w:lineRule="auto"/>
        <w:rPr>
          <w:rFonts w:asciiTheme="minorHAnsi" w:hAnsiTheme="minorHAnsi" w:cstheme="minorHAnsi"/>
        </w:rPr>
      </w:pPr>
    </w:p>
    <w:p w14:paraId="489A9059" w14:textId="77777777" w:rsidR="0020014E" w:rsidRDefault="0020014E">
      <w:pPr>
        <w:spacing w:after="160" w:line="276" w:lineRule="auto"/>
        <w:rPr>
          <w:rFonts w:asciiTheme="minorHAnsi" w:hAnsiTheme="minorHAnsi" w:cstheme="minorHAnsi"/>
        </w:rPr>
      </w:pPr>
    </w:p>
    <w:p w14:paraId="61DB26C1" w14:textId="77777777" w:rsidR="0020014E" w:rsidRDefault="0020014E">
      <w:pPr>
        <w:spacing w:after="160" w:line="276" w:lineRule="auto"/>
        <w:rPr>
          <w:rFonts w:asciiTheme="minorHAnsi" w:hAnsiTheme="minorHAnsi" w:cstheme="minorHAnsi"/>
        </w:rPr>
      </w:pPr>
    </w:p>
    <w:p w14:paraId="27A67EB6" w14:textId="77777777" w:rsidR="0020014E" w:rsidRDefault="0020014E">
      <w:pPr>
        <w:spacing w:after="160" w:line="276" w:lineRule="auto"/>
        <w:rPr>
          <w:rFonts w:asciiTheme="minorHAnsi" w:hAnsiTheme="minorHAnsi" w:cstheme="minorHAnsi"/>
        </w:rPr>
      </w:pPr>
    </w:p>
    <w:p w14:paraId="77666FFD" w14:textId="77777777" w:rsidR="0020014E" w:rsidRDefault="0020014E">
      <w:pPr>
        <w:spacing w:after="160" w:line="276" w:lineRule="auto"/>
        <w:rPr>
          <w:rFonts w:asciiTheme="minorHAnsi" w:hAnsiTheme="minorHAnsi" w:cstheme="minorHAnsi"/>
        </w:rPr>
      </w:pPr>
    </w:p>
    <w:p w14:paraId="3C478C4D" w14:textId="77777777" w:rsidR="0020014E" w:rsidRPr="00F67E6B" w:rsidRDefault="0020014E">
      <w:pPr>
        <w:spacing w:after="160" w:line="276" w:lineRule="auto"/>
        <w:rPr>
          <w:rFonts w:asciiTheme="minorHAnsi" w:hAnsiTheme="minorHAnsi" w:cstheme="minorHAnsi"/>
        </w:rPr>
      </w:pPr>
    </w:p>
    <w:p w14:paraId="0D29FA68"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6. SuiteScript 2.1 — Reading and Validating GST Data</w:t>
      </w:r>
    </w:p>
    <w:p w14:paraId="0D29FA69" w14:textId="77777777" w:rsidR="00B4496E" w:rsidRPr="00F67E6B" w:rsidRDefault="00BF14D3">
      <w:pPr>
        <w:spacing w:after="160" w:line="276" w:lineRule="auto"/>
        <w:rPr>
          <w:rFonts w:asciiTheme="minorHAnsi" w:hAnsiTheme="minorHAnsi" w:cstheme="minorHAnsi"/>
        </w:rPr>
      </w:pPr>
      <w:proofErr w:type="spellStart"/>
      <w:r w:rsidRPr="00F67E6B">
        <w:rPr>
          <w:rFonts w:asciiTheme="minorHAnsi" w:hAnsiTheme="minorHAnsi" w:cstheme="minorHAnsi"/>
        </w:rPr>
        <w:t>SuiteScript's</w:t>
      </w:r>
      <w:proofErr w:type="spellEnd"/>
      <w:r w:rsidRPr="00F67E6B">
        <w:rPr>
          <w:rFonts w:asciiTheme="minorHAnsi" w:hAnsiTheme="minorHAnsi" w:cstheme="minorHAnsi"/>
        </w:rPr>
        <w:t xml:space="preserve"> role here is narrower than the tax-recalculation automation covered for general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in Week 21: HSN/SAC codes, tax nature, and UQC are custom fields introduced by the India Localization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Engine bundle, so their internal field IDs are account/bundle-specific and are not published as fixed IDs in Oracle's core SuiteScript reference — confirm them per account using the Field internal ID inspector (as documented under Finding Internal IDs of Record Fields) before wiring a script to them. What is documented and stable across every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account, India included, is the </w:t>
      </w:r>
      <w:proofErr w:type="spellStart"/>
      <w:r w:rsidRPr="00F67E6B">
        <w:rPr>
          <w:rFonts w:asciiTheme="minorHAnsi" w:hAnsiTheme="minorHAnsi" w:cstheme="minorHAnsi"/>
        </w:rPr>
        <w:t>taxdetails</w:t>
      </w:r>
      <w:proofErr w:type="spellEnd"/>
      <w:r w:rsidRPr="00F67E6B">
        <w:rPr>
          <w:rFonts w:asciiTheme="minorHAnsi" w:hAnsiTheme="minorHAnsi" w:cstheme="minorHAnsi"/>
        </w:rPr>
        <w:t xml:space="preserve"> </w:t>
      </w:r>
      <w:proofErr w:type="spellStart"/>
      <w:r w:rsidRPr="00F67E6B">
        <w:rPr>
          <w:rFonts w:asciiTheme="minorHAnsi" w:hAnsiTheme="minorHAnsi" w:cstheme="minorHAnsi"/>
        </w:rPr>
        <w:t>sublist</w:t>
      </w:r>
      <w:proofErr w:type="spellEnd"/>
      <w:r w:rsidRPr="00F67E6B">
        <w:rPr>
          <w:rFonts w:asciiTheme="minorHAnsi" w:hAnsiTheme="minorHAnsi" w:cstheme="minorHAnsi"/>
        </w:rPr>
        <w:t xml:space="preserve"> and the tax calculation macro — and there is an important correction to carry over from Week 21's macro example.</w:t>
      </w:r>
    </w:p>
    <w:tbl>
      <w:tblPr>
        <w:tblW w:w="9350" w:type="dxa"/>
        <w:tblBorders>
          <w:top w:val="single" w:sz="4" w:space="0" w:color="C9971C"/>
          <w:left w:val="single" w:sz="4" w:space="0" w:color="C9971C"/>
          <w:bottom w:val="single" w:sz="4" w:space="0" w:color="C9971C"/>
          <w:right w:val="single" w:sz="4" w:space="0" w:color="C9971C"/>
          <w:insideH w:val="single" w:sz="4" w:space="0" w:color="C9971C"/>
          <w:insideV w:val="single" w:sz="4" w:space="0" w:color="C9971C"/>
        </w:tblBorders>
        <w:tblCellMar>
          <w:left w:w="10" w:type="dxa"/>
          <w:right w:w="10" w:type="dxa"/>
        </w:tblCellMar>
        <w:tblLook w:val="04A0" w:firstRow="1" w:lastRow="0" w:firstColumn="1" w:lastColumn="0" w:noHBand="0" w:noVBand="1"/>
      </w:tblPr>
      <w:tblGrid>
        <w:gridCol w:w="9350"/>
      </w:tblGrid>
      <w:tr w:rsidR="00B4496E" w:rsidRPr="00F67E6B" w14:paraId="0D29FA6E" w14:textId="77777777">
        <w:tc>
          <w:tcPr>
            <w:tcW w:w="9350" w:type="dxa"/>
            <w:shd w:val="clear" w:color="auto" w:fill="FDF2D0"/>
            <w:tcMar>
              <w:top w:w="150" w:type="dxa"/>
              <w:left w:w="200" w:type="dxa"/>
              <w:bottom w:w="150" w:type="dxa"/>
              <w:right w:w="200" w:type="dxa"/>
            </w:tcMar>
          </w:tcPr>
          <w:p w14:paraId="0D29FA6A" w14:textId="77777777" w:rsidR="00B4496E" w:rsidRPr="00F67E6B" w:rsidRDefault="00BF14D3">
            <w:pPr>
              <w:spacing w:after="100"/>
              <w:rPr>
                <w:rFonts w:asciiTheme="minorHAnsi" w:hAnsiTheme="minorHAnsi" w:cstheme="minorHAnsi"/>
              </w:rPr>
            </w:pPr>
            <w:r w:rsidRPr="00F67E6B">
              <w:rPr>
                <w:rFonts w:ascii="Segoe UI Emoji" w:hAnsi="Segoe UI Emoji" w:cs="Segoe UI Emoji"/>
                <w:b/>
                <w:bCs/>
                <w:color w:val="1F3864"/>
              </w:rPr>
              <w:t>⚠️</w:t>
            </w:r>
            <w:r w:rsidRPr="00F67E6B">
              <w:rPr>
                <w:rFonts w:asciiTheme="minorHAnsi" w:hAnsiTheme="minorHAnsi" w:cstheme="minorHAnsi"/>
                <w:b/>
                <w:bCs/>
                <w:color w:val="1F3864"/>
              </w:rPr>
              <w:t xml:space="preserve"> </w:t>
            </w:r>
            <w:proofErr w:type="spellStart"/>
            <w:r w:rsidRPr="00F67E6B">
              <w:rPr>
                <w:rFonts w:asciiTheme="minorHAnsi" w:hAnsiTheme="minorHAnsi" w:cstheme="minorHAnsi"/>
                <w:b/>
                <w:bCs/>
                <w:color w:val="1F3864"/>
              </w:rPr>
              <w:t>calculateTax</w:t>
            </w:r>
            <w:proofErr w:type="spellEnd"/>
            <w:r w:rsidRPr="00F67E6B">
              <w:rPr>
                <w:rFonts w:asciiTheme="minorHAnsi" w:hAnsiTheme="minorHAnsi" w:cstheme="minorHAnsi"/>
                <w:b/>
                <w:bCs/>
                <w:color w:val="1F3864"/>
              </w:rPr>
              <w:t xml:space="preserve"> Macro Is Not Supported in SuiteScript 2.1</w:t>
            </w:r>
          </w:p>
          <w:p w14:paraId="0D29FA6B"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 xml:space="preserve">Oracle's own </w:t>
            </w:r>
            <w:proofErr w:type="spellStart"/>
            <w:r w:rsidRPr="00F67E6B">
              <w:rPr>
                <w:rFonts w:asciiTheme="minorHAnsi" w:hAnsiTheme="minorHAnsi" w:cstheme="minorHAnsi"/>
              </w:rPr>
              <w:t>SuiteApp</w:t>
            </w:r>
            <w:proofErr w:type="spellEnd"/>
            <w:r w:rsidRPr="00F67E6B">
              <w:rPr>
                <w:rFonts w:asciiTheme="minorHAnsi" w:hAnsiTheme="minorHAnsi" w:cstheme="minorHAnsi"/>
              </w:rPr>
              <w:t xml:space="preserve"> developer guidance states that the </w:t>
            </w:r>
            <w:proofErr w:type="spellStart"/>
            <w:r w:rsidRPr="00F67E6B">
              <w:rPr>
                <w:rFonts w:asciiTheme="minorHAnsi" w:hAnsiTheme="minorHAnsi" w:cstheme="minorHAnsi"/>
              </w:rPr>
              <w:t>calculateTax</w:t>
            </w:r>
            <w:proofErr w:type="spellEnd"/>
            <w:r w:rsidRPr="00F67E6B">
              <w:rPr>
                <w:rFonts w:asciiTheme="minorHAnsi" w:hAnsiTheme="minorHAnsi" w:cstheme="minorHAnsi"/>
              </w:rPr>
              <w:t xml:space="preserve"> macro must be invoked using SuiteScript 2.0 (ES5.1) record calls — </w:t>
            </w:r>
            <w:proofErr w:type="spellStart"/>
            <w:r w:rsidRPr="00F67E6B">
              <w:rPr>
                <w:rFonts w:asciiTheme="minorHAnsi" w:hAnsiTheme="minorHAnsi" w:cstheme="minorHAnsi"/>
              </w:rPr>
              <w:t>record.create</w:t>
            </w:r>
            <w:proofErr w:type="spellEnd"/>
            <w:r w:rsidRPr="00F67E6B">
              <w:rPr>
                <w:rFonts w:asciiTheme="minorHAnsi" w:hAnsiTheme="minorHAnsi" w:cstheme="minorHAnsi"/>
              </w:rPr>
              <w:t>/</w:t>
            </w:r>
            <w:proofErr w:type="spellStart"/>
            <w:r w:rsidRPr="00F67E6B">
              <w:rPr>
                <w:rFonts w:asciiTheme="minorHAnsi" w:hAnsiTheme="minorHAnsi" w:cstheme="minorHAnsi"/>
              </w:rPr>
              <w:t>record.load</w:t>
            </w:r>
            <w:proofErr w:type="spellEnd"/>
            <w:r w:rsidRPr="00F67E6B">
              <w:rPr>
                <w:rFonts w:asciiTheme="minorHAnsi" w:hAnsiTheme="minorHAnsi" w:cstheme="minorHAnsi"/>
              </w:rPr>
              <w:t xml:space="preserve"> with </w:t>
            </w:r>
            <w:proofErr w:type="spellStart"/>
            <w:proofErr w:type="gramStart"/>
            <w:r w:rsidRPr="00F67E6B">
              <w:rPr>
                <w:rFonts w:asciiTheme="minorHAnsi" w:hAnsiTheme="minorHAnsi" w:cstheme="minorHAnsi"/>
              </w:rPr>
              <w:t>isDynamic:true</w:t>
            </w:r>
            <w:proofErr w:type="spellEnd"/>
            <w:proofErr w:type="gramEnd"/>
            <w:r w:rsidRPr="00F67E6B">
              <w:rPr>
                <w:rFonts w:asciiTheme="minorHAnsi" w:hAnsiTheme="minorHAnsi" w:cstheme="minorHAnsi"/>
              </w:rPr>
              <w:t xml:space="preserve">, then </w:t>
            </w:r>
            <w:proofErr w:type="spellStart"/>
            <w:proofErr w:type="gramStart"/>
            <w:r w:rsidRPr="00F67E6B">
              <w:rPr>
                <w:rFonts w:asciiTheme="minorHAnsi" w:hAnsiTheme="minorHAnsi" w:cstheme="minorHAnsi"/>
              </w:rPr>
              <w:t>rec.getMacros</w:t>
            </w:r>
            <w:proofErr w:type="spellEnd"/>
            <w:proofErr w:type="gramEnd"/>
            <w:r w:rsidRPr="00F67E6B">
              <w:rPr>
                <w:rFonts w:asciiTheme="minorHAnsi" w:hAnsiTheme="minorHAnsi" w:cstheme="minorHAnsi"/>
              </w:rPr>
              <w:t xml:space="preserve">() and </w:t>
            </w:r>
            <w:proofErr w:type="spellStart"/>
            <w:proofErr w:type="gramStart"/>
            <w:r w:rsidRPr="00F67E6B">
              <w:rPr>
                <w:rFonts w:asciiTheme="minorHAnsi" w:hAnsiTheme="minorHAnsi" w:cstheme="minorHAnsi"/>
              </w:rPr>
              <w:t>macros.calculateTax</w:t>
            </w:r>
            <w:proofErr w:type="spellEnd"/>
            <w:proofErr w:type="gramEnd"/>
            <w:r w:rsidRPr="00F67E6B">
              <w:rPr>
                <w:rFonts w:asciiTheme="minorHAnsi" w:hAnsiTheme="minorHAnsi" w:cstheme="minorHAnsi"/>
              </w:rPr>
              <w:t>() — because the macro is not supported through SuiteScript 2.1 (2024.1 and later) as of this writing</w:t>
            </w:r>
          </w:p>
          <w:p w14:paraId="0D29FA6D" w14:textId="77777777" w:rsidR="00B4496E" w:rsidRPr="00F67E6B" w:rsidRDefault="00BF14D3">
            <w:pPr>
              <w:pStyle w:val="ListParagraph"/>
              <w:numPr>
                <w:ilvl w:val="0"/>
                <w:numId w:val="2"/>
              </w:numPr>
              <w:spacing w:after="60"/>
              <w:rPr>
                <w:rFonts w:asciiTheme="minorHAnsi" w:hAnsiTheme="minorHAnsi" w:cstheme="minorHAnsi"/>
              </w:rPr>
            </w:pPr>
            <w:r w:rsidRPr="00F67E6B">
              <w:rPr>
                <w:rFonts w:asciiTheme="minorHAnsi" w:hAnsiTheme="minorHAnsi" w:cstheme="minorHAnsi"/>
              </w:rPr>
              <w:t xml:space="preserve">The </w:t>
            </w:r>
            <w:proofErr w:type="spellStart"/>
            <w:r w:rsidRPr="00F67E6B">
              <w:rPr>
                <w:rFonts w:asciiTheme="minorHAnsi" w:hAnsiTheme="minorHAnsi" w:cstheme="minorHAnsi"/>
              </w:rPr>
              <w:t>taxdetails</w:t>
            </w:r>
            <w:proofErr w:type="spellEnd"/>
            <w:r w:rsidRPr="00F67E6B">
              <w:rPr>
                <w:rFonts w:asciiTheme="minorHAnsi" w:hAnsiTheme="minorHAnsi" w:cstheme="minorHAnsi"/>
              </w:rPr>
              <w:t xml:space="preserve"> </w:t>
            </w:r>
            <w:proofErr w:type="spellStart"/>
            <w:r w:rsidRPr="00F67E6B">
              <w:rPr>
                <w:rFonts w:asciiTheme="minorHAnsi" w:hAnsiTheme="minorHAnsi" w:cstheme="minorHAnsi"/>
              </w:rPr>
              <w:t>sublist</w:t>
            </w:r>
            <w:proofErr w:type="spellEnd"/>
            <w:r w:rsidRPr="00F67E6B">
              <w:rPr>
                <w:rFonts w:asciiTheme="minorHAnsi" w:hAnsiTheme="minorHAnsi" w:cstheme="minorHAnsi"/>
              </w:rPr>
              <w:t xml:space="preserve"> itself remains readable identically from 2.0 or 2.1 code, and is exposed only in </w:t>
            </w:r>
            <w:proofErr w:type="spellStart"/>
            <w:r w:rsidRPr="00F67E6B">
              <w:rPr>
                <w:rFonts w:asciiTheme="minorHAnsi" w:hAnsiTheme="minorHAnsi" w:cstheme="minorHAnsi"/>
              </w:rPr>
              <w:t>SuiteTax</w:t>
            </w:r>
            <w:proofErr w:type="spellEnd"/>
            <w:r w:rsidRPr="00F67E6B">
              <w:rPr>
                <w:rFonts w:asciiTheme="minorHAnsi" w:hAnsiTheme="minorHAnsi" w:cstheme="minorHAnsi"/>
              </w:rPr>
              <w:t>-enabled accounts</w:t>
            </w:r>
          </w:p>
        </w:tc>
      </w:tr>
    </w:tbl>
    <w:p w14:paraId="0D29FA6F" w14:textId="77777777" w:rsidR="00B4496E" w:rsidRPr="00F67E6B" w:rsidRDefault="00B4496E">
      <w:pPr>
        <w:spacing w:after="100"/>
        <w:rPr>
          <w:rFonts w:asciiTheme="minorHAnsi" w:hAnsiTheme="minorHAnsi" w:cstheme="minorHAnsi"/>
        </w:rPr>
      </w:pPr>
    </w:p>
    <w:p w14:paraId="0D29FA70"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 xml:space="preserve">6.1 Library (SuiteScript 2.0) — Forcing GST Recalculation via </w:t>
      </w:r>
      <w:proofErr w:type="spellStart"/>
      <w:proofErr w:type="gramStart"/>
      <w:r w:rsidRPr="00F67E6B">
        <w:rPr>
          <w:rFonts w:asciiTheme="minorHAnsi" w:hAnsiTheme="minorHAnsi" w:cstheme="minorHAnsi"/>
          <w:color w:val="1F3864"/>
        </w:rPr>
        <w:t>getMacros</w:t>
      </w:r>
      <w:proofErr w:type="spellEnd"/>
      <w:r w:rsidRPr="00F67E6B">
        <w:rPr>
          <w:rFonts w:asciiTheme="minorHAnsi" w:hAnsiTheme="minorHAnsi" w:cstheme="minorHAnsi"/>
          <w:color w:val="1F3864"/>
        </w:rPr>
        <w:t>(</w:t>
      </w:r>
      <w:proofErr w:type="gramEnd"/>
      <w:r w:rsidRPr="00F67E6B">
        <w:rPr>
          <w:rFonts w:asciiTheme="minorHAnsi" w:hAnsiTheme="minorHAnsi" w:cstheme="minorHAnsi"/>
          <w:color w:val="1F3864"/>
        </w:rPr>
        <w: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B4496E" w:rsidRPr="00F67E6B" w14:paraId="0D29FA90" w14:textId="77777777">
        <w:tc>
          <w:tcPr>
            <w:tcW w:w="9350" w:type="dxa"/>
            <w:shd w:val="clear" w:color="auto" w:fill="F3F3F3"/>
            <w:tcMar>
              <w:top w:w="150" w:type="dxa"/>
              <w:left w:w="200" w:type="dxa"/>
              <w:bottom w:w="150" w:type="dxa"/>
              <w:right w:w="200" w:type="dxa"/>
            </w:tcMar>
          </w:tcPr>
          <w:p w14:paraId="0D29FA71"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SuiteScript 2.0 (dynamic mode) — Library: Force Tax Recalculation on a GST Transaction</w:t>
            </w:r>
          </w:p>
          <w:p w14:paraId="0D29FA72"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xml:space="preserve"> * Oracle Ref: blogs.oracle.com/developers/supporting-both-suitetax-and-legacy-tax-in-one-suiteapp</w:t>
            </w:r>
          </w:p>
          <w:p w14:paraId="0D29FA73" w14:textId="77777777" w:rsidR="00B4496E" w:rsidRPr="00F67E6B" w:rsidRDefault="00BF14D3">
            <w:pPr>
              <w:spacing w:after="100"/>
              <w:rPr>
                <w:rFonts w:asciiTheme="minorHAnsi" w:hAnsiTheme="minorHAnsi" w:cstheme="minorHAnsi"/>
              </w:rPr>
            </w:pPr>
            <w:r w:rsidRPr="00F67E6B">
              <w:rPr>
                <w:rFonts w:asciiTheme="minorHAnsi" w:eastAsia="Consolas" w:hAnsiTheme="minorHAnsi" w:cstheme="minorHAnsi"/>
                <w:i/>
                <w:iCs/>
                <w:color w:val="595959"/>
                <w:sz w:val="18"/>
                <w:szCs w:val="18"/>
              </w:rPr>
              <w:t xml:space="preserve"> */</w:t>
            </w:r>
          </w:p>
          <w:p w14:paraId="0D29FA7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define(['N/record'], function(record) {</w:t>
            </w:r>
          </w:p>
          <w:p w14:paraId="0D29FA7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7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7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Loads a transaction in dynamic mode and forces the </w:t>
            </w:r>
            <w:proofErr w:type="spellStart"/>
            <w:r w:rsidRPr="00F67E6B">
              <w:rPr>
                <w:rFonts w:asciiTheme="minorHAnsi" w:eastAsia="Consolas" w:hAnsiTheme="minorHAnsi" w:cstheme="minorHAnsi"/>
                <w:sz w:val="18"/>
                <w:szCs w:val="18"/>
              </w:rPr>
              <w:t>SuiteTax</w:t>
            </w:r>
            <w:proofErr w:type="spellEnd"/>
            <w:r w:rsidRPr="00F67E6B">
              <w:rPr>
                <w:rFonts w:asciiTheme="minorHAnsi" w:eastAsia="Consolas" w:hAnsiTheme="minorHAnsi" w:cstheme="minorHAnsi"/>
                <w:sz w:val="18"/>
                <w:szCs w:val="18"/>
              </w:rPr>
              <w:t xml:space="preserve"> engine</w:t>
            </w:r>
          </w:p>
          <w:p w14:paraId="0D29FA7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(India Localization </w:t>
            </w:r>
            <w:proofErr w:type="spellStart"/>
            <w:r w:rsidRPr="00F67E6B">
              <w:rPr>
                <w:rFonts w:asciiTheme="minorHAnsi" w:eastAsia="Consolas" w:hAnsiTheme="minorHAnsi" w:cstheme="minorHAnsi"/>
                <w:sz w:val="18"/>
                <w:szCs w:val="18"/>
              </w:rPr>
              <w:t>SuiteTax</w:t>
            </w:r>
            <w:proofErr w:type="spellEnd"/>
            <w:r w:rsidRPr="00F67E6B">
              <w:rPr>
                <w:rFonts w:asciiTheme="minorHAnsi" w:eastAsia="Consolas" w:hAnsiTheme="minorHAnsi" w:cstheme="minorHAnsi"/>
                <w:sz w:val="18"/>
                <w:szCs w:val="18"/>
              </w:rPr>
              <w:t xml:space="preserve"> Engine, for India nexuses) to recalculate.</w:t>
            </w:r>
          </w:p>
          <w:p w14:paraId="0D29FA7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w:t>
            </w:r>
            <w:proofErr w:type="spellStart"/>
            <w:r w:rsidRPr="00F67E6B">
              <w:rPr>
                <w:rFonts w:asciiTheme="minorHAnsi" w:eastAsia="Consolas" w:hAnsiTheme="minorHAnsi" w:cstheme="minorHAnsi"/>
                <w:sz w:val="18"/>
                <w:szCs w:val="18"/>
              </w:rPr>
              <w:t>calculateTax</w:t>
            </w:r>
            <w:proofErr w:type="spellEnd"/>
            <w:r w:rsidRPr="00F67E6B">
              <w:rPr>
                <w:rFonts w:asciiTheme="minorHAnsi" w:eastAsia="Consolas" w:hAnsiTheme="minorHAnsi" w:cstheme="minorHAnsi"/>
                <w:sz w:val="18"/>
                <w:szCs w:val="18"/>
              </w:rPr>
              <w:t xml:space="preserve"> is only available via </w:t>
            </w:r>
            <w:proofErr w:type="spellStart"/>
            <w:proofErr w:type="gramStart"/>
            <w:r w:rsidRPr="00F67E6B">
              <w:rPr>
                <w:rFonts w:asciiTheme="minorHAnsi" w:eastAsia="Consolas" w:hAnsiTheme="minorHAnsi" w:cstheme="minorHAnsi"/>
                <w:sz w:val="18"/>
                <w:szCs w:val="18"/>
              </w:rPr>
              <w:t>getMacros</w:t>
            </w:r>
            <w:proofErr w:type="spellEnd"/>
            <w:r w:rsidRPr="00F67E6B">
              <w:rPr>
                <w:rFonts w:asciiTheme="minorHAnsi" w:eastAsia="Consolas" w:hAnsiTheme="minorHAnsi" w:cstheme="minorHAnsi"/>
                <w:sz w:val="18"/>
                <w:szCs w:val="18"/>
              </w:rPr>
              <w:t>(</w:t>
            </w:r>
            <w:proofErr w:type="gramEnd"/>
            <w:r w:rsidRPr="00F67E6B">
              <w:rPr>
                <w:rFonts w:asciiTheme="minorHAnsi" w:eastAsia="Consolas" w:hAnsiTheme="minorHAnsi" w:cstheme="minorHAnsi"/>
                <w:sz w:val="18"/>
                <w:szCs w:val="18"/>
              </w:rPr>
              <w:t>) in SuiteScript 2.0</w:t>
            </w:r>
          </w:p>
          <w:p w14:paraId="0D29FA7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w:t>
            </w:r>
            <w:proofErr w:type="gramStart"/>
            <w:r w:rsidRPr="00F67E6B">
              <w:rPr>
                <w:rFonts w:asciiTheme="minorHAnsi" w:eastAsia="Consolas" w:hAnsiTheme="minorHAnsi" w:cstheme="minorHAnsi"/>
                <w:sz w:val="18"/>
                <w:szCs w:val="18"/>
              </w:rPr>
              <w:t>dynamic</w:t>
            </w:r>
            <w:proofErr w:type="gramEnd"/>
            <w:r w:rsidRPr="00F67E6B">
              <w:rPr>
                <w:rFonts w:asciiTheme="minorHAnsi" w:eastAsia="Consolas" w:hAnsiTheme="minorHAnsi" w:cstheme="minorHAnsi"/>
                <w:sz w:val="18"/>
                <w:szCs w:val="18"/>
              </w:rPr>
              <w:t xml:space="preserve"> mode — not via </w:t>
            </w:r>
            <w:proofErr w:type="spellStart"/>
            <w:proofErr w:type="gramStart"/>
            <w:r w:rsidRPr="00F67E6B">
              <w:rPr>
                <w:rFonts w:asciiTheme="minorHAnsi" w:eastAsia="Consolas" w:hAnsiTheme="minorHAnsi" w:cstheme="minorHAnsi"/>
                <w:sz w:val="18"/>
                <w:szCs w:val="18"/>
              </w:rPr>
              <w:t>executeMacro</w:t>
            </w:r>
            <w:proofErr w:type="spellEnd"/>
            <w:r w:rsidRPr="00F67E6B">
              <w:rPr>
                <w:rFonts w:asciiTheme="minorHAnsi" w:eastAsia="Consolas" w:hAnsiTheme="minorHAnsi" w:cstheme="minorHAnsi"/>
                <w:sz w:val="18"/>
                <w:szCs w:val="18"/>
              </w:rPr>
              <w:t>(</w:t>
            </w:r>
            <w:proofErr w:type="gramEnd"/>
            <w:r w:rsidRPr="00F67E6B">
              <w:rPr>
                <w:rFonts w:asciiTheme="minorHAnsi" w:eastAsia="Consolas" w:hAnsiTheme="minorHAnsi" w:cstheme="minorHAnsi"/>
                <w:sz w:val="18"/>
                <w:szCs w:val="18"/>
              </w:rPr>
              <w:t>) in SuiteScript 2.1.</w:t>
            </w:r>
          </w:p>
          <w:p w14:paraId="0D29FA7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@param {string} </w:t>
            </w:r>
            <w:proofErr w:type="spellStart"/>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 xml:space="preserve"> Transaction record type (e.g. </w:t>
            </w:r>
            <w:proofErr w:type="spellStart"/>
            <w:proofErr w:type="gramStart"/>
            <w:r w:rsidRPr="00F67E6B">
              <w:rPr>
                <w:rFonts w:asciiTheme="minorHAnsi" w:eastAsia="Consolas" w:hAnsiTheme="minorHAnsi" w:cstheme="minorHAnsi"/>
                <w:sz w:val="18"/>
                <w:szCs w:val="18"/>
              </w:rPr>
              <w:t>record.Type.INVOICE</w:t>
            </w:r>
            <w:proofErr w:type="spellEnd"/>
            <w:proofErr w:type="gramEnd"/>
            <w:r w:rsidRPr="00F67E6B">
              <w:rPr>
                <w:rFonts w:asciiTheme="minorHAnsi" w:eastAsia="Consolas" w:hAnsiTheme="minorHAnsi" w:cstheme="minorHAnsi"/>
                <w:sz w:val="18"/>
                <w:szCs w:val="18"/>
              </w:rPr>
              <w:t>)</w:t>
            </w:r>
          </w:p>
          <w:p w14:paraId="0D29FA7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@param {</w:t>
            </w:r>
            <w:proofErr w:type="spellStart"/>
            <w:r w:rsidRPr="00F67E6B">
              <w:rPr>
                <w:rFonts w:asciiTheme="minorHAnsi" w:eastAsia="Consolas" w:hAnsiTheme="minorHAnsi" w:cstheme="minorHAnsi"/>
                <w:sz w:val="18"/>
                <w:szCs w:val="18"/>
              </w:rPr>
              <w:t>string|number</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 xml:space="preserve"> Internal ID of the transaction</w:t>
            </w:r>
          </w:p>
          <w:p w14:paraId="0D29FA7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@returns {number} Saved record ID</w:t>
            </w:r>
          </w:p>
          <w:p w14:paraId="0D29FA7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7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function </w:t>
            </w:r>
            <w:proofErr w:type="spellStart"/>
            <w:proofErr w:type="gramStart"/>
            <w:r w:rsidRPr="00F67E6B">
              <w:rPr>
                <w:rFonts w:asciiTheme="minorHAnsi" w:eastAsia="Consolas" w:hAnsiTheme="minorHAnsi" w:cstheme="minorHAnsi"/>
                <w:sz w:val="18"/>
                <w:szCs w:val="18"/>
              </w:rPr>
              <w:t>recalculateGst</w:t>
            </w:r>
            <w:proofErr w:type="spellEnd"/>
            <w:r w:rsidRPr="00F67E6B">
              <w:rPr>
                <w:rFonts w:asciiTheme="minorHAnsi" w:eastAsia="Consolas" w:hAnsiTheme="minorHAnsi" w:cstheme="minorHAnsi"/>
                <w:sz w:val="18"/>
                <w:szCs w:val="18"/>
              </w:rPr>
              <w:t>(</w:t>
            </w:r>
            <w:proofErr w:type="spellStart"/>
            <w:proofErr w:type="gramEnd"/>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 {</w:t>
            </w:r>
          </w:p>
          <w:p w14:paraId="0D29FA8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rec = </w:t>
            </w:r>
            <w:proofErr w:type="spellStart"/>
            <w:proofErr w:type="gramStart"/>
            <w:r w:rsidRPr="00F67E6B">
              <w:rPr>
                <w:rFonts w:asciiTheme="minorHAnsi" w:eastAsia="Consolas" w:hAnsiTheme="minorHAnsi" w:cstheme="minorHAnsi"/>
                <w:sz w:val="18"/>
                <w:szCs w:val="18"/>
              </w:rPr>
              <w:t>record.load</w:t>
            </w:r>
            <w:proofErr w:type="spellEnd"/>
            <w:proofErr w:type="gramEnd"/>
            <w:r w:rsidRPr="00F67E6B">
              <w:rPr>
                <w:rFonts w:asciiTheme="minorHAnsi" w:eastAsia="Consolas" w:hAnsiTheme="minorHAnsi" w:cstheme="minorHAnsi"/>
                <w:sz w:val="18"/>
                <w:szCs w:val="18"/>
              </w:rPr>
              <w:t>({</w:t>
            </w:r>
          </w:p>
          <w:p w14:paraId="0D29FA8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type: </w:t>
            </w:r>
            <w:proofErr w:type="spellStart"/>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w:t>
            </w:r>
          </w:p>
          <w:p w14:paraId="0D29FA8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id: </w:t>
            </w:r>
            <w:proofErr w:type="spell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w:t>
            </w:r>
          </w:p>
          <w:p w14:paraId="0D29FA8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isDynamic</w:t>
            </w:r>
            <w:proofErr w:type="spellEnd"/>
            <w:r w:rsidRPr="00F67E6B">
              <w:rPr>
                <w:rFonts w:asciiTheme="minorHAnsi" w:eastAsia="Consolas" w:hAnsiTheme="minorHAnsi" w:cstheme="minorHAnsi"/>
                <w:sz w:val="18"/>
                <w:szCs w:val="18"/>
              </w:rPr>
              <w:t>: true</w:t>
            </w:r>
          </w:p>
          <w:p w14:paraId="0D29FA8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macros = </w:t>
            </w:r>
            <w:proofErr w:type="spellStart"/>
            <w:proofErr w:type="gramStart"/>
            <w:r w:rsidRPr="00F67E6B">
              <w:rPr>
                <w:rFonts w:asciiTheme="minorHAnsi" w:eastAsia="Consolas" w:hAnsiTheme="minorHAnsi" w:cstheme="minorHAnsi"/>
                <w:sz w:val="18"/>
                <w:szCs w:val="18"/>
              </w:rPr>
              <w:t>rec.getMacros</w:t>
            </w:r>
            <w:proofErr w:type="spellEnd"/>
            <w:proofErr w:type="gramEnd"/>
            <w:r w:rsidRPr="00F67E6B">
              <w:rPr>
                <w:rFonts w:asciiTheme="minorHAnsi" w:eastAsia="Consolas" w:hAnsiTheme="minorHAnsi" w:cstheme="minorHAnsi"/>
                <w:sz w:val="18"/>
                <w:szCs w:val="18"/>
              </w:rPr>
              <w:t>();</w:t>
            </w:r>
          </w:p>
          <w:p w14:paraId="0D29FA8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if ('</w:t>
            </w:r>
            <w:proofErr w:type="spellStart"/>
            <w:r w:rsidRPr="00F67E6B">
              <w:rPr>
                <w:rFonts w:asciiTheme="minorHAnsi" w:eastAsia="Consolas" w:hAnsiTheme="minorHAnsi" w:cstheme="minorHAnsi"/>
                <w:sz w:val="18"/>
                <w:szCs w:val="18"/>
              </w:rPr>
              <w:t>calculateTax</w:t>
            </w:r>
            <w:proofErr w:type="spellEnd"/>
            <w:r w:rsidRPr="00F67E6B">
              <w:rPr>
                <w:rFonts w:asciiTheme="minorHAnsi" w:eastAsia="Consolas" w:hAnsiTheme="minorHAnsi" w:cstheme="minorHAnsi"/>
                <w:sz w:val="18"/>
                <w:szCs w:val="18"/>
              </w:rPr>
              <w:t>' in macros) {</w:t>
            </w:r>
          </w:p>
          <w:p w14:paraId="0D29FA8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macros.calculateTax</w:t>
            </w:r>
            <w:proofErr w:type="spellEnd"/>
            <w:proofErr w:type="gramEnd"/>
            <w:r w:rsidRPr="00F67E6B">
              <w:rPr>
                <w:rFonts w:asciiTheme="minorHAnsi" w:eastAsia="Consolas" w:hAnsiTheme="minorHAnsi" w:cstheme="minorHAnsi"/>
                <w:sz w:val="18"/>
                <w:szCs w:val="18"/>
              </w:rPr>
              <w:t>();</w:t>
            </w:r>
          </w:p>
          <w:p w14:paraId="0D29FA8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return </w:t>
            </w:r>
            <w:proofErr w:type="spellStart"/>
            <w:proofErr w:type="gramStart"/>
            <w:r w:rsidRPr="00F67E6B">
              <w:rPr>
                <w:rFonts w:asciiTheme="minorHAnsi" w:eastAsia="Consolas" w:hAnsiTheme="minorHAnsi" w:cstheme="minorHAnsi"/>
                <w:sz w:val="18"/>
                <w:szCs w:val="18"/>
              </w:rPr>
              <w:t>rec.save</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enableSourcing</w:t>
            </w:r>
            <w:proofErr w:type="spellEnd"/>
            <w:proofErr w:type="gramEnd"/>
            <w:r w:rsidRPr="00F67E6B">
              <w:rPr>
                <w:rFonts w:asciiTheme="minorHAnsi" w:eastAsia="Consolas" w:hAnsiTheme="minorHAnsi" w:cstheme="minorHAnsi"/>
                <w:sz w:val="18"/>
                <w:szCs w:val="18"/>
              </w:rPr>
              <w:t xml:space="preserve">: true, </w:t>
            </w:r>
            <w:proofErr w:type="spellStart"/>
            <w:r w:rsidRPr="00F67E6B">
              <w:rPr>
                <w:rFonts w:asciiTheme="minorHAnsi" w:eastAsia="Consolas" w:hAnsiTheme="minorHAnsi" w:cstheme="minorHAnsi"/>
                <w:sz w:val="18"/>
                <w:szCs w:val="18"/>
              </w:rPr>
              <w:t>ignoreMandatoryFields</w:t>
            </w:r>
            <w:proofErr w:type="spellEnd"/>
            <w:r w:rsidRPr="00F67E6B">
              <w:rPr>
                <w:rFonts w:asciiTheme="minorHAnsi" w:eastAsia="Consolas" w:hAnsiTheme="minorHAnsi" w:cstheme="minorHAnsi"/>
                <w:sz w:val="18"/>
                <w:szCs w:val="18"/>
              </w:rPr>
              <w:t xml:space="preserve">: </w:t>
            </w:r>
            <w:proofErr w:type="gramStart"/>
            <w:r w:rsidRPr="00F67E6B">
              <w:rPr>
                <w:rFonts w:asciiTheme="minorHAnsi" w:eastAsia="Consolas" w:hAnsiTheme="minorHAnsi" w:cstheme="minorHAnsi"/>
                <w:sz w:val="18"/>
                <w:szCs w:val="18"/>
              </w:rPr>
              <w:t>false }</w:t>
            </w:r>
            <w:proofErr w:type="gramEnd"/>
            <w:r w:rsidRPr="00F67E6B">
              <w:rPr>
                <w:rFonts w:asciiTheme="minorHAnsi" w:eastAsia="Consolas" w:hAnsiTheme="minorHAnsi" w:cstheme="minorHAnsi"/>
                <w:sz w:val="18"/>
                <w:szCs w:val="18"/>
              </w:rPr>
              <w:t>);</w:t>
            </w:r>
          </w:p>
          <w:p w14:paraId="0D29FA8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8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lastRenderedPageBreak/>
              <w:t xml:space="preserve">  return </w:t>
            </w:r>
            <w:proofErr w:type="gramStart"/>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recalculateGst</w:t>
            </w:r>
            <w:proofErr w:type="spellEnd"/>
            <w:proofErr w:type="gram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recalculateGst</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w:t>
            </w:r>
          </w:p>
          <w:p w14:paraId="0D29FA8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w:t>
            </w:r>
          </w:p>
        </w:tc>
      </w:tr>
    </w:tbl>
    <w:p w14:paraId="0D29FA91" w14:textId="77777777" w:rsidR="00B4496E" w:rsidRPr="00F67E6B" w:rsidRDefault="00B4496E">
      <w:pPr>
        <w:spacing w:after="100"/>
        <w:rPr>
          <w:rFonts w:asciiTheme="minorHAnsi" w:hAnsiTheme="minorHAnsi" w:cstheme="minorHAnsi"/>
        </w:rPr>
      </w:pPr>
    </w:p>
    <w:p w14:paraId="0D29FA92"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6.2 Library (SuiteScript 2.1) — Reading Per-Line GST Details</w:t>
      </w:r>
    </w:p>
    <w:p w14:paraId="0D29FA93"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The </w:t>
      </w:r>
      <w:proofErr w:type="spellStart"/>
      <w:r w:rsidRPr="00F67E6B">
        <w:rPr>
          <w:rFonts w:asciiTheme="minorHAnsi" w:hAnsiTheme="minorHAnsi" w:cstheme="minorHAnsi"/>
        </w:rPr>
        <w:t>taxdetails</w:t>
      </w:r>
      <w:proofErr w:type="spellEnd"/>
      <w:r w:rsidRPr="00F67E6B">
        <w:rPr>
          <w:rFonts w:asciiTheme="minorHAnsi" w:hAnsiTheme="minorHAnsi" w:cstheme="minorHAnsi"/>
        </w:rPr>
        <w:t xml:space="preserve"> </w:t>
      </w:r>
      <w:proofErr w:type="spellStart"/>
      <w:r w:rsidRPr="00F67E6B">
        <w:rPr>
          <w:rFonts w:asciiTheme="minorHAnsi" w:hAnsiTheme="minorHAnsi" w:cstheme="minorHAnsi"/>
        </w:rPr>
        <w:t>sublist</w:t>
      </w:r>
      <w:proofErr w:type="spellEnd"/>
      <w:r w:rsidRPr="00F67E6B">
        <w:rPr>
          <w:rFonts w:asciiTheme="minorHAnsi" w:hAnsiTheme="minorHAnsi" w:cstheme="minorHAnsi"/>
        </w:rPr>
        <w:t xml:space="preserve"> is the documented, stable read surface for calculated tax on any </w:t>
      </w:r>
      <w:proofErr w:type="spellStart"/>
      <w:r w:rsidRPr="00F67E6B">
        <w:rPr>
          <w:rFonts w:asciiTheme="minorHAnsi" w:hAnsiTheme="minorHAnsi" w:cstheme="minorHAnsi"/>
        </w:rPr>
        <w:t>SuiteTax</w:t>
      </w:r>
      <w:proofErr w:type="spellEnd"/>
      <w:r w:rsidRPr="00F67E6B">
        <w:rPr>
          <w:rFonts w:asciiTheme="minorHAnsi" w:hAnsiTheme="minorHAnsi" w:cstheme="minorHAnsi"/>
        </w:rPr>
        <w:t xml:space="preserve"> transaction, and applies equally to India GST lines — the tax type text will read CGST, SGST, UTGST, or IGST depending on which the engine applied.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B4496E" w:rsidRPr="00F67E6B" w14:paraId="0D29FAC4" w14:textId="77777777">
        <w:tc>
          <w:tcPr>
            <w:tcW w:w="9350" w:type="dxa"/>
            <w:shd w:val="clear" w:color="auto" w:fill="F3F3F3"/>
            <w:tcMar>
              <w:top w:w="150" w:type="dxa"/>
              <w:left w:w="200" w:type="dxa"/>
              <w:bottom w:w="150" w:type="dxa"/>
              <w:right w:w="200" w:type="dxa"/>
            </w:tcMar>
          </w:tcPr>
          <w:p w14:paraId="0D29FA94"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SuiteScript 2.1 — Library: Read Per-Line GST Details from a Saved Transaction</w:t>
            </w:r>
          </w:p>
          <w:p w14:paraId="0D29FA95"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xml:space="preserve"> * Oracle Ref: docs.oracle.com/en/cloud/saas/netsuite/ns-online-help/section_4283867856.html</w:t>
            </w:r>
          </w:p>
          <w:p w14:paraId="0D29FA96" w14:textId="77777777" w:rsidR="00B4496E" w:rsidRPr="00F67E6B" w:rsidRDefault="00BF14D3">
            <w:pPr>
              <w:spacing w:after="100"/>
              <w:rPr>
                <w:rFonts w:asciiTheme="minorHAnsi" w:hAnsiTheme="minorHAnsi" w:cstheme="minorHAnsi"/>
              </w:rPr>
            </w:pPr>
            <w:r w:rsidRPr="00F67E6B">
              <w:rPr>
                <w:rFonts w:asciiTheme="minorHAnsi" w:eastAsia="Consolas" w:hAnsiTheme="minorHAnsi" w:cstheme="minorHAnsi"/>
                <w:i/>
                <w:iCs/>
                <w:color w:val="595959"/>
                <w:sz w:val="18"/>
                <w:szCs w:val="18"/>
              </w:rPr>
              <w:t xml:space="preserve"> */</w:t>
            </w:r>
          </w:p>
          <w:p w14:paraId="0D29FA9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define(['N/record'], function(record) {</w:t>
            </w:r>
          </w:p>
          <w:p w14:paraId="0D29FA9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9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9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Returns the tax details lines for a saved GST transaction.</w:t>
            </w:r>
          </w:p>
          <w:p w14:paraId="0D29FA9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Tax Type will read CGST / SGST / UTGST / IGST as applicable.</w:t>
            </w:r>
          </w:p>
          <w:p w14:paraId="0D29FA9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@param {string} </w:t>
            </w:r>
            <w:proofErr w:type="spellStart"/>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 xml:space="preserve"> Transaction record type</w:t>
            </w:r>
          </w:p>
          <w:p w14:paraId="0D29FA9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@param {</w:t>
            </w:r>
            <w:proofErr w:type="spellStart"/>
            <w:r w:rsidRPr="00F67E6B">
              <w:rPr>
                <w:rFonts w:asciiTheme="minorHAnsi" w:eastAsia="Consolas" w:hAnsiTheme="minorHAnsi" w:cstheme="minorHAnsi"/>
                <w:sz w:val="18"/>
                <w:szCs w:val="18"/>
              </w:rPr>
              <w:t>string|number</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 xml:space="preserve"> Internal ID of the transaction</w:t>
            </w:r>
          </w:p>
          <w:p w14:paraId="0D29FA9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@returns {Array&lt;Object&gt;}</w:t>
            </w:r>
          </w:p>
          <w:p w14:paraId="0D29FA9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A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function </w:t>
            </w:r>
            <w:proofErr w:type="spellStart"/>
            <w:proofErr w:type="gramStart"/>
            <w:r w:rsidRPr="00F67E6B">
              <w:rPr>
                <w:rFonts w:asciiTheme="minorHAnsi" w:eastAsia="Consolas" w:hAnsiTheme="minorHAnsi" w:cstheme="minorHAnsi"/>
                <w:sz w:val="18"/>
                <w:szCs w:val="18"/>
              </w:rPr>
              <w:t>getGstDetailLines</w:t>
            </w:r>
            <w:proofErr w:type="spellEnd"/>
            <w:r w:rsidRPr="00F67E6B">
              <w:rPr>
                <w:rFonts w:asciiTheme="minorHAnsi" w:eastAsia="Consolas" w:hAnsiTheme="minorHAnsi" w:cstheme="minorHAnsi"/>
                <w:sz w:val="18"/>
                <w:szCs w:val="18"/>
              </w:rPr>
              <w:t>(</w:t>
            </w:r>
            <w:proofErr w:type="spellStart"/>
            <w:proofErr w:type="gramEnd"/>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 {</w:t>
            </w:r>
          </w:p>
          <w:p w14:paraId="0D29FAA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rec = </w:t>
            </w:r>
            <w:proofErr w:type="spellStart"/>
            <w:proofErr w:type="gramStart"/>
            <w:r w:rsidRPr="00F67E6B">
              <w:rPr>
                <w:rFonts w:asciiTheme="minorHAnsi" w:eastAsia="Consolas" w:hAnsiTheme="minorHAnsi" w:cstheme="minorHAnsi"/>
                <w:sz w:val="18"/>
                <w:szCs w:val="18"/>
              </w:rPr>
              <w:t>record.load</w:t>
            </w:r>
            <w:proofErr w:type="spellEnd"/>
            <w:r w:rsidRPr="00F67E6B">
              <w:rPr>
                <w:rFonts w:asciiTheme="minorHAnsi" w:eastAsia="Consolas" w:hAnsiTheme="minorHAnsi" w:cstheme="minorHAnsi"/>
                <w:sz w:val="18"/>
                <w:szCs w:val="18"/>
              </w:rPr>
              <w:t>({ type</w:t>
            </w:r>
            <w:proofErr w:type="gram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recordType</w:t>
            </w:r>
            <w:proofErr w:type="spellEnd"/>
            <w:r w:rsidRPr="00F67E6B">
              <w:rPr>
                <w:rFonts w:asciiTheme="minorHAnsi" w:eastAsia="Consolas" w:hAnsiTheme="minorHAnsi" w:cstheme="minorHAnsi"/>
                <w:sz w:val="18"/>
                <w:szCs w:val="18"/>
              </w:rPr>
              <w:t xml:space="preserve">, id: </w:t>
            </w:r>
            <w:proofErr w:type="spellStart"/>
            <w:proofErr w:type="gramStart"/>
            <w:r w:rsidRPr="00F67E6B">
              <w:rPr>
                <w:rFonts w:asciiTheme="minorHAnsi" w:eastAsia="Consolas" w:hAnsiTheme="minorHAnsi" w:cstheme="minorHAnsi"/>
                <w:sz w:val="18"/>
                <w:szCs w:val="18"/>
              </w:rPr>
              <w:t>recordId</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w:t>
            </w:r>
          </w:p>
          <w:p w14:paraId="0D29FAA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w:t>
            </w:r>
            <w:proofErr w:type="spellStart"/>
            <w:r w:rsidRPr="00F67E6B">
              <w:rPr>
                <w:rFonts w:asciiTheme="minorHAnsi" w:eastAsia="Consolas" w:hAnsiTheme="minorHAnsi" w:cstheme="minorHAnsi"/>
                <w:sz w:val="18"/>
                <w:szCs w:val="18"/>
              </w:rPr>
              <w:t>lineCount</w:t>
            </w:r>
            <w:proofErr w:type="spellEnd"/>
            <w:r w:rsidRPr="00F67E6B">
              <w:rPr>
                <w:rFonts w:asciiTheme="minorHAnsi" w:eastAsia="Consolas" w:hAnsiTheme="minorHAnsi" w:cstheme="minorHAnsi"/>
                <w:sz w:val="18"/>
                <w:szCs w:val="18"/>
              </w:rPr>
              <w:t xml:space="preserve"> = </w:t>
            </w:r>
            <w:proofErr w:type="spellStart"/>
            <w:proofErr w:type="gramStart"/>
            <w:r w:rsidRPr="00F67E6B">
              <w:rPr>
                <w:rFonts w:asciiTheme="minorHAnsi" w:eastAsia="Consolas" w:hAnsiTheme="minorHAnsi" w:cstheme="minorHAnsi"/>
                <w:sz w:val="18"/>
                <w:szCs w:val="18"/>
              </w:rPr>
              <w:t>rec.getLineCount</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proofErr w:type="gram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proofErr w:type="gramStart"/>
            <w:r w:rsidRPr="00F67E6B">
              <w:rPr>
                <w:rFonts w:asciiTheme="minorHAnsi" w:eastAsia="Consolas" w:hAnsiTheme="minorHAnsi" w:cstheme="minorHAnsi"/>
                <w:sz w:val="18"/>
                <w:szCs w:val="18"/>
              </w:rPr>
              <w:t>' }</w:t>
            </w:r>
            <w:proofErr w:type="gramEnd"/>
            <w:r w:rsidRPr="00F67E6B">
              <w:rPr>
                <w:rFonts w:asciiTheme="minorHAnsi" w:eastAsia="Consolas" w:hAnsiTheme="minorHAnsi" w:cstheme="minorHAnsi"/>
                <w:sz w:val="18"/>
                <w:szCs w:val="18"/>
              </w:rPr>
              <w:t>);</w:t>
            </w:r>
          </w:p>
          <w:p w14:paraId="0D29FAA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lines = [];</w:t>
            </w:r>
          </w:p>
          <w:p w14:paraId="0D29FAA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A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for (var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xml:space="preserve"> = 0;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xml:space="preserve"> &lt; </w:t>
            </w:r>
            <w:proofErr w:type="spellStart"/>
            <w:r w:rsidRPr="00F67E6B">
              <w:rPr>
                <w:rFonts w:asciiTheme="minorHAnsi" w:eastAsia="Consolas" w:hAnsiTheme="minorHAnsi" w:cstheme="minorHAnsi"/>
                <w:sz w:val="18"/>
                <w:szCs w:val="18"/>
              </w:rPr>
              <w:t>lineCount</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w:t>
            </w:r>
          </w:p>
          <w:p w14:paraId="0D29FAA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lines.push</w:t>
            </w:r>
            <w:proofErr w:type="spellEnd"/>
            <w:proofErr w:type="gramEnd"/>
            <w:r w:rsidRPr="00F67E6B">
              <w:rPr>
                <w:rFonts w:asciiTheme="minorHAnsi" w:eastAsia="Consolas" w:hAnsiTheme="minorHAnsi" w:cstheme="minorHAnsi"/>
                <w:sz w:val="18"/>
                <w:szCs w:val="18"/>
              </w:rPr>
              <w:t>({</w:t>
            </w:r>
          </w:p>
          <w:p w14:paraId="0D29FAA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reference: </w:t>
            </w:r>
            <w:proofErr w:type="spellStart"/>
            <w:proofErr w:type="gram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A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taxdetailsreference</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A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A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nexus: </w:t>
            </w:r>
            <w:proofErr w:type="spellStart"/>
            <w:proofErr w:type="gramStart"/>
            <w:r w:rsidRPr="00F67E6B">
              <w:rPr>
                <w:rFonts w:asciiTheme="minorHAnsi" w:eastAsia="Consolas" w:hAnsiTheme="minorHAnsi" w:cstheme="minorHAnsi"/>
                <w:sz w:val="18"/>
                <w:szCs w:val="18"/>
              </w:rPr>
              <w:t>rec.getSublistText</w:t>
            </w:r>
            <w:proofErr w:type="spellEnd"/>
            <w:proofErr w:type="gramEnd"/>
            <w:r w:rsidRPr="00F67E6B">
              <w:rPr>
                <w:rFonts w:asciiTheme="minorHAnsi" w:eastAsia="Consolas" w:hAnsiTheme="minorHAnsi" w:cstheme="minorHAnsi"/>
                <w:sz w:val="18"/>
                <w:szCs w:val="18"/>
              </w:rPr>
              <w:t>({</w:t>
            </w:r>
          </w:p>
          <w:p w14:paraId="0D29FAA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xml:space="preserve">: 'nexus', line: </w:t>
            </w:r>
            <w:proofErr w:type="spellStart"/>
            <w:r w:rsidRPr="00F67E6B">
              <w:rPr>
                <w:rFonts w:asciiTheme="minorHAnsi" w:eastAsia="Consolas" w:hAnsiTheme="minorHAnsi" w:cstheme="minorHAnsi"/>
                <w:sz w:val="18"/>
                <w:szCs w:val="18"/>
              </w:rPr>
              <w:t>i</w:t>
            </w:r>
            <w:proofErr w:type="spellEnd"/>
          </w:p>
          <w:p w14:paraId="0D29FAA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A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taxType</w:t>
            </w:r>
            <w:proofErr w:type="spell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rec.getSublistText</w:t>
            </w:r>
            <w:proofErr w:type="spellEnd"/>
            <w:proofErr w:type="gramEnd"/>
            <w:r w:rsidRPr="00F67E6B">
              <w:rPr>
                <w:rFonts w:asciiTheme="minorHAnsi" w:eastAsia="Consolas" w:hAnsiTheme="minorHAnsi" w:cstheme="minorHAnsi"/>
                <w:sz w:val="18"/>
                <w:szCs w:val="18"/>
              </w:rPr>
              <w:t>({</w:t>
            </w:r>
          </w:p>
          <w:p w14:paraId="0D29FAA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taxtype</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A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B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taxCode</w:t>
            </w:r>
            <w:proofErr w:type="spell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rec.getSublistText</w:t>
            </w:r>
            <w:proofErr w:type="spellEnd"/>
            <w:proofErr w:type="gramEnd"/>
            <w:r w:rsidRPr="00F67E6B">
              <w:rPr>
                <w:rFonts w:asciiTheme="minorHAnsi" w:eastAsia="Consolas" w:hAnsiTheme="minorHAnsi" w:cstheme="minorHAnsi"/>
                <w:sz w:val="18"/>
                <w:szCs w:val="18"/>
              </w:rPr>
              <w:t>({</w:t>
            </w:r>
          </w:p>
          <w:p w14:paraId="0D29FAB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taxcode</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B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B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taxBasis</w:t>
            </w:r>
            <w:proofErr w:type="spell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parseFloat</w:t>
            </w:r>
            <w:proofErr w:type="spellEnd"/>
            <w:r w:rsidRPr="00F67E6B">
              <w:rPr>
                <w:rFonts w:asciiTheme="minorHAnsi" w:eastAsia="Consolas" w:hAnsiTheme="minorHAnsi" w:cstheme="minorHAnsi"/>
                <w:sz w:val="18"/>
                <w:szCs w:val="18"/>
              </w:rPr>
              <w:t>(</w:t>
            </w:r>
            <w:proofErr w:type="spell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B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taxbasis</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B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 0),</w:t>
            </w:r>
          </w:p>
          <w:p w14:paraId="0D29FAB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taxRate</w:t>
            </w:r>
            <w:proofErr w:type="spell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parseFloat</w:t>
            </w:r>
            <w:proofErr w:type="spellEnd"/>
            <w:r w:rsidRPr="00F67E6B">
              <w:rPr>
                <w:rFonts w:asciiTheme="minorHAnsi" w:eastAsia="Consolas" w:hAnsiTheme="minorHAnsi" w:cstheme="minorHAnsi"/>
                <w:sz w:val="18"/>
                <w:szCs w:val="18"/>
              </w:rPr>
              <w:t>(</w:t>
            </w:r>
            <w:proofErr w:type="spell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B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taxrate</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B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 0),</w:t>
            </w:r>
          </w:p>
          <w:p w14:paraId="0D29FAB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taxAmount</w:t>
            </w:r>
            <w:proofErr w:type="spell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parseFloat</w:t>
            </w:r>
            <w:proofErr w:type="spellEnd"/>
            <w:r w:rsidRPr="00F67E6B">
              <w:rPr>
                <w:rFonts w:asciiTheme="minorHAnsi" w:eastAsia="Consolas" w:hAnsiTheme="minorHAnsi" w:cstheme="minorHAnsi"/>
                <w:sz w:val="18"/>
                <w:szCs w:val="18"/>
              </w:rPr>
              <w:t>(</w:t>
            </w:r>
            <w:proofErr w:type="spell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B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taxdetails</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taxamount</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B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 0)</w:t>
            </w:r>
          </w:p>
          <w:p w14:paraId="0D29FAB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B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B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B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return lines;</w:t>
            </w:r>
          </w:p>
          <w:p w14:paraId="0D29FAC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C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lastRenderedPageBreak/>
              <w:t xml:space="preserve"> </w:t>
            </w:r>
          </w:p>
          <w:p w14:paraId="0D29FAC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return </w:t>
            </w:r>
            <w:proofErr w:type="gramStart"/>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getGstDetailLines</w:t>
            </w:r>
            <w:proofErr w:type="spellEnd"/>
            <w:proofErr w:type="gram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getGstDetailLines</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w:t>
            </w:r>
          </w:p>
          <w:p w14:paraId="0D29FAC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w:t>
            </w:r>
          </w:p>
        </w:tc>
      </w:tr>
    </w:tbl>
    <w:p w14:paraId="0D29FAC5" w14:textId="77777777" w:rsidR="00B4496E" w:rsidRPr="00F67E6B" w:rsidRDefault="00B4496E">
      <w:pPr>
        <w:spacing w:after="100"/>
        <w:rPr>
          <w:rFonts w:asciiTheme="minorHAnsi" w:hAnsiTheme="minorHAnsi" w:cstheme="minorHAnsi"/>
        </w:rPr>
      </w:pPr>
    </w:p>
    <w:p w14:paraId="0D29FAC6" w14:textId="77777777" w:rsidR="00B4496E" w:rsidRPr="00F67E6B" w:rsidRDefault="00BF14D3">
      <w:pPr>
        <w:pStyle w:val="Heading2"/>
        <w:spacing w:before="300" w:after="150"/>
        <w:rPr>
          <w:rFonts w:asciiTheme="minorHAnsi" w:hAnsiTheme="minorHAnsi" w:cstheme="minorHAnsi"/>
        </w:rPr>
      </w:pPr>
      <w:r w:rsidRPr="00F67E6B">
        <w:rPr>
          <w:rFonts w:asciiTheme="minorHAnsi" w:hAnsiTheme="minorHAnsi" w:cstheme="minorHAnsi"/>
          <w:color w:val="1F3864"/>
        </w:rPr>
        <w:t>6.3 User Event — Guard Against a Missing HSN/SAC Code Before Submit</w:t>
      </w:r>
    </w:p>
    <w:p w14:paraId="0D29FAC7" w14:textId="77777777" w:rsidR="00B4496E" w:rsidRPr="00F67E6B" w:rsidRDefault="00BF14D3">
      <w:pPr>
        <w:spacing w:after="160" w:line="276" w:lineRule="auto"/>
        <w:rPr>
          <w:rFonts w:asciiTheme="minorHAnsi" w:hAnsiTheme="minorHAnsi" w:cstheme="minorHAnsi"/>
        </w:rPr>
      </w:pPr>
      <w:r w:rsidRPr="00F67E6B">
        <w:rPr>
          <w:rFonts w:asciiTheme="minorHAnsi" w:hAnsiTheme="minorHAnsi" w:cstheme="minorHAnsi"/>
        </w:rPr>
        <w:t xml:space="preserve">Since GST cannot be calculated at all for a line with no HSN or SAC code, a </w:t>
      </w:r>
      <w:proofErr w:type="spellStart"/>
      <w:r w:rsidRPr="00F67E6B">
        <w:rPr>
          <w:rFonts w:asciiTheme="minorHAnsi" w:hAnsiTheme="minorHAnsi" w:cstheme="minorHAnsi"/>
        </w:rPr>
        <w:t>BeforeSubmit</w:t>
      </w:r>
      <w:proofErr w:type="spellEnd"/>
      <w:r w:rsidRPr="00F67E6B">
        <w:rPr>
          <w:rFonts w:asciiTheme="minorHAnsi" w:hAnsiTheme="minorHAnsi" w:cstheme="minorHAnsi"/>
        </w:rPr>
        <w:t xml:space="preserve"> guard on taxable transaction lines can surface a clear, early error rather than letting the transaction save with an uncalculated or zero-tax line. This example checks the item's default field defensively — confirm your account's actual internal ID for the item-level HSN/SAC field via the Field internal ID inspector before deploying, since it is bundle-provisioned rather than a fixed platform field.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B4496E" w:rsidRPr="00F67E6B" w14:paraId="0D29FAF0" w14:textId="77777777">
        <w:tc>
          <w:tcPr>
            <w:tcW w:w="9350" w:type="dxa"/>
            <w:shd w:val="clear" w:color="auto" w:fill="F3F3F3"/>
            <w:tcMar>
              <w:top w:w="150" w:type="dxa"/>
              <w:left w:w="200" w:type="dxa"/>
              <w:bottom w:w="150" w:type="dxa"/>
              <w:right w:w="200" w:type="dxa"/>
            </w:tcMar>
          </w:tcPr>
          <w:p w14:paraId="0D29FAC8"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xml:space="preserve">/** SuiteScript 2.1 — </w:t>
            </w:r>
            <w:proofErr w:type="spellStart"/>
            <w:r w:rsidRPr="00F67E6B">
              <w:rPr>
                <w:rFonts w:asciiTheme="minorHAnsi" w:eastAsia="Consolas" w:hAnsiTheme="minorHAnsi" w:cstheme="minorHAnsi"/>
                <w:i/>
                <w:iCs/>
                <w:color w:val="595959"/>
                <w:sz w:val="18"/>
                <w:szCs w:val="18"/>
              </w:rPr>
              <w:t>UserEvent</w:t>
            </w:r>
            <w:proofErr w:type="spellEnd"/>
            <w:r w:rsidRPr="00F67E6B">
              <w:rPr>
                <w:rFonts w:asciiTheme="minorHAnsi" w:eastAsia="Consolas" w:hAnsiTheme="minorHAnsi" w:cstheme="minorHAnsi"/>
                <w:i/>
                <w:iCs/>
                <w:color w:val="595959"/>
                <w:sz w:val="18"/>
                <w:szCs w:val="18"/>
              </w:rPr>
              <w:t xml:space="preserve"> </w:t>
            </w:r>
            <w:proofErr w:type="spellStart"/>
            <w:r w:rsidRPr="00F67E6B">
              <w:rPr>
                <w:rFonts w:asciiTheme="minorHAnsi" w:eastAsia="Consolas" w:hAnsiTheme="minorHAnsi" w:cstheme="minorHAnsi"/>
                <w:i/>
                <w:iCs/>
                <w:color w:val="595959"/>
                <w:sz w:val="18"/>
                <w:szCs w:val="18"/>
              </w:rPr>
              <w:t>BeforeSubmit</w:t>
            </w:r>
            <w:proofErr w:type="spellEnd"/>
            <w:r w:rsidRPr="00F67E6B">
              <w:rPr>
                <w:rFonts w:asciiTheme="minorHAnsi" w:eastAsia="Consolas" w:hAnsiTheme="minorHAnsi" w:cstheme="minorHAnsi"/>
                <w:i/>
                <w:iCs/>
                <w:color w:val="595959"/>
                <w:sz w:val="18"/>
                <w:szCs w:val="18"/>
              </w:rPr>
              <w:t>: Validate Every Line Has an HSN/SAC Code</w:t>
            </w:r>
          </w:p>
          <w:p w14:paraId="0D29FAC9" w14:textId="77777777" w:rsidR="00B4496E" w:rsidRPr="00F67E6B" w:rsidRDefault="00BF14D3">
            <w:pPr>
              <w:spacing w:after="60"/>
              <w:rPr>
                <w:rFonts w:asciiTheme="minorHAnsi" w:hAnsiTheme="minorHAnsi" w:cstheme="minorHAnsi"/>
              </w:rPr>
            </w:pPr>
            <w:r w:rsidRPr="00F67E6B">
              <w:rPr>
                <w:rFonts w:asciiTheme="minorHAnsi" w:eastAsia="Consolas" w:hAnsiTheme="minorHAnsi" w:cstheme="minorHAnsi"/>
                <w:i/>
                <w:iCs/>
                <w:color w:val="595959"/>
                <w:sz w:val="18"/>
                <w:szCs w:val="18"/>
              </w:rPr>
              <w:t xml:space="preserve"> * Oracle Ref: Applies to: India Localization </w:t>
            </w:r>
            <w:proofErr w:type="spellStart"/>
            <w:r w:rsidRPr="00F67E6B">
              <w:rPr>
                <w:rFonts w:asciiTheme="minorHAnsi" w:eastAsia="Consolas" w:hAnsiTheme="minorHAnsi" w:cstheme="minorHAnsi"/>
                <w:i/>
                <w:iCs/>
                <w:color w:val="595959"/>
                <w:sz w:val="18"/>
                <w:szCs w:val="18"/>
              </w:rPr>
              <w:t>SuiteTax</w:t>
            </w:r>
            <w:proofErr w:type="spellEnd"/>
            <w:r w:rsidRPr="00F67E6B">
              <w:rPr>
                <w:rFonts w:asciiTheme="minorHAnsi" w:eastAsia="Consolas" w:hAnsiTheme="minorHAnsi" w:cstheme="minorHAnsi"/>
                <w:i/>
                <w:iCs/>
                <w:color w:val="595959"/>
                <w:sz w:val="18"/>
                <w:szCs w:val="18"/>
              </w:rPr>
              <w:t xml:space="preserve"> Engine taxable transaction types</w:t>
            </w:r>
          </w:p>
          <w:p w14:paraId="0D29FACA" w14:textId="77777777" w:rsidR="00B4496E" w:rsidRPr="00F67E6B" w:rsidRDefault="00BF14D3">
            <w:pPr>
              <w:spacing w:after="100"/>
              <w:rPr>
                <w:rFonts w:asciiTheme="minorHAnsi" w:hAnsiTheme="minorHAnsi" w:cstheme="minorHAnsi"/>
              </w:rPr>
            </w:pPr>
            <w:r w:rsidRPr="00F67E6B">
              <w:rPr>
                <w:rFonts w:asciiTheme="minorHAnsi" w:eastAsia="Consolas" w:hAnsiTheme="minorHAnsi" w:cstheme="minorHAnsi"/>
                <w:i/>
                <w:iCs/>
                <w:color w:val="595959"/>
                <w:sz w:val="18"/>
                <w:szCs w:val="18"/>
              </w:rPr>
              <w:t xml:space="preserve"> */</w:t>
            </w:r>
          </w:p>
          <w:p w14:paraId="0D29FAC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define(['N/record'], function(record) {</w:t>
            </w:r>
          </w:p>
          <w:p w14:paraId="0D29FAC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C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Replace with the account's actual internal ID for the India HSN or</w:t>
            </w:r>
          </w:p>
          <w:p w14:paraId="0D29FAC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 SAC Code column, confirmed via the Field internal ID inspector.</w:t>
            </w:r>
          </w:p>
          <w:p w14:paraId="0D29FAC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HSN_SAC_FIELD_ID = '</w:t>
            </w:r>
            <w:proofErr w:type="spellStart"/>
            <w:r w:rsidRPr="00F67E6B">
              <w:rPr>
                <w:rFonts w:asciiTheme="minorHAnsi" w:eastAsia="Consolas" w:hAnsiTheme="minorHAnsi" w:cstheme="minorHAnsi"/>
                <w:sz w:val="18"/>
                <w:szCs w:val="18"/>
              </w:rPr>
              <w:t>custcol_hsn_sac_code</w:t>
            </w:r>
            <w:proofErr w:type="spellEnd"/>
            <w:r w:rsidRPr="00F67E6B">
              <w:rPr>
                <w:rFonts w:asciiTheme="minorHAnsi" w:eastAsia="Consolas" w:hAnsiTheme="minorHAnsi" w:cstheme="minorHAnsi"/>
                <w:sz w:val="18"/>
                <w:szCs w:val="18"/>
              </w:rPr>
              <w:t>';</w:t>
            </w:r>
          </w:p>
          <w:p w14:paraId="0D29FAD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D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function </w:t>
            </w:r>
            <w:proofErr w:type="spellStart"/>
            <w:r w:rsidRPr="00F67E6B">
              <w:rPr>
                <w:rFonts w:asciiTheme="minorHAnsi" w:eastAsia="Consolas" w:hAnsiTheme="minorHAnsi" w:cstheme="minorHAnsi"/>
                <w:sz w:val="18"/>
                <w:szCs w:val="18"/>
              </w:rPr>
              <w:t>beforeSubmit</w:t>
            </w:r>
            <w:proofErr w:type="spellEnd"/>
            <w:r w:rsidRPr="00F67E6B">
              <w:rPr>
                <w:rFonts w:asciiTheme="minorHAnsi" w:eastAsia="Consolas" w:hAnsiTheme="minorHAnsi" w:cstheme="minorHAnsi"/>
                <w:sz w:val="18"/>
                <w:szCs w:val="18"/>
              </w:rPr>
              <w:t>(context) {</w:t>
            </w:r>
          </w:p>
          <w:p w14:paraId="0D29FAD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if (</w:t>
            </w:r>
            <w:proofErr w:type="spellStart"/>
            <w:proofErr w:type="gramStart"/>
            <w:r w:rsidRPr="00F67E6B">
              <w:rPr>
                <w:rFonts w:asciiTheme="minorHAnsi" w:eastAsia="Consolas" w:hAnsiTheme="minorHAnsi" w:cstheme="minorHAnsi"/>
                <w:sz w:val="18"/>
                <w:szCs w:val="18"/>
              </w:rPr>
              <w:t>context.type</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context.UserEventType.CREATE</w:t>
            </w:r>
            <w:proofErr w:type="spellEnd"/>
            <w:proofErr w:type="gramEnd"/>
            <w:r w:rsidRPr="00F67E6B">
              <w:rPr>
                <w:rFonts w:asciiTheme="minorHAnsi" w:eastAsia="Consolas" w:hAnsiTheme="minorHAnsi" w:cstheme="minorHAnsi"/>
                <w:sz w:val="18"/>
                <w:szCs w:val="18"/>
              </w:rPr>
              <w:t xml:space="preserve"> &amp;&amp;</w:t>
            </w:r>
          </w:p>
          <w:p w14:paraId="0D29FAD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context.type</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context.UserEventType.EDIT</w:t>
            </w:r>
            <w:proofErr w:type="spellEnd"/>
            <w:proofErr w:type="gramEnd"/>
            <w:r w:rsidRPr="00F67E6B">
              <w:rPr>
                <w:rFonts w:asciiTheme="minorHAnsi" w:eastAsia="Consolas" w:hAnsiTheme="minorHAnsi" w:cstheme="minorHAnsi"/>
                <w:sz w:val="18"/>
                <w:szCs w:val="18"/>
              </w:rPr>
              <w:t>) {</w:t>
            </w:r>
          </w:p>
          <w:p w14:paraId="0D29FAD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return;</w:t>
            </w:r>
          </w:p>
          <w:p w14:paraId="0D29FAD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D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D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rec = </w:t>
            </w:r>
            <w:proofErr w:type="spellStart"/>
            <w:proofErr w:type="gramStart"/>
            <w:r w:rsidRPr="00F67E6B">
              <w:rPr>
                <w:rFonts w:asciiTheme="minorHAnsi" w:eastAsia="Consolas" w:hAnsiTheme="minorHAnsi" w:cstheme="minorHAnsi"/>
                <w:sz w:val="18"/>
                <w:szCs w:val="18"/>
              </w:rPr>
              <w:t>context.newRecord</w:t>
            </w:r>
            <w:proofErr w:type="spellEnd"/>
            <w:proofErr w:type="gramEnd"/>
            <w:r w:rsidRPr="00F67E6B">
              <w:rPr>
                <w:rFonts w:asciiTheme="minorHAnsi" w:eastAsia="Consolas" w:hAnsiTheme="minorHAnsi" w:cstheme="minorHAnsi"/>
                <w:sz w:val="18"/>
                <w:szCs w:val="18"/>
              </w:rPr>
              <w:t>;</w:t>
            </w:r>
          </w:p>
          <w:p w14:paraId="0D29FAD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w:t>
            </w:r>
            <w:proofErr w:type="spellStart"/>
            <w:r w:rsidRPr="00F67E6B">
              <w:rPr>
                <w:rFonts w:asciiTheme="minorHAnsi" w:eastAsia="Consolas" w:hAnsiTheme="minorHAnsi" w:cstheme="minorHAnsi"/>
                <w:sz w:val="18"/>
                <w:szCs w:val="18"/>
              </w:rPr>
              <w:t>lineCount</w:t>
            </w:r>
            <w:proofErr w:type="spellEnd"/>
            <w:r w:rsidRPr="00F67E6B">
              <w:rPr>
                <w:rFonts w:asciiTheme="minorHAnsi" w:eastAsia="Consolas" w:hAnsiTheme="minorHAnsi" w:cstheme="minorHAnsi"/>
                <w:sz w:val="18"/>
                <w:szCs w:val="18"/>
              </w:rPr>
              <w:t xml:space="preserve"> = </w:t>
            </w:r>
            <w:proofErr w:type="spellStart"/>
            <w:proofErr w:type="gramStart"/>
            <w:r w:rsidRPr="00F67E6B">
              <w:rPr>
                <w:rFonts w:asciiTheme="minorHAnsi" w:eastAsia="Consolas" w:hAnsiTheme="minorHAnsi" w:cstheme="minorHAnsi"/>
                <w:sz w:val="18"/>
                <w:szCs w:val="18"/>
              </w:rPr>
              <w:t>rec.getLineCount</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proofErr w:type="gramEnd"/>
            <w:r w:rsidRPr="00F67E6B">
              <w:rPr>
                <w:rFonts w:asciiTheme="minorHAnsi" w:eastAsia="Consolas" w:hAnsiTheme="minorHAnsi" w:cstheme="minorHAnsi"/>
                <w:sz w:val="18"/>
                <w:szCs w:val="18"/>
              </w:rPr>
              <w:t>: 'item</w:t>
            </w:r>
            <w:proofErr w:type="gramStart"/>
            <w:r w:rsidRPr="00F67E6B">
              <w:rPr>
                <w:rFonts w:asciiTheme="minorHAnsi" w:eastAsia="Consolas" w:hAnsiTheme="minorHAnsi" w:cstheme="minorHAnsi"/>
                <w:sz w:val="18"/>
                <w:szCs w:val="18"/>
              </w:rPr>
              <w:t>' }</w:t>
            </w:r>
            <w:proofErr w:type="gramEnd"/>
            <w:r w:rsidRPr="00F67E6B">
              <w:rPr>
                <w:rFonts w:asciiTheme="minorHAnsi" w:eastAsia="Consolas" w:hAnsiTheme="minorHAnsi" w:cstheme="minorHAnsi"/>
                <w:sz w:val="18"/>
                <w:szCs w:val="18"/>
              </w:rPr>
              <w:t>);</w:t>
            </w:r>
          </w:p>
          <w:p w14:paraId="0D29FAD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D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for (var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xml:space="preserve"> = 0;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xml:space="preserve"> &lt; </w:t>
            </w:r>
            <w:proofErr w:type="spellStart"/>
            <w:r w:rsidRPr="00F67E6B">
              <w:rPr>
                <w:rFonts w:asciiTheme="minorHAnsi" w:eastAsia="Consolas" w:hAnsiTheme="minorHAnsi" w:cstheme="minorHAnsi"/>
                <w:sz w:val="18"/>
                <w:szCs w:val="18"/>
              </w:rPr>
              <w:t>lineCount</w:t>
            </w:r>
            <w:proofErr w:type="spellEnd"/>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w:t>
            </w:r>
          </w:p>
          <w:p w14:paraId="0D29FAD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w:t>
            </w:r>
            <w:proofErr w:type="spellStart"/>
            <w:r w:rsidRPr="00F67E6B">
              <w:rPr>
                <w:rFonts w:asciiTheme="minorHAnsi" w:eastAsia="Consolas" w:hAnsiTheme="minorHAnsi" w:cstheme="minorHAnsi"/>
                <w:sz w:val="18"/>
                <w:szCs w:val="18"/>
              </w:rPr>
              <w:t>isTaxable</w:t>
            </w:r>
            <w:proofErr w:type="spellEnd"/>
            <w:r w:rsidRPr="00F67E6B">
              <w:rPr>
                <w:rFonts w:asciiTheme="minorHAnsi" w:eastAsia="Consolas" w:hAnsiTheme="minorHAnsi" w:cstheme="minorHAnsi"/>
                <w:sz w:val="18"/>
                <w:szCs w:val="18"/>
              </w:rPr>
              <w:t xml:space="preserve"> = </w:t>
            </w:r>
            <w:proofErr w:type="spellStart"/>
            <w:proofErr w:type="gram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D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xml:space="preserve">: 'item',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w:t>
            </w:r>
            <w:proofErr w:type="spellStart"/>
            <w:r w:rsidRPr="00F67E6B">
              <w:rPr>
                <w:rFonts w:asciiTheme="minorHAnsi" w:eastAsia="Consolas" w:hAnsiTheme="minorHAnsi" w:cstheme="minorHAnsi"/>
                <w:sz w:val="18"/>
                <w:szCs w:val="18"/>
              </w:rPr>
              <w:t>istaxable</w:t>
            </w:r>
            <w:proofErr w:type="spellEnd"/>
            <w:r w:rsidRPr="00F67E6B">
              <w:rPr>
                <w:rFonts w:asciiTheme="minorHAnsi" w:eastAsia="Consolas" w:hAnsiTheme="minorHAnsi" w:cstheme="minorHAnsi"/>
                <w:sz w:val="18"/>
                <w:szCs w:val="18"/>
              </w:rPr>
              <w:t xml:space="preserve">', line: </w:t>
            </w:r>
            <w:proofErr w:type="spellStart"/>
            <w:r w:rsidRPr="00F67E6B">
              <w:rPr>
                <w:rFonts w:asciiTheme="minorHAnsi" w:eastAsia="Consolas" w:hAnsiTheme="minorHAnsi" w:cstheme="minorHAnsi"/>
                <w:sz w:val="18"/>
                <w:szCs w:val="18"/>
              </w:rPr>
              <w:t>i</w:t>
            </w:r>
            <w:proofErr w:type="spellEnd"/>
          </w:p>
          <w:p w14:paraId="0D29FAD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D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if </w:t>
            </w:r>
            <w:proofErr w:type="gramStart"/>
            <w:r w:rsidRPr="00F67E6B">
              <w:rPr>
                <w:rFonts w:asciiTheme="minorHAnsi" w:eastAsia="Consolas" w:hAnsiTheme="minorHAnsi" w:cstheme="minorHAnsi"/>
                <w:sz w:val="18"/>
                <w:szCs w:val="18"/>
              </w:rPr>
              <w:t>(!</w:t>
            </w:r>
            <w:proofErr w:type="spellStart"/>
            <w:r w:rsidRPr="00F67E6B">
              <w:rPr>
                <w:rFonts w:asciiTheme="minorHAnsi" w:eastAsia="Consolas" w:hAnsiTheme="minorHAnsi" w:cstheme="minorHAnsi"/>
                <w:sz w:val="18"/>
                <w:szCs w:val="18"/>
              </w:rPr>
              <w:t>isTaxable</w:t>
            </w:r>
            <w:proofErr w:type="spellEnd"/>
            <w:proofErr w:type="gramEnd"/>
            <w:r w:rsidRPr="00F67E6B">
              <w:rPr>
                <w:rFonts w:asciiTheme="minorHAnsi" w:eastAsia="Consolas" w:hAnsiTheme="minorHAnsi" w:cstheme="minorHAnsi"/>
                <w:sz w:val="18"/>
                <w:szCs w:val="18"/>
              </w:rPr>
              <w:t xml:space="preserve">) </w:t>
            </w:r>
            <w:proofErr w:type="gramStart"/>
            <w:r w:rsidRPr="00F67E6B">
              <w:rPr>
                <w:rFonts w:asciiTheme="minorHAnsi" w:eastAsia="Consolas" w:hAnsiTheme="minorHAnsi" w:cstheme="minorHAnsi"/>
                <w:sz w:val="18"/>
                <w:szCs w:val="18"/>
              </w:rPr>
              <w:t>{ continue; }</w:t>
            </w:r>
            <w:proofErr w:type="gramEnd"/>
          </w:p>
          <w:p w14:paraId="0D29FAD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0"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var </w:t>
            </w:r>
            <w:proofErr w:type="spellStart"/>
            <w:r w:rsidRPr="00F67E6B">
              <w:rPr>
                <w:rFonts w:asciiTheme="minorHAnsi" w:eastAsia="Consolas" w:hAnsiTheme="minorHAnsi" w:cstheme="minorHAnsi"/>
                <w:sz w:val="18"/>
                <w:szCs w:val="18"/>
              </w:rPr>
              <w:t>hsnSac</w:t>
            </w:r>
            <w:proofErr w:type="spellEnd"/>
            <w:r w:rsidRPr="00F67E6B">
              <w:rPr>
                <w:rFonts w:asciiTheme="minorHAnsi" w:eastAsia="Consolas" w:hAnsiTheme="minorHAnsi" w:cstheme="minorHAnsi"/>
                <w:sz w:val="18"/>
                <w:szCs w:val="18"/>
              </w:rPr>
              <w:t xml:space="preserve"> = </w:t>
            </w:r>
            <w:proofErr w:type="spellStart"/>
            <w:proofErr w:type="gramStart"/>
            <w:r w:rsidRPr="00F67E6B">
              <w:rPr>
                <w:rFonts w:asciiTheme="minorHAnsi" w:eastAsia="Consolas" w:hAnsiTheme="minorHAnsi" w:cstheme="minorHAnsi"/>
                <w:sz w:val="18"/>
                <w:szCs w:val="18"/>
              </w:rPr>
              <w:t>rec.getSublistValue</w:t>
            </w:r>
            <w:proofErr w:type="spellEnd"/>
            <w:proofErr w:type="gramEnd"/>
            <w:r w:rsidRPr="00F67E6B">
              <w:rPr>
                <w:rFonts w:asciiTheme="minorHAnsi" w:eastAsia="Consolas" w:hAnsiTheme="minorHAnsi" w:cstheme="minorHAnsi"/>
                <w:sz w:val="18"/>
                <w:szCs w:val="18"/>
              </w:rPr>
              <w:t>({</w:t>
            </w:r>
          </w:p>
          <w:p w14:paraId="0D29FAE1"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sublistId</w:t>
            </w:r>
            <w:proofErr w:type="spellEnd"/>
            <w:r w:rsidRPr="00F67E6B">
              <w:rPr>
                <w:rFonts w:asciiTheme="minorHAnsi" w:eastAsia="Consolas" w:hAnsiTheme="minorHAnsi" w:cstheme="minorHAnsi"/>
                <w:sz w:val="18"/>
                <w:szCs w:val="18"/>
              </w:rPr>
              <w:t xml:space="preserve">: 'item', </w:t>
            </w:r>
            <w:proofErr w:type="spellStart"/>
            <w:r w:rsidRPr="00F67E6B">
              <w:rPr>
                <w:rFonts w:asciiTheme="minorHAnsi" w:eastAsia="Consolas" w:hAnsiTheme="minorHAnsi" w:cstheme="minorHAnsi"/>
                <w:sz w:val="18"/>
                <w:szCs w:val="18"/>
              </w:rPr>
              <w:t>fieldId</w:t>
            </w:r>
            <w:proofErr w:type="spellEnd"/>
            <w:r w:rsidRPr="00F67E6B">
              <w:rPr>
                <w:rFonts w:asciiTheme="minorHAnsi" w:eastAsia="Consolas" w:hAnsiTheme="minorHAnsi" w:cstheme="minorHAnsi"/>
                <w:sz w:val="18"/>
                <w:szCs w:val="18"/>
              </w:rPr>
              <w:t xml:space="preserve">: HSN_SAC_FIELD_ID, line: </w:t>
            </w:r>
            <w:proofErr w:type="spellStart"/>
            <w:r w:rsidRPr="00F67E6B">
              <w:rPr>
                <w:rFonts w:asciiTheme="minorHAnsi" w:eastAsia="Consolas" w:hAnsiTheme="minorHAnsi" w:cstheme="minorHAnsi"/>
                <w:sz w:val="18"/>
                <w:szCs w:val="18"/>
              </w:rPr>
              <w:t>i</w:t>
            </w:r>
            <w:proofErr w:type="spellEnd"/>
          </w:p>
          <w:p w14:paraId="0D29FAE2"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3"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4"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if </w:t>
            </w:r>
            <w:proofErr w:type="gramStart"/>
            <w:r w:rsidRPr="00F67E6B">
              <w:rPr>
                <w:rFonts w:asciiTheme="minorHAnsi" w:eastAsia="Consolas" w:hAnsiTheme="minorHAnsi" w:cstheme="minorHAnsi"/>
                <w:sz w:val="18"/>
                <w:szCs w:val="18"/>
              </w:rPr>
              <w:t>(!</w:t>
            </w:r>
            <w:proofErr w:type="spellStart"/>
            <w:r w:rsidRPr="00F67E6B">
              <w:rPr>
                <w:rFonts w:asciiTheme="minorHAnsi" w:eastAsia="Consolas" w:hAnsiTheme="minorHAnsi" w:cstheme="minorHAnsi"/>
                <w:sz w:val="18"/>
                <w:szCs w:val="18"/>
              </w:rPr>
              <w:t>hsnSac</w:t>
            </w:r>
            <w:proofErr w:type="spellEnd"/>
            <w:proofErr w:type="gramEnd"/>
            <w:r w:rsidRPr="00F67E6B">
              <w:rPr>
                <w:rFonts w:asciiTheme="minorHAnsi" w:eastAsia="Consolas" w:hAnsiTheme="minorHAnsi" w:cstheme="minorHAnsi"/>
                <w:sz w:val="18"/>
                <w:szCs w:val="18"/>
              </w:rPr>
              <w:t>) {</w:t>
            </w:r>
          </w:p>
          <w:p w14:paraId="0D29FAE5"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throw </w:t>
            </w:r>
            <w:proofErr w:type="spellStart"/>
            <w:proofErr w:type="gramStart"/>
            <w:r w:rsidRPr="00F67E6B">
              <w:rPr>
                <w:rFonts w:asciiTheme="minorHAnsi" w:eastAsia="Consolas" w:hAnsiTheme="minorHAnsi" w:cstheme="minorHAnsi"/>
                <w:sz w:val="18"/>
                <w:szCs w:val="18"/>
              </w:rPr>
              <w:t>record.error</w:t>
            </w:r>
            <w:proofErr w:type="spellEnd"/>
            <w:proofErr w:type="gramEnd"/>
            <w:r w:rsidRPr="00F67E6B">
              <w:rPr>
                <w:rFonts w:asciiTheme="minorHAnsi" w:eastAsia="Consolas" w:hAnsiTheme="minorHAnsi" w:cstheme="minorHAnsi"/>
                <w:sz w:val="18"/>
                <w:szCs w:val="18"/>
              </w:rPr>
              <w:t xml:space="preserve"> || {</w:t>
            </w:r>
          </w:p>
          <w:p w14:paraId="0D29FAE6"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name: 'MISSING_HSN_SAC_CODE',</w:t>
            </w:r>
          </w:p>
          <w:p w14:paraId="0D29FAE7"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message: 'Line ' + (</w:t>
            </w:r>
            <w:proofErr w:type="spellStart"/>
            <w:r w:rsidRPr="00F67E6B">
              <w:rPr>
                <w:rFonts w:asciiTheme="minorHAnsi" w:eastAsia="Consolas" w:hAnsiTheme="minorHAnsi" w:cstheme="minorHAnsi"/>
                <w:sz w:val="18"/>
                <w:szCs w:val="18"/>
              </w:rPr>
              <w:t>i</w:t>
            </w:r>
            <w:proofErr w:type="spellEnd"/>
            <w:r w:rsidRPr="00F67E6B">
              <w:rPr>
                <w:rFonts w:asciiTheme="minorHAnsi" w:eastAsia="Consolas" w:hAnsiTheme="minorHAnsi" w:cstheme="minorHAnsi"/>
                <w:sz w:val="18"/>
                <w:szCs w:val="18"/>
              </w:rPr>
              <w:t xml:space="preserve"> + 1) + ' is taxable but has no HSN or ' +</w:t>
            </w:r>
          </w:p>
          <w:p w14:paraId="0D29FAE8"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'SAC code assigned. GST cannot be calculated without one.'</w:t>
            </w:r>
          </w:p>
          <w:p w14:paraId="0D29FAE9"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A"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B"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C"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D"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w:t>
            </w:r>
          </w:p>
          <w:p w14:paraId="0D29FAEE"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 xml:space="preserve">  return </w:t>
            </w:r>
            <w:proofErr w:type="gramStart"/>
            <w:r w:rsidRPr="00F67E6B">
              <w:rPr>
                <w:rFonts w:asciiTheme="minorHAnsi" w:eastAsia="Consolas" w:hAnsiTheme="minorHAnsi" w:cstheme="minorHAnsi"/>
                <w:sz w:val="18"/>
                <w:szCs w:val="18"/>
              </w:rPr>
              <w:t xml:space="preserve">{ </w:t>
            </w:r>
            <w:proofErr w:type="spellStart"/>
            <w:r w:rsidRPr="00F67E6B">
              <w:rPr>
                <w:rFonts w:asciiTheme="minorHAnsi" w:eastAsia="Consolas" w:hAnsiTheme="minorHAnsi" w:cstheme="minorHAnsi"/>
                <w:sz w:val="18"/>
                <w:szCs w:val="18"/>
              </w:rPr>
              <w:t>beforeSubmit</w:t>
            </w:r>
            <w:proofErr w:type="spellEnd"/>
            <w:proofErr w:type="gramEnd"/>
            <w:r w:rsidRPr="00F67E6B">
              <w:rPr>
                <w:rFonts w:asciiTheme="minorHAnsi" w:eastAsia="Consolas" w:hAnsiTheme="minorHAnsi" w:cstheme="minorHAnsi"/>
                <w:sz w:val="18"/>
                <w:szCs w:val="18"/>
              </w:rPr>
              <w:t xml:space="preserve">: </w:t>
            </w:r>
            <w:proofErr w:type="spellStart"/>
            <w:proofErr w:type="gramStart"/>
            <w:r w:rsidRPr="00F67E6B">
              <w:rPr>
                <w:rFonts w:asciiTheme="minorHAnsi" w:eastAsia="Consolas" w:hAnsiTheme="minorHAnsi" w:cstheme="minorHAnsi"/>
                <w:sz w:val="18"/>
                <w:szCs w:val="18"/>
              </w:rPr>
              <w:t>beforeSubmit</w:t>
            </w:r>
            <w:proofErr w:type="spellEnd"/>
            <w:r w:rsidRPr="00F67E6B">
              <w:rPr>
                <w:rFonts w:asciiTheme="minorHAnsi" w:eastAsia="Consolas" w:hAnsiTheme="minorHAnsi" w:cstheme="minorHAnsi"/>
                <w:sz w:val="18"/>
                <w:szCs w:val="18"/>
              </w:rPr>
              <w:t xml:space="preserve"> }</w:t>
            </w:r>
            <w:proofErr w:type="gramEnd"/>
            <w:r w:rsidRPr="00F67E6B">
              <w:rPr>
                <w:rFonts w:asciiTheme="minorHAnsi" w:eastAsia="Consolas" w:hAnsiTheme="minorHAnsi" w:cstheme="minorHAnsi"/>
                <w:sz w:val="18"/>
                <w:szCs w:val="18"/>
              </w:rPr>
              <w:t>;</w:t>
            </w:r>
          </w:p>
          <w:p w14:paraId="0D29FAEF" w14:textId="77777777" w:rsidR="00B4496E" w:rsidRPr="00F67E6B" w:rsidRDefault="00BF14D3">
            <w:pPr>
              <w:rPr>
                <w:rFonts w:asciiTheme="minorHAnsi" w:hAnsiTheme="minorHAnsi" w:cstheme="minorHAnsi"/>
              </w:rPr>
            </w:pPr>
            <w:r w:rsidRPr="00F67E6B">
              <w:rPr>
                <w:rFonts w:asciiTheme="minorHAnsi" w:eastAsia="Consolas" w:hAnsiTheme="minorHAnsi" w:cstheme="minorHAnsi"/>
                <w:sz w:val="18"/>
                <w:szCs w:val="18"/>
              </w:rPr>
              <w:t>});</w:t>
            </w:r>
          </w:p>
        </w:tc>
      </w:tr>
    </w:tbl>
    <w:p w14:paraId="0D29FAF2" w14:textId="77777777" w:rsidR="00B4496E" w:rsidRPr="00F67E6B" w:rsidRDefault="00BF14D3">
      <w:pPr>
        <w:pStyle w:val="Heading1"/>
        <w:rPr>
          <w:rFonts w:asciiTheme="minorHAnsi" w:hAnsiTheme="minorHAnsi" w:cstheme="minorHAnsi"/>
        </w:rPr>
      </w:pPr>
      <w:r w:rsidRPr="00F67E6B">
        <w:rPr>
          <w:rFonts w:asciiTheme="minorHAnsi" w:hAnsiTheme="minorHAnsi" w:cstheme="minorHAnsi"/>
        </w:rPr>
        <w:lastRenderedPageBreak/>
        <w:t>7. Architect's Quick Reference — GST/HSN/SAC Decision Framework</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100"/>
        <w:gridCol w:w="6250"/>
      </w:tblGrid>
      <w:tr w:rsidR="00B4496E" w:rsidRPr="00F67E6B" w14:paraId="0D29FAF5" w14:textId="77777777">
        <w:trPr>
          <w:tblHeader/>
        </w:trPr>
        <w:tc>
          <w:tcPr>
            <w:tcW w:w="3100" w:type="dxa"/>
            <w:shd w:val="clear" w:color="auto" w:fill="1F3864"/>
            <w:tcMar>
              <w:top w:w="100" w:type="dxa"/>
              <w:left w:w="120" w:type="dxa"/>
              <w:bottom w:w="100" w:type="dxa"/>
              <w:right w:w="120" w:type="dxa"/>
            </w:tcMar>
            <w:vAlign w:val="center"/>
          </w:tcPr>
          <w:p w14:paraId="0D29FAF3"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Design Decision</w:t>
            </w:r>
          </w:p>
        </w:tc>
        <w:tc>
          <w:tcPr>
            <w:tcW w:w="6250" w:type="dxa"/>
            <w:shd w:val="clear" w:color="auto" w:fill="1F3864"/>
            <w:tcMar>
              <w:top w:w="100" w:type="dxa"/>
              <w:left w:w="120" w:type="dxa"/>
              <w:bottom w:w="100" w:type="dxa"/>
              <w:right w:w="120" w:type="dxa"/>
            </w:tcMar>
            <w:vAlign w:val="center"/>
          </w:tcPr>
          <w:p w14:paraId="0D29FAF4" w14:textId="77777777" w:rsidR="00B4496E" w:rsidRPr="00F67E6B" w:rsidRDefault="00BF14D3">
            <w:pPr>
              <w:rPr>
                <w:rFonts w:asciiTheme="minorHAnsi" w:hAnsiTheme="minorHAnsi" w:cstheme="minorHAnsi"/>
              </w:rPr>
            </w:pPr>
            <w:r w:rsidRPr="00F67E6B">
              <w:rPr>
                <w:rFonts w:asciiTheme="minorHAnsi" w:hAnsiTheme="minorHAnsi" w:cstheme="minorHAnsi"/>
                <w:b/>
                <w:bCs/>
                <w:color w:val="FFFFFF"/>
              </w:rPr>
              <w:t>Recommended Approach</w:t>
            </w:r>
          </w:p>
        </w:tc>
      </w:tr>
      <w:tr w:rsidR="00B4496E" w:rsidRPr="00F67E6B" w14:paraId="0D29FAF8" w14:textId="77777777">
        <w:tc>
          <w:tcPr>
            <w:tcW w:w="3100" w:type="dxa"/>
            <w:shd w:val="clear" w:color="auto" w:fill="FFFFFF"/>
            <w:tcMar>
              <w:top w:w="90" w:type="dxa"/>
              <w:left w:w="120" w:type="dxa"/>
              <w:bottom w:w="90" w:type="dxa"/>
              <w:right w:w="120" w:type="dxa"/>
            </w:tcMar>
            <w:vAlign w:val="center"/>
          </w:tcPr>
          <w:p w14:paraId="0D29FAF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New item introduced for an Indian subsidiary</w:t>
            </w:r>
          </w:p>
        </w:tc>
        <w:tc>
          <w:tcPr>
            <w:tcW w:w="6250" w:type="dxa"/>
            <w:shd w:val="clear" w:color="auto" w:fill="FFFFFF"/>
            <w:tcMar>
              <w:top w:w="90" w:type="dxa"/>
              <w:left w:w="120" w:type="dxa"/>
              <w:bottom w:w="90" w:type="dxa"/>
              <w:right w:w="120" w:type="dxa"/>
            </w:tcMar>
            <w:vAlign w:val="center"/>
          </w:tcPr>
          <w:p w14:paraId="0D29FAF7"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Assign India Tax Nature and a default HSN or SAC code on the item record before it is ever transacted on — GST cannot calculate without one</w:t>
            </w:r>
          </w:p>
        </w:tc>
      </w:tr>
      <w:tr w:rsidR="00B4496E" w:rsidRPr="00F67E6B" w14:paraId="0D29FAFB" w14:textId="77777777">
        <w:tc>
          <w:tcPr>
            <w:tcW w:w="3100" w:type="dxa"/>
            <w:shd w:val="clear" w:color="auto" w:fill="F2F2F2"/>
            <w:tcMar>
              <w:top w:w="90" w:type="dxa"/>
              <w:left w:w="120" w:type="dxa"/>
              <w:bottom w:w="90" w:type="dxa"/>
              <w:right w:w="120" w:type="dxa"/>
            </w:tcMar>
            <w:vAlign w:val="center"/>
          </w:tcPr>
          <w:p w14:paraId="0D29FAF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Rate changes for a class of goods/services</w:t>
            </w:r>
          </w:p>
        </w:tc>
        <w:tc>
          <w:tcPr>
            <w:tcW w:w="6250" w:type="dxa"/>
            <w:shd w:val="clear" w:color="auto" w:fill="F2F2F2"/>
            <w:tcMar>
              <w:top w:w="90" w:type="dxa"/>
              <w:left w:w="120" w:type="dxa"/>
              <w:bottom w:w="90" w:type="dxa"/>
              <w:right w:w="120" w:type="dxa"/>
            </w:tcMar>
            <w:vAlign w:val="center"/>
          </w:tcPr>
          <w:p w14:paraId="0D29FAFA"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Update or add a GST Tax Rate Rule with the correct Effective From/Valid Until dates rather than editing the HSN/SAC code — the code is a stable classification key, not a rate</w:t>
            </w:r>
          </w:p>
        </w:tc>
      </w:tr>
      <w:tr w:rsidR="00B4496E" w:rsidRPr="00F67E6B" w14:paraId="0D29FAFE" w14:textId="77777777">
        <w:tc>
          <w:tcPr>
            <w:tcW w:w="3100" w:type="dxa"/>
            <w:shd w:val="clear" w:color="auto" w:fill="FFFFFF"/>
            <w:tcMar>
              <w:top w:w="90" w:type="dxa"/>
              <w:left w:w="120" w:type="dxa"/>
              <w:bottom w:w="90" w:type="dxa"/>
              <w:right w:w="120" w:type="dxa"/>
            </w:tcMar>
            <w:vAlign w:val="center"/>
          </w:tcPr>
          <w:p w14:paraId="0D29FAF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Cross-state vs. within-state sales</w:t>
            </w:r>
          </w:p>
        </w:tc>
        <w:tc>
          <w:tcPr>
            <w:tcW w:w="6250" w:type="dxa"/>
            <w:shd w:val="clear" w:color="auto" w:fill="FFFFFF"/>
            <w:tcMar>
              <w:top w:w="90" w:type="dxa"/>
              <w:left w:w="120" w:type="dxa"/>
              <w:bottom w:w="90" w:type="dxa"/>
              <w:right w:w="120" w:type="dxa"/>
            </w:tcMar>
            <w:vAlign w:val="center"/>
          </w:tcPr>
          <w:p w14:paraId="0D29FAFD"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Confirm Place of Supply drives Classification of Supply correctly on the rate rule — Inter-State uses IGST, Intra-State splits CGST/SGST or CGST/UTGST</w:t>
            </w:r>
          </w:p>
        </w:tc>
      </w:tr>
      <w:tr w:rsidR="00B4496E" w:rsidRPr="00F67E6B" w14:paraId="0D29FB01" w14:textId="77777777">
        <w:tc>
          <w:tcPr>
            <w:tcW w:w="3100" w:type="dxa"/>
            <w:shd w:val="clear" w:color="auto" w:fill="F2F2F2"/>
            <w:tcMar>
              <w:top w:w="90" w:type="dxa"/>
              <w:left w:w="120" w:type="dxa"/>
              <w:bottom w:w="90" w:type="dxa"/>
              <w:right w:w="120" w:type="dxa"/>
            </w:tcMar>
            <w:vAlign w:val="center"/>
          </w:tcPr>
          <w:p w14:paraId="0D29FAF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Products subject to Compensation Cess</w:t>
            </w:r>
          </w:p>
        </w:tc>
        <w:tc>
          <w:tcPr>
            <w:tcW w:w="6250" w:type="dxa"/>
            <w:shd w:val="clear" w:color="auto" w:fill="F2F2F2"/>
            <w:tcMar>
              <w:top w:w="90" w:type="dxa"/>
              <w:left w:w="120" w:type="dxa"/>
              <w:bottom w:w="90" w:type="dxa"/>
              <w:right w:w="120" w:type="dxa"/>
            </w:tcMar>
            <w:vAlign w:val="center"/>
          </w:tcPr>
          <w:p w14:paraId="0D29FB00"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Configure the Compensation Cess fields on the rate rule (Percentage, Quantity, or both) rather than approximating cess through a separate tax code</w:t>
            </w:r>
          </w:p>
        </w:tc>
      </w:tr>
      <w:tr w:rsidR="00B4496E" w:rsidRPr="00F67E6B" w14:paraId="0D29FB04" w14:textId="77777777">
        <w:tc>
          <w:tcPr>
            <w:tcW w:w="3100" w:type="dxa"/>
            <w:shd w:val="clear" w:color="auto" w:fill="FFFFFF"/>
            <w:tcMar>
              <w:top w:w="90" w:type="dxa"/>
              <w:left w:w="120" w:type="dxa"/>
              <w:bottom w:w="90" w:type="dxa"/>
              <w:right w:w="120" w:type="dxa"/>
            </w:tcMar>
            <w:vAlign w:val="center"/>
          </w:tcPr>
          <w:p w14:paraId="0D29FB0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Purchases from unregistered vendors</w:t>
            </w:r>
          </w:p>
        </w:tc>
        <w:tc>
          <w:tcPr>
            <w:tcW w:w="6250" w:type="dxa"/>
            <w:shd w:val="clear" w:color="auto" w:fill="FFFFFF"/>
            <w:tcMar>
              <w:top w:w="90" w:type="dxa"/>
              <w:left w:w="120" w:type="dxa"/>
              <w:bottom w:w="90" w:type="dxa"/>
              <w:right w:w="120" w:type="dxa"/>
            </w:tcMar>
            <w:vAlign w:val="center"/>
          </w:tcPr>
          <w:p w14:paraId="0D29FB03"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Set the Nature of Document correctly (e.g. inward supply from unregistered person) so it is picked up correctly in the List of Documents Issued for GSTR-1</w:t>
            </w:r>
          </w:p>
        </w:tc>
      </w:tr>
      <w:tr w:rsidR="00B4496E" w:rsidRPr="00F67E6B" w14:paraId="0D29FB07" w14:textId="77777777">
        <w:tc>
          <w:tcPr>
            <w:tcW w:w="3100" w:type="dxa"/>
            <w:shd w:val="clear" w:color="auto" w:fill="F2F2F2"/>
            <w:tcMar>
              <w:top w:w="90" w:type="dxa"/>
              <w:left w:w="120" w:type="dxa"/>
              <w:bottom w:w="90" w:type="dxa"/>
              <w:right w:w="120" w:type="dxa"/>
            </w:tcMar>
            <w:vAlign w:val="center"/>
          </w:tcPr>
          <w:p w14:paraId="0D29FB05"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CSV Import or SuiteScript transaction creation</w:t>
            </w:r>
          </w:p>
        </w:tc>
        <w:tc>
          <w:tcPr>
            <w:tcW w:w="6250" w:type="dxa"/>
            <w:shd w:val="clear" w:color="auto" w:fill="F2F2F2"/>
            <w:tcMar>
              <w:top w:w="90" w:type="dxa"/>
              <w:left w:w="120" w:type="dxa"/>
              <w:bottom w:w="90" w:type="dxa"/>
              <w:right w:w="120" w:type="dxa"/>
            </w:tcMar>
            <w:vAlign w:val="center"/>
          </w:tcPr>
          <w:p w14:paraId="0D29FB06"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Always set Nexus and Place of Supply explicitly — GST does not reliably auto-determine these outside the UI's Preview Tax flow</w:t>
            </w:r>
          </w:p>
        </w:tc>
      </w:tr>
      <w:tr w:rsidR="00B4496E" w:rsidRPr="00F67E6B" w14:paraId="0D29FB0A" w14:textId="77777777">
        <w:tc>
          <w:tcPr>
            <w:tcW w:w="3100" w:type="dxa"/>
            <w:shd w:val="clear" w:color="auto" w:fill="FFFFFF"/>
            <w:tcMar>
              <w:top w:w="90" w:type="dxa"/>
              <w:left w:w="120" w:type="dxa"/>
              <w:bottom w:w="90" w:type="dxa"/>
              <w:right w:w="120" w:type="dxa"/>
            </w:tcMar>
            <w:vAlign w:val="center"/>
          </w:tcPr>
          <w:p w14:paraId="0D29FB08"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Forcing GST recalculation from script</w:t>
            </w:r>
          </w:p>
        </w:tc>
        <w:tc>
          <w:tcPr>
            <w:tcW w:w="6250" w:type="dxa"/>
            <w:shd w:val="clear" w:color="auto" w:fill="FFFFFF"/>
            <w:tcMar>
              <w:top w:w="90" w:type="dxa"/>
              <w:left w:w="120" w:type="dxa"/>
              <w:bottom w:w="90" w:type="dxa"/>
              <w:right w:w="120" w:type="dxa"/>
            </w:tcMar>
            <w:vAlign w:val="center"/>
          </w:tcPr>
          <w:p w14:paraId="0D29FB09"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Use </w:t>
            </w:r>
            <w:proofErr w:type="spellStart"/>
            <w:r w:rsidRPr="00F67E6B">
              <w:rPr>
                <w:rFonts w:asciiTheme="minorHAnsi" w:hAnsiTheme="minorHAnsi" w:cstheme="minorHAnsi"/>
              </w:rPr>
              <w:t>getMacros</w:t>
            </w:r>
            <w:proofErr w:type="spellEnd"/>
            <w:r w:rsidRPr="00F67E6B">
              <w:rPr>
                <w:rFonts w:asciiTheme="minorHAnsi" w:hAnsiTheme="minorHAnsi" w:cstheme="minorHAnsi"/>
              </w:rPr>
              <w:t>()/</w:t>
            </w:r>
            <w:proofErr w:type="spellStart"/>
            <w:proofErr w:type="gramStart"/>
            <w:r w:rsidRPr="00F67E6B">
              <w:rPr>
                <w:rFonts w:asciiTheme="minorHAnsi" w:hAnsiTheme="minorHAnsi" w:cstheme="minorHAnsi"/>
              </w:rPr>
              <w:t>calculateTax</w:t>
            </w:r>
            <w:proofErr w:type="spellEnd"/>
            <w:r w:rsidRPr="00F67E6B">
              <w:rPr>
                <w:rFonts w:asciiTheme="minorHAnsi" w:hAnsiTheme="minorHAnsi" w:cstheme="minorHAnsi"/>
              </w:rPr>
              <w:t>(</w:t>
            </w:r>
            <w:proofErr w:type="gramEnd"/>
            <w:r w:rsidRPr="00F67E6B">
              <w:rPr>
                <w:rFonts w:asciiTheme="minorHAnsi" w:hAnsiTheme="minorHAnsi" w:cstheme="minorHAnsi"/>
              </w:rPr>
              <w:t xml:space="preserve">) in SuiteScript 2.0 dynamic mode — not </w:t>
            </w:r>
            <w:proofErr w:type="spellStart"/>
            <w:proofErr w:type="gramStart"/>
            <w:r w:rsidRPr="00F67E6B">
              <w:rPr>
                <w:rFonts w:asciiTheme="minorHAnsi" w:hAnsiTheme="minorHAnsi" w:cstheme="minorHAnsi"/>
              </w:rPr>
              <w:t>executeMacro</w:t>
            </w:r>
            <w:proofErr w:type="spellEnd"/>
            <w:r w:rsidRPr="00F67E6B">
              <w:rPr>
                <w:rFonts w:asciiTheme="minorHAnsi" w:hAnsiTheme="minorHAnsi" w:cstheme="minorHAnsi"/>
              </w:rPr>
              <w:t>(</w:t>
            </w:r>
            <w:proofErr w:type="gramEnd"/>
            <w:r w:rsidRPr="00F67E6B">
              <w:rPr>
                <w:rFonts w:asciiTheme="minorHAnsi" w:hAnsiTheme="minorHAnsi" w:cstheme="minorHAnsi"/>
              </w:rPr>
              <w:t xml:space="preserve">) in SuiteScript 2.1, which does not support the </w:t>
            </w:r>
            <w:proofErr w:type="spellStart"/>
            <w:r w:rsidRPr="00F67E6B">
              <w:rPr>
                <w:rFonts w:asciiTheme="minorHAnsi" w:hAnsiTheme="minorHAnsi" w:cstheme="minorHAnsi"/>
              </w:rPr>
              <w:t>calculateTax</w:t>
            </w:r>
            <w:proofErr w:type="spellEnd"/>
            <w:r w:rsidRPr="00F67E6B">
              <w:rPr>
                <w:rFonts w:asciiTheme="minorHAnsi" w:hAnsiTheme="minorHAnsi" w:cstheme="minorHAnsi"/>
              </w:rPr>
              <w:t xml:space="preserve"> macro</w:t>
            </w:r>
          </w:p>
        </w:tc>
      </w:tr>
      <w:tr w:rsidR="00B4496E" w:rsidRPr="00F67E6B" w14:paraId="0D29FB0D" w14:textId="77777777">
        <w:tc>
          <w:tcPr>
            <w:tcW w:w="3100" w:type="dxa"/>
            <w:shd w:val="clear" w:color="auto" w:fill="F2F2F2"/>
            <w:tcMar>
              <w:top w:w="90" w:type="dxa"/>
              <w:left w:w="120" w:type="dxa"/>
              <w:bottom w:w="90" w:type="dxa"/>
              <w:right w:w="120" w:type="dxa"/>
            </w:tcMar>
            <w:vAlign w:val="center"/>
          </w:tcPr>
          <w:p w14:paraId="0D29FB0B"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Reading calculated GST for reporting</w:t>
            </w:r>
          </w:p>
        </w:tc>
        <w:tc>
          <w:tcPr>
            <w:tcW w:w="6250" w:type="dxa"/>
            <w:shd w:val="clear" w:color="auto" w:fill="F2F2F2"/>
            <w:tcMar>
              <w:top w:w="90" w:type="dxa"/>
              <w:left w:w="120" w:type="dxa"/>
              <w:bottom w:w="90" w:type="dxa"/>
              <w:right w:w="120" w:type="dxa"/>
            </w:tcMar>
            <w:vAlign w:val="center"/>
          </w:tcPr>
          <w:p w14:paraId="0D29FB0C"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Read the </w:t>
            </w:r>
            <w:proofErr w:type="spellStart"/>
            <w:r w:rsidRPr="00F67E6B">
              <w:rPr>
                <w:rFonts w:asciiTheme="minorHAnsi" w:hAnsiTheme="minorHAnsi" w:cstheme="minorHAnsi"/>
              </w:rPr>
              <w:t>taxdetails</w:t>
            </w:r>
            <w:proofErr w:type="spellEnd"/>
            <w:r w:rsidRPr="00F67E6B">
              <w:rPr>
                <w:rFonts w:asciiTheme="minorHAnsi" w:hAnsiTheme="minorHAnsi" w:cstheme="minorHAnsi"/>
              </w:rPr>
              <w:t xml:space="preserve"> </w:t>
            </w:r>
            <w:proofErr w:type="spellStart"/>
            <w:r w:rsidRPr="00F67E6B">
              <w:rPr>
                <w:rFonts w:asciiTheme="minorHAnsi" w:hAnsiTheme="minorHAnsi" w:cstheme="minorHAnsi"/>
              </w:rPr>
              <w:t>sublist</w:t>
            </w:r>
            <w:proofErr w:type="spellEnd"/>
            <w:r w:rsidRPr="00F67E6B">
              <w:rPr>
                <w:rFonts w:asciiTheme="minorHAnsi" w:hAnsiTheme="minorHAnsi" w:cstheme="minorHAnsi"/>
              </w:rPr>
              <w:t xml:space="preserve"> rather than assuming a fixed tax code per line — Tax Type will read CGST/SGST/UTGST/IGST depending on the engine's determination</w:t>
            </w:r>
          </w:p>
        </w:tc>
      </w:tr>
      <w:tr w:rsidR="00B4496E" w:rsidRPr="00F67E6B" w14:paraId="0D29FB10" w14:textId="77777777">
        <w:tc>
          <w:tcPr>
            <w:tcW w:w="3100" w:type="dxa"/>
            <w:shd w:val="clear" w:color="auto" w:fill="FFFFFF"/>
            <w:tcMar>
              <w:top w:w="90" w:type="dxa"/>
              <w:left w:w="120" w:type="dxa"/>
              <w:bottom w:w="90" w:type="dxa"/>
              <w:right w:w="120" w:type="dxa"/>
            </w:tcMar>
            <w:vAlign w:val="center"/>
          </w:tcPr>
          <w:p w14:paraId="0D29FB0E"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Validating GST readiness before Save</w:t>
            </w:r>
          </w:p>
        </w:tc>
        <w:tc>
          <w:tcPr>
            <w:tcW w:w="6250" w:type="dxa"/>
            <w:shd w:val="clear" w:color="auto" w:fill="FFFFFF"/>
            <w:tcMar>
              <w:top w:w="90" w:type="dxa"/>
              <w:left w:w="120" w:type="dxa"/>
              <w:bottom w:w="90" w:type="dxa"/>
              <w:right w:w="120" w:type="dxa"/>
            </w:tcMar>
            <w:vAlign w:val="center"/>
          </w:tcPr>
          <w:p w14:paraId="0D29FB0F"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 xml:space="preserve">Use a </w:t>
            </w:r>
            <w:proofErr w:type="spellStart"/>
            <w:r w:rsidRPr="00F67E6B">
              <w:rPr>
                <w:rFonts w:asciiTheme="minorHAnsi" w:hAnsiTheme="minorHAnsi" w:cstheme="minorHAnsi"/>
              </w:rPr>
              <w:t>BeforeSubmit</w:t>
            </w:r>
            <w:proofErr w:type="spellEnd"/>
            <w:r w:rsidRPr="00F67E6B">
              <w:rPr>
                <w:rFonts w:asciiTheme="minorHAnsi" w:hAnsiTheme="minorHAnsi" w:cstheme="minorHAnsi"/>
              </w:rPr>
              <w:t xml:space="preserve"> guard checking for a populated HSN/SAC code on every taxable line, with the field ID confirmed per account</w:t>
            </w:r>
          </w:p>
        </w:tc>
      </w:tr>
      <w:tr w:rsidR="00B4496E" w:rsidRPr="00F67E6B" w14:paraId="0D29FB13" w14:textId="77777777">
        <w:tc>
          <w:tcPr>
            <w:tcW w:w="3100" w:type="dxa"/>
            <w:shd w:val="clear" w:color="auto" w:fill="F2F2F2"/>
            <w:tcMar>
              <w:top w:w="90" w:type="dxa"/>
              <w:left w:w="120" w:type="dxa"/>
              <w:bottom w:w="90" w:type="dxa"/>
              <w:right w:w="120" w:type="dxa"/>
            </w:tcMar>
            <w:vAlign w:val="center"/>
          </w:tcPr>
          <w:p w14:paraId="0D29FB11"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Overriding calculated tax manually</w:t>
            </w:r>
          </w:p>
        </w:tc>
        <w:tc>
          <w:tcPr>
            <w:tcW w:w="6250" w:type="dxa"/>
            <w:shd w:val="clear" w:color="auto" w:fill="F2F2F2"/>
            <w:tcMar>
              <w:top w:w="90" w:type="dxa"/>
              <w:left w:w="120" w:type="dxa"/>
              <w:bottom w:w="90" w:type="dxa"/>
              <w:right w:w="120" w:type="dxa"/>
            </w:tcMar>
            <w:vAlign w:val="center"/>
          </w:tcPr>
          <w:p w14:paraId="0D29FB12" w14:textId="77777777" w:rsidR="00B4496E" w:rsidRPr="00F67E6B" w:rsidRDefault="00BF14D3">
            <w:pPr>
              <w:spacing w:after="40"/>
              <w:rPr>
                <w:rFonts w:asciiTheme="minorHAnsi" w:hAnsiTheme="minorHAnsi" w:cstheme="minorHAnsi"/>
              </w:rPr>
            </w:pPr>
            <w:r w:rsidRPr="00F67E6B">
              <w:rPr>
                <w:rFonts w:asciiTheme="minorHAnsi" w:hAnsiTheme="minorHAnsi" w:cstheme="minorHAnsi"/>
              </w:rPr>
              <w:t>Reserve Tax Details Override for genuine exceptions — it disables Preview Tax, and clearing it after use deletes the tax rather than restoring the engine's calculation</w:t>
            </w:r>
          </w:p>
        </w:tc>
      </w:tr>
    </w:tbl>
    <w:p w14:paraId="0D29FB14" w14:textId="77777777" w:rsidR="00B4496E" w:rsidRDefault="00B4496E">
      <w:pPr>
        <w:spacing w:after="100"/>
        <w:rPr>
          <w:rFonts w:asciiTheme="minorHAnsi" w:hAnsiTheme="minorHAnsi" w:cstheme="minorHAnsi"/>
        </w:rPr>
      </w:pPr>
    </w:p>
    <w:p w14:paraId="426D6114" w14:textId="77777777" w:rsidR="00E80E23" w:rsidRDefault="00E80E23">
      <w:pPr>
        <w:spacing w:after="100"/>
        <w:rPr>
          <w:rFonts w:asciiTheme="minorHAnsi" w:hAnsiTheme="minorHAnsi" w:cstheme="minorHAnsi"/>
        </w:rPr>
      </w:pPr>
    </w:p>
    <w:p w14:paraId="120275EC" w14:textId="77777777" w:rsidR="00E80E23" w:rsidRDefault="00E80E23">
      <w:pPr>
        <w:spacing w:after="100"/>
        <w:rPr>
          <w:rFonts w:asciiTheme="minorHAnsi" w:hAnsiTheme="minorHAnsi" w:cstheme="minorHAnsi"/>
        </w:rPr>
      </w:pPr>
    </w:p>
    <w:p w14:paraId="5F821AB7" w14:textId="77777777" w:rsidR="00E80E23" w:rsidRDefault="00E80E23">
      <w:pPr>
        <w:spacing w:after="100"/>
        <w:rPr>
          <w:rFonts w:asciiTheme="minorHAnsi" w:hAnsiTheme="minorHAnsi" w:cstheme="minorHAnsi"/>
        </w:rPr>
      </w:pPr>
    </w:p>
    <w:p w14:paraId="66C9CD2E" w14:textId="77777777" w:rsidR="00E80E23" w:rsidRDefault="00E80E23">
      <w:pPr>
        <w:spacing w:after="100"/>
        <w:rPr>
          <w:rFonts w:asciiTheme="minorHAnsi" w:hAnsiTheme="minorHAnsi" w:cstheme="minorHAnsi"/>
        </w:rPr>
      </w:pPr>
    </w:p>
    <w:p w14:paraId="0466A139" w14:textId="77777777" w:rsidR="00E80E23" w:rsidRDefault="00E80E23">
      <w:pPr>
        <w:spacing w:after="100"/>
        <w:rPr>
          <w:rFonts w:asciiTheme="minorHAnsi" w:hAnsiTheme="minorHAnsi" w:cstheme="minorHAnsi"/>
        </w:rPr>
      </w:pPr>
    </w:p>
    <w:p w14:paraId="74172D39" w14:textId="77777777" w:rsidR="00E80E23" w:rsidRPr="00F67E6B" w:rsidRDefault="00E80E23">
      <w:pPr>
        <w:spacing w:after="100"/>
        <w:rPr>
          <w:rFonts w:asciiTheme="minorHAnsi" w:hAnsiTheme="minorHAnsi" w:cstheme="minorHAnsi"/>
        </w:rPr>
      </w:pPr>
    </w:p>
    <w:tbl>
      <w:tblPr>
        <w:tblW w:w="9757" w:type="dxa"/>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CellMar>
          <w:left w:w="10" w:type="dxa"/>
          <w:right w:w="10" w:type="dxa"/>
        </w:tblCellMar>
        <w:tblLook w:val="04A0" w:firstRow="1" w:lastRow="0" w:firstColumn="1" w:lastColumn="0" w:noHBand="0" w:noVBand="1"/>
      </w:tblPr>
      <w:tblGrid>
        <w:gridCol w:w="9757"/>
      </w:tblGrid>
      <w:tr w:rsidR="00B4496E" w:rsidRPr="00F67E6B" w14:paraId="0D29FB1D" w14:textId="77777777" w:rsidTr="00EA501C">
        <w:trPr>
          <w:trHeight w:val="6308"/>
        </w:trPr>
        <w:tc>
          <w:tcPr>
            <w:tcW w:w="9757" w:type="dxa"/>
            <w:shd w:val="clear" w:color="auto" w:fill="EAF1FB"/>
            <w:tcMar>
              <w:top w:w="150" w:type="dxa"/>
              <w:left w:w="200" w:type="dxa"/>
              <w:bottom w:w="150" w:type="dxa"/>
              <w:right w:w="200" w:type="dxa"/>
            </w:tcMar>
          </w:tcPr>
          <w:p w14:paraId="0D29FB15" w14:textId="77777777" w:rsidR="00B4496E" w:rsidRPr="00EA501C" w:rsidRDefault="00BF14D3">
            <w:pPr>
              <w:spacing w:after="100"/>
              <w:rPr>
                <w:rFonts w:asciiTheme="minorHAnsi" w:hAnsiTheme="minorHAnsi" w:cstheme="minorHAnsi"/>
                <w:sz w:val="28"/>
                <w:szCs w:val="28"/>
              </w:rPr>
            </w:pPr>
            <w:r w:rsidRPr="00EA501C">
              <w:rPr>
                <w:rFonts w:ascii="Segoe UI Emoji" w:hAnsi="Segoe UI Emoji" w:cs="Segoe UI Emoji"/>
                <w:b/>
                <w:bCs/>
                <w:color w:val="1F3864"/>
                <w:sz w:val="28"/>
                <w:szCs w:val="28"/>
              </w:rPr>
              <w:lastRenderedPageBreak/>
              <w:t>📌</w:t>
            </w:r>
            <w:r w:rsidRPr="00EA501C">
              <w:rPr>
                <w:rFonts w:asciiTheme="minorHAnsi" w:hAnsiTheme="minorHAnsi" w:cstheme="minorHAnsi"/>
                <w:b/>
                <w:bCs/>
                <w:color w:val="1F3864"/>
                <w:sz w:val="28"/>
                <w:szCs w:val="28"/>
              </w:rPr>
              <w:t xml:space="preserve"> Week 22 Learning Summary — GST, HSN, SAC Deep Dive</w:t>
            </w:r>
          </w:p>
          <w:p w14:paraId="0D29FB16"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 xml:space="preserve">GST in NetSuite is calculated by the India Localization </w:t>
            </w:r>
            <w:proofErr w:type="spellStart"/>
            <w:r w:rsidRPr="006C3EDF">
              <w:rPr>
                <w:rFonts w:asciiTheme="minorHAnsi" w:hAnsiTheme="minorHAnsi" w:cstheme="minorHAnsi"/>
                <w:sz w:val="24"/>
                <w:szCs w:val="24"/>
              </w:rPr>
              <w:t>SuiteTax</w:t>
            </w:r>
            <w:proofErr w:type="spellEnd"/>
            <w:r w:rsidRPr="006C3EDF">
              <w:rPr>
                <w:rFonts w:asciiTheme="minorHAnsi" w:hAnsiTheme="minorHAnsi" w:cstheme="minorHAnsi"/>
                <w:sz w:val="24"/>
                <w:szCs w:val="24"/>
              </w:rPr>
              <w:t xml:space="preserve"> Engine, a certified </w:t>
            </w:r>
            <w:proofErr w:type="spellStart"/>
            <w:r w:rsidRPr="006C3EDF">
              <w:rPr>
                <w:rFonts w:asciiTheme="minorHAnsi" w:hAnsiTheme="minorHAnsi" w:cstheme="minorHAnsi"/>
                <w:sz w:val="24"/>
                <w:szCs w:val="24"/>
              </w:rPr>
              <w:t>SuiteTax</w:t>
            </w:r>
            <w:proofErr w:type="spellEnd"/>
            <w:r w:rsidRPr="006C3EDF">
              <w:rPr>
                <w:rFonts w:asciiTheme="minorHAnsi" w:hAnsiTheme="minorHAnsi" w:cstheme="minorHAnsi"/>
                <w:sz w:val="24"/>
                <w:szCs w:val="24"/>
              </w:rPr>
              <w:t xml:space="preserve"> plug-in, and splits into SGST/CGST/UTGST for intra-state supply or IGST for inter-state supply, across Nil Rated, Exempted, 5%, 12%, 18%, and 28% rate slabs</w:t>
            </w:r>
          </w:p>
          <w:p w14:paraId="0D29FB17"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HSN codes classify goods and SAC codes classify services; neither carries a rate directly — rate is set through separate GST Tax Rate Rule records keyed to the HSN/SAC code plus the registration types involved</w:t>
            </w:r>
          </w:p>
          <w:p w14:paraId="0D29FB18"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GST Tax Rate Rules also carry Classification of Supply, Amount Based ranges, Reverse Charge, Ineligible for ITC, and Compensation Cess (Percentage / Quantity / both) as first-class fields</w:t>
            </w:r>
          </w:p>
          <w:p w14:paraId="0D29FB19"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Every taxable line needs an HSN or SAC code before GST can calculate at all — on Bills, Purchase Orders, Purchase Requests, Vendor Credits, and standard sales transactions alike</w:t>
            </w:r>
          </w:p>
          <w:p w14:paraId="0D29FB1A"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 xml:space="preserve">SuiteScript 2.1 reads calculated GST through the same documented </w:t>
            </w:r>
            <w:proofErr w:type="spellStart"/>
            <w:r w:rsidRPr="006C3EDF">
              <w:rPr>
                <w:rFonts w:asciiTheme="minorHAnsi" w:hAnsiTheme="minorHAnsi" w:cstheme="minorHAnsi"/>
                <w:sz w:val="24"/>
                <w:szCs w:val="24"/>
              </w:rPr>
              <w:t>taxdetails</w:t>
            </w:r>
            <w:proofErr w:type="spellEnd"/>
            <w:r w:rsidRPr="006C3EDF">
              <w:rPr>
                <w:rFonts w:asciiTheme="minorHAnsi" w:hAnsiTheme="minorHAnsi" w:cstheme="minorHAnsi"/>
                <w:sz w:val="24"/>
                <w:szCs w:val="24"/>
              </w:rPr>
              <w:t xml:space="preserve"> </w:t>
            </w:r>
            <w:proofErr w:type="spellStart"/>
            <w:r w:rsidRPr="006C3EDF">
              <w:rPr>
                <w:rFonts w:asciiTheme="minorHAnsi" w:hAnsiTheme="minorHAnsi" w:cstheme="minorHAnsi"/>
                <w:sz w:val="24"/>
                <w:szCs w:val="24"/>
              </w:rPr>
              <w:t>sublist</w:t>
            </w:r>
            <w:proofErr w:type="spellEnd"/>
            <w:r w:rsidRPr="006C3EDF">
              <w:rPr>
                <w:rFonts w:asciiTheme="minorHAnsi" w:hAnsiTheme="minorHAnsi" w:cstheme="minorHAnsi"/>
                <w:sz w:val="24"/>
                <w:szCs w:val="24"/>
              </w:rPr>
              <w:t xml:space="preserve"> used for any </w:t>
            </w:r>
            <w:proofErr w:type="spellStart"/>
            <w:r w:rsidRPr="006C3EDF">
              <w:rPr>
                <w:rFonts w:asciiTheme="minorHAnsi" w:hAnsiTheme="minorHAnsi" w:cstheme="minorHAnsi"/>
                <w:sz w:val="24"/>
                <w:szCs w:val="24"/>
              </w:rPr>
              <w:t>SuiteTax</w:t>
            </w:r>
            <w:proofErr w:type="spellEnd"/>
            <w:r w:rsidRPr="006C3EDF">
              <w:rPr>
                <w:rFonts w:asciiTheme="minorHAnsi" w:hAnsiTheme="minorHAnsi" w:cstheme="minorHAnsi"/>
                <w:sz w:val="24"/>
                <w:szCs w:val="24"/>
              </w:rPr>
              <w:t xml:space="preserve"> transaction, but forcing recalculation via the </w:t>
            </w:r>
            <w:proofErr w:type="spellStart"/>
            <w:r w:rsidRPr="006C3EDF">
              <w:rPr>
                <w:rFonts w:asciiTheme="minorHAnsi" w:hAnsiTheme="minorHAnsi" w:cstheme="minorHAnsi"/>
                <w:sz w:val="24"/>
                <w:szCs w:val="24"/>
              </w:rPr>
              <w:t>calculateTax</w:t>
            </w:r>
            <w:proofErr w:type="spellEnd"/>
            <w:r w:rsidRPr="006C3EDF">
              <w:rPr>
                <w:rFonts w:asciiTheme="minorHAnsi" w:hAnsiTheme="minorHAnsi" w:cstheme="minorHAnsi"/>
                <w:sz w:val="24"/>
                <w:szCs w:val="24"/>
              </w:rPr>
              <w:t xml:space="preserve"> macro requires SuiteScript 2.0 dynamic mode — it is not supported through </w:t>
            </w:r>
            <w:proofErr w:type="spellStart"/>
            <w:proofErr w:type="gramStart"/>
            <w:r w:rsidRPr="006C3EDF">
              <w:rPr>
                <w:rFonts w:asciiTheme="minorHAnsi" w:hAnsiTheme="minorHAnsi" w:cstheme="minorHAnsi"/>
                <w:sz w:val="24"/>
                <w:szCs w:val="24"/>
              </w:rPr>
              <w:t>executeMacro</w:t>
            </w:r>
            <w:proofErr w:type="spellEnd"/>
            <w:r w:rsidRPr="006C3EDF">
              <w:rPr>
                <w:rFonts w:asciiTheme="minorHAnsi" w:hAnsiTheme="minorHAnsi" w:cstheme="minorHAnsi"/>
                <w:sz w:val="24"/>
                <w:szCs w:val="24"/>
              </w:rPr>
              <w:t>(</w:t>
            </w:r>
            <w:proofErr w:type="gramEnd"/>
            <w:r w:rsidRPr="006C3EDF">
              <w:rPr>
                <w:rFonts w:asciiTheme="minorHAnsi" w:hAnsiTheme="minorHAnsi" w:cstheme="minorHAnsi"/>
                <w:sz w:val="24"/>
                <w:szCs w:val="24"/>
              </w:rPr>
              <w:t>) in SuiteScript 2.1</w:t>
            </w:r>
          </w:p>
          <w:p w14:paraId="0D29FB1B" w14:textId="77777777" w:rsidR="00B4496E" w:rsidRPr="006C3EDF" w:rsidRDefault="00BF14D3">
            <w:pPr>
              <w:pStyle w:val="ListParagraph"/>
              <w:numPr>
                <w:ilvl w:val="0"/>
                <w:numId w:val="2"/>
              </w:numPr>
              <w:spacing w:after="60"/>
              <w:rPr>
                <w:rFonts w:asciiTheme="minorHAnsi" w:hAnsiTheme="minorHAnsi" w:cstheme="minorHAnsi"/>
                <w:sz w:val="24"/>
                <w:szCs w:val="24"/>
              </w:rPr>
            </w:pPr>
            <w:r w:rsidRPr="006C3EDF">
              <w:rPr>
                <w:rFonts w:asciiTheme="minorHAnsi" w:hAnsiTheme="minorHAnsi" w:cstheme="minorHAnsi"/>
                <w:sz w:val="24"/>
                <w:szCs w:val="24"/>
              </w:rPr>
              <w:t>HSN/SAC and India Tax Nature/UQC field IDs are bundle-provisioned rather than fixed platform fields, and should be confirmed per account before scripting against them</w:t>
            </w:r>
          </w:p>
          <w:p w14:paraId="0D29FB1C" w14:textId="77777777" w:rsidR="00B4496E" w:rsidRPr="00F67E6B" w:rsidRDefault="00BF14D3">
            <w:pPr>
              <w:pStyle w:val="ListParagraph"/>
              <w:numPr>
                <w:ilvl w:val="0"/>
                <w:numId w:val="2"/>
              </w:numPr>
              <w:spacing w:after="60"/>
              <w:rPr>
                <w:rFonts w:asciiTheme="minorHAnsi" w:hAnsiTheme="minorHAnsi" w:cstheme="minorHAnsi"/>
              </w:rPr>
            </w:pPr>
            <w:r w:rsidRPr="006C3EDF">
              <w:rPr>
                <w:rFonts w:asciiTheme="minorHAnsi" w:hAnsiTheme="minorHAnsi" w:cstheme="minorHAnsi"/>
                <w:sz w:val="24"/>
                <w:szCs w:val="24"/>
              </w:rPr>
              <w:t>This document intentionally keeps to the publicly documented Oracle NetSuite India GST architecture and does not reference any organization-specific tax configuration</w:t>
            </w:r>
          </w:p>
        </w:tc>
      </w:tr>
    </w:tbl>
    <w:p w14:paraId="0D29FB1E" w14:textId="77777777" w:rsidR="00BF14D3" w:rsidRPr="00F67E6B" w:rsidRDefault="00BF14D3">
      <w:pPr>
        <w:rPr>
          <w:rFonts w:asciiTheme="minorHAnsi" w:hAnsiTheme="minorHAnsi" w:cstheme="minorHAnsi"/>
        </w:rPr>
      </w:pPr>
    </w:p>
    <w:sectPr w:rsidR="00BF14D3" w:rsidRPr="00F67E6B" w:rsidSect="00AE36B1">
      <w:headerReference w:type="even" r:id="rId8"/>
      <w:headerReference w:type="default" r:id="rId9"/>
      <w:footerReference w:type="default" r:id="rId10"/>
      <w:headerReference w:type="first" r:id="rId11"/>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78734" w14:textId="77777777" w:rsidR="00130403" w:rsidRDefault="00130403" w:rsidP="00AE36B1">
      <w:r>
        <w:separator/>
      </w:r>
    </w:p>
  </w:endnote>
  <w:endnote w:type="continuationSeparator" w:id="0">
    <w:p w14:paraId="2566817B" w14:textId="77777777" w:rsidR="00130403" w:rsidRDefault="00130403" w:rsidP="00AE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D692" w14:textId="77777777" w:rsidR="00506802" w:rsidRDefault="0050680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3FA23F3" w14:textId="77777777" w:rsidR="00506802" w:rsidRDefault="005068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E24C" w14:textId="77777777" w:rsidR="00130403" w:rsidRDefault="00130403" w:rsidP="00AE36B1">
      <w:r>
        <w:separator/>
      </w:r>
    </w:p>
  </w:footnote>
  <w:footnote w:type="continuationSeparator" w:id="0">
    <w:p w14:paraId="1F3293B4" w14:textId="77777777" w:rsidR="00130403" w:rsidRDefault="00130403" w:rsidP="00AE3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3B80" w14:textId="0DC2E7A4" w:rsidR="00AE36B1" w:rsidRDefault="00130403">
    <w:pPr>
      <w:pStyle w:val="Header"/>
    </w:pPr>
    <w:r>
      <w:rPr>
        <w:noProof/>
      </w:rPr>
      <w:pict w14:anchorId="38F799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735" o:spid="_x0000_s1026" type="#_x0000_t136" style="position:absolute;margin-left:0;margin-top:0;width:515.4pt;height:175.8pt;rotation:315;z-index:-251655168;mso-position-horizontal:center;mso-position-horizontal-relative:margin;mso-position-vertical:center;mso-position-vertical-relative:margin" o:allowincell="f" fillcolor="silver" stroked="f">
          <v:fill opacity=".5"/>
          <v:textpath style="font-family:&quot;Calibri&quot;;font-size:2in" string="Week 2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CFA3C" w14:textId="1DC22A44" w:rsidR="00AE36B1" w:rsidRDefault="00727715">
    <w:pPr>
      <w:pStyle w:val="Header"/>
    </w:pPr>
    <w:r w:rsidRPr="00CA4A55">
      <w:rPr>
        <w:noProof/>
      </w:rPr>
      <w:drawing>
        <wp:inline distT="0" distB="0" distL="0" distR="0" wp14:anchorId="78FBC369" wp14:editId="6D847BBE">
          <wp:extent cx="1341755" cy="252046"/>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354150" cy="254374"/>
                  </a:xfrm>
                  <a:prstGeom prst="rect">
                    <a:avLst/>
                  </a:prstGeom>
                </pic:spPr>
              </pic:pic>
            </a:graphicData>
          </a:graphic>
        </wp:inline>
      </w:drawing>
    </w:r>
    <w:r w:rsidR="00A509A6">
      <w:rPr>
        <w:noProof/>
      </w:rPr>
      <w:t xml:space="preserve">                                                                                                        </w:t>
    </w:r>
    <w:r w:rsidR="00A509A6" w:rsidRPr="00887CBE">
      <w:rPr>
        <w:noProof/>
      </w:rPr>
      <w:drawing>
        <wp:inline distT="0" distB="0" distL="0" distR="0" wp14:anchorId="6B966356" wp14:editId="036DD67A">
          <wp:extent cx="1723293" cy="281305"/>
          <wp:effectExtent l="0" t="0" r="0" b="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751162" cy="285854"/>
                  </a:xfrm>
                  <a:prstGeom prst="rect">
                    <a:avLst/>
                  </a:prstGeom>
                </pic:spPr>
              </pic:pic>
            </a:graphicData>
          </a:graphic>
        </wp:inline>
      </w:drawing>
    </w:r>
    <w:r w:rsidR="00130403">
      <w:rPr>
        <w:noProof/>
      </w:rPr>
      <w:pict w14:anchorId="1E9F2A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736" o:spid="_x0000_s1027" type="#_x0000_t136" style="position:absolute;margin-left:0;margin-top:0;width:515.4pt;height:175.8pt;rotation:315;z-index:-251653120;mso-position-horizontal:center;mso-position-horizontal-relative:margin;mso-position-vertical:center;mso-position-vertical-relative:margin" o:allowincell="f" fillcolor="silver" stroked="f">
          <v:fill opacity=".5"/>
          <v:textpath style="font-family:&quot;Calibri&quot;;font-size:2in" string="Week 2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71D0" w14:textId="04005918" w:rsidR="00AE36B1" w:rsidRDefault="00130403">
    <w:pPr>
      <w:pStyle w:val="Header"/>
    </w:pPr>
    <w:r>
      <w:rPr>
        <w:noProof/>
      </w:rPr>
      <w:pict w14:anchorId="20C0155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46734" o:spid="_x0000_s1025" type="#_x0000_t136" style="position:absolute;margin-left:0;margin-top:0;width:515.4pt;height:175.8pt;rotation:315;z-index:-251657216;mso-position-horizontal:center;mso-position-horizontal-relative:margin;mso-position-vertical:center;mso-position-vertical-relative:margin" o:allowincell="f" fillcolor="silver" stroked="f">
          <v:fill opacity=".5"/>
          <v:textpath style="font-family:&quot;Calibri&quot;;font-size:2in" string="Week 2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2A76"/>
    <w:multiLevelType w:val="hybridMultilevel"/>
    <w:tmpl w:val="10282D0A"/>
    <w:lvl w:ilvl="0" w:tplc="65F83200">
      <w:start w:val="1"/>
      <w:numFmt w:val="bullet"/>
      <w:lvlText w:val="●"/>
      <w:lvlJc w:val="left"/>
      <w:pPr>
        <w:ind w:left="720" w:hanging="360"/>
      </w:pPr>
    </w:lvl>
    <w:lvl w:ilvl="1" w:tplc="B92C7870">
      <w:start w:val="1"/>
      <w:numFmt w:val="bullet"/>
      <w:lvlText w:val="○"/>
      <w:lvlJc w:val="left"/>
      <w:pPr>
        <w:ind w:left="1440" w:hanging="360"/>
      </w:pPr>
    </w:lvl>
    <w:lvl w:ilvl="2" w:tplc="02385F9C">
      <w:start w:val="1"/>
      <w:numFmt w:val="bullet"/>
      <w:lvlText w:val="■"/>
      <w:lvlJc w:val="left"/>
      <w:pPr>
        <w:ind w:left="2160" w:hanging="360"/>
      </w:pPr>
    </w:lvl>
    <w:lvl w:ilvl="3" w:tplc="3C4EC6AA">
      <w:start w:val="1"/>
      <w:numFmt w:val="bullet"/>
      <w:lvlText w:val="●"/>
      <w:lvlJc w:val="left"/>
      <w:pPr>
        <w:ind w:left="2880" w:hanging="360"/>
      </w:pPr>
    </w:lvl>
    <w:lvl w:ilvl="4" w:tplc="01DA73EC">
      <w:start w:val="1"/>
      <w:numFmt w:val="bullet"/>
      <w:lvlText w:val="○"/>
      <w:lvlJc w:val="left"/>
      <w:pPr>
        <w:ind w:left="3600" w:hanging="360"/>
      </w:pPr>
    </w:lvl>
    <w:lvl w:ilvl="5" w:tplc="B748C252">
      <w:start w:val="1"/>
      <w:numFmt w:val="bullet"/>
      <w:lvlText w:val="■"/>
      <w:lvlJc w:val="left"/>
      <w:pPr>
        <w:ind w:left="4320" w:hanging="360"/>
      </w:pPr>
    </w:lvl>
    <w:lvl w:ilvl="6" w:tplc="4EC44F0A">
      <w:start w:val="1"/>
      <w:numFmt w:val="bullet"/>
      <w:lvlText w:val="●"/>
      <w:lvlJc w:val="left"/>
      <w:pPr>
        <w:ind w:left="5040" w:hanging="360"/>
      </w:pPr>
    </w:lvl>
    <w:lvl w:ilvl="7" w:tplc="B7D6FE76">
      <w:start w:val="1"/>
      <w:numFmt w:val="bullet"/>
      <w:lvlText w:val="●"/>
      <w:lvlJc w:val="left"/>
      <w:pPr>
        <w:ind w:left="5760" w:hanging="360"/>
      </w:pPr>
    </w:lvl>
    <w:lvl w:ilvl="8" w:tplc="869223A6">
      <w:start w:val="1"/>
      <w:numFmt w:val="bullet"/>
      <w:lvlText w:val="●"/>
      <w:lvlJc w:val="left"/>
      <w:pPr>
        <w:ind w:left="6480" w:hanging="360"/>
      </w:pPr>
    </w:lvl>
  </w:abstractNum>
  <w:abstractNum w:abstractNumId="1" w15:restartNumberingAfterBreak="0">
    <w:nsid w:val="58E21088"/>
    <w:multiLevelType w:val="hybridMultilevel"/>
    <w:tmpl w:val="CC7E7978"/>
    <w:lvl w:ilvl="0" w:tplc="4F1081CE">
      <w:start w:val="1"/>
      <w:numFmt w:val="bullet"/>
      <w:lvlText w:val="•"/>
      <w:lvlJc w:val="left"/>
      <w:pPr>
        <w:ind w:left="360" w:hanging="260"/>
      </w:pPr>
    </w:lvl>
    <w:lvl w:ilvl="1" w:tplc="65060800">
      <w:numFmt w:val="decimal"/>
      <w:lvlText w:val=""/>
      <w:lvlJc w:val="left"/>
    </w:lvl>
    <w:lvl w:ilvl="2" w:tplc="50589E7A">
      <w:numFmt w:val="decimal"/>
      <w:lvlText w:val=""/>
      <w:lvlJc w:val="left"/>
    </w:lvl>
    <w:lvl w:ilvl="3" w:tplc="5D7A6766">
      <w:numFmt w:val="decimal"/>
      <w:lvlText w:val=""/>
      <w:lvlJc w:val="left"/>
    </w:lvl>
    <w:lvl w:ilvl="4" w:tplc="3E3E2148">
      <w:numFmt w:val="decimal"/>
      <w:lvlText w:val=""/>
      <w:lvlJc w:val="left"/>
    </w:lvl>
    <w:lvl w:ilvl="5" w:tplc="1A1293B0">
      <w:numFmt w:val="decimal"/>
      <w:lvlText w:val=""/>
      <w:lvlJc w:val="left"/>
    </w:lvl>
    <w:lvl w:ilvl="6" w:tplc="3EEC431A">
      <w:numFmt w:val="decimal"/>
      <w:lvlText w:val=""/>
      <w:lvlJc w:val="left"/>
    </w:lvl>
    <w:lvl w:ilvl="7" w:tplc="C8284490">
      <w:numFmt w:val="decimal"/>
      <w:lvlText w:val=""/>
      <w:lvlJc w:val="left"/>
    </w:lvl>
    <w:lvl w:ilvl="8" w:tplc="96D28E0E">
      <w:numFmt w:val="decimal"/>
      <w:lvlText w:val=""/>
      <w:lvlJc w:val="left"/>
    </w:lvl>
  </w:abstractNum>
  <w:num w:numId="1" w16cid:durableId="286593110">
    <w:abstractNumId w:val="0"/>
    <w:lvlOverride w:ilvl="0">
      <w:startOverride w:val="1"/>
    </w:lvlOverride>
  </w:num>
  <w:num w:numId="2" w16cid:durableId="1848864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96E"/>
    <w:rsid w:val="00073099"/>
    <w:rsid w:val="000817ED"/>
    <w:rsid w:val="00096689"/>
    <w:rsid w:val="000C14B1"/>
    <w:rsid w:val="00130403"/>
    <w:rsid w:val="001523A8"/>
    <w:rsid w:val="00186637"/>
    <w:rsid w:val="0020014E"/>
    <w:rsid w:val="00365D24"/>
    <w:rsid w:val="003A15C4"/>
    <w:rsid w:val="003D2D46"/>
    <w:rsid w:val="004911A2"/>
    <w:rsid w:val="00506802"/>
    <w:rsid w:val="006067EE"/>
    <w:rsid w:val="00627D15"/>
    <w:rsid w:val="006C3EDF"/>
    <w:rsid w:val="00727715"/>
    <w:rsid w:val="007939D4"/>
    <w:rsid w:val="00886B50"/>
    <w:rsid w:val="008B1BA0"/>
    <w:rsid w:val="008D65E6"/>
    <w:rsid w:val="008D6DBF"/>
    <w:rsid w:val="009E4539"/>
    <w:rsid w:val="00A509A6"/>
    <w:rsid w:val="00A72939"/>
    <w:rsid w:val="00AB4CD4"/>
    <w:rsid w:val="00AE36B1"/>
    <w:rsid w:val="00B4496E"/>
    <w:rsid w:val="00BD50E6"/>
    <w:rsid w:val="00BF14D3"/>
    <w:rsid w:val="00C86720"/>
    <w:rsid w:val="00D70C38"/>
    <w:rsid w:val="00D80582"/>
    <w:rsid w:val="00E80E23"/>
    <w:rsid w:val="00EA501C"/>
    <w:rsid w:val="00F45D02"/>
    <w:rsid w:val="00F64D65"/>
    <w:rsid w:val="00F67E6B"/>
    <w:rsid w:val="00F73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9F964"/>
  <w15:docId w15:val="{CA75B146-1466-4103-A04B-B4DD816CB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40" w:after="120"/>
      <w:outlineLvl w:val="1"/>
    </w:pPr>
    <w:rPr>
      <w:b/>
      <w:bCs/>
      <w:color w:val="2E5A9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36B1"/>
    <w:pPr>
      <w:tabs>
        <w:tab w:val="center" w:pos="4513"/>
        <w:tab w:val="right" w:pos="9026"/>
      </w:tabs>
    </w:pPr>
  </w:style>
  <w:style w:type="character" w:customStyle="1" w:styleId="HeaderChar">
    <w:name w:val="Header Char"/>
    <w:basedOn w:val="DefaultParagraphFont"/>
    <w:link w:val="Header"/>
    <w:uiPriority w:val="99"/>
    <w:rsid w:val="00AE36B1"/>
  </w:style>
  <w:style w:type="paragraph" w:styleId="Footer">
    <w:name w:val="footer"/>
    <w:basedOn w:val="Normal"/>
    <w:link w:val="FooterChar"/>
    <w:uiPriority w:val="99"/>
    <w:unhideWhenUsed/>
    <w:rsid w:val="00AE36B1"/>
    <w:pPr>
      <w:tabs>
        <w:tab w:val="center" w:pos="4513"/>
        <w:tab w:val="right" w:pos="9026"/>
      </w:tabs>
    </w:pPr>
  </w:style>
  <w:style w:type="character" w:customStyle="1" w:styleId="FooterChar">
    <w:name w:val="Footer Char"/>
    <w:basedOn w:val="DefaultParagraphFont"/>
    <w:link w:val="Footer"/>
    <w:uiPriority w:val="99"/>
    <w:rsid w:val="00AE3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15</Pages>
  <Words>3608</Words>
  <Characters>20572</Characters>
  <Application>Microsoft Office Word</Application>
  <DocSecurity>0</DocSecurity>
  <Lines>171</Lines>
  <Paragraphs>48</Paragraphs>
  <ScaleCrop>false</ScaleCrop>
  <Company/>
  <LinksUpToDate>false</LinksUpToDate>
  <CharactersWithSpaces>24132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Mohite</cp:lastModifiedBy>
  <cp:revision>85</cp:revision>
  <dcterms:created xsi:type="dcterms:W3CDTF">2026-07-18T12:10:00Z</dcterms:created>
  <dcterms:modified xsi:type="dcterms:W3CDTF">2026-07-18T13:21:00Z</dcterms:modified>
</cp:coreProperties>
</file>